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pPr w:leftFromText="180" w:rightFromText="180" w:vertAnchor="page" w:horzAnchor="page" w:tblpX="1472" w:tblpY="145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570"/>
        <w:gridCol w:w="1806"/>
      </w:tblGrid>
      <w:tr w14:paraId="05BD4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9176" w:type="dxa"/>
            <w:gridSpan w:val="3"/>
            <w:shd w:val="clear" w:color="auto" w:fill="D8D8D8" w:themeFill="background1" w:themeFillShade="D9"/>
            <w:vAlign w:val="center"/>
          </w:tcPr>
          <w:p w14:paraId="0847547E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/>
                <w:i w:val="0"/>
                <w:iCs/>
                <w:sz w:val="28"/>
                <w:szCs w:val="2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i w:val="0"/>
                <w:iCs/>
                <w:sz w:val="28"/>
                <w:szCs w:val="28"/>
                <w:lang w:val="en-US" w:eastAsia="zh-CN"/>
              </w:rPr>
              <w:t>Germany Battery Law Cost Breakdown</w:t>
            </w:r>
          </w:p>
        </w:tc>
      </w:tr>
      <w:tr w14:paraId="7C084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800" w:type="dxa"/>
            <w:shd w:val="clear" w:color="auto" w:fill="FFFFFF" w:themeFill="background1"/>
            <w:vAlign w:val="center"/>
          </w:tcPr>
          <w:p w14:paraId="4FD40C95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 w:val="0"/>
                <w:sz w:val="20"/>
                <w:szCs w:val="20"/>
                <w:lang w:val="en-US" w:eastAsia="zh-CN"/>
              </w:rPr>
              <w:t>Service</w:t>
            </w:r>
            <w:r>
              <w:rPr>
                <w:rFonts w:hint="default" w:ascii="Segoe UI" w:hAnsi="Segoe UI" w:eastAsia="微软雅黑" w:cs="Segoe UI"/>
                <w:b/>
                <w:bCs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Segoe UI" w:hAnsi="Segoe UI" w:eastAsia="微软雅黑" w:cs="Segoe UI"/>
                <w:b/>
                <w:bCs w:val="0"/>
                <w:sz w:val="20"/>
                <w:szCs w:val="20"/>
                <w:lang w:val="en-US" w:eastAsia="zh-CN"/>
              </w:rPr>
              <w:t>Provider</w:t>
            </w:r>
          </w:p>
        </w:tc>
        <w:tc>
          <w:tcPr>
            <w:tcW w:w="5570" w:type="dxa"/>
            <w:shd w:val="clear" w:color="auto" w:fill="FFFFFF" w:themeFill="background1"/>
            <w:vAlign w:val="center"/>
          </w:tcPr>
          <w:p w14:paraId="36FA124E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 w:val="0"/>
                <w:i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 w:val="0"/>
                <w:i w:val="0"/>
                <w:iCs/>
                <w:sz w:val="20"/>
                <w:szCs w:val="20"/>
                <w:lang w:val="en-US" w:eastAsia="zh-CN"/>
              </w:rPr>
              <w:t>Service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2EAA37E8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 w:val="0"/>
                <w:sz w:val="20"/>
                <w:szCs w:val="20"/>
                <w:lang w:val="en-US" w:eastAsia="zh-CN"/>
              </w:rPr>
              <w:t>Price</w:t>
            </w:r>
          </w:p>
        </w:tc>
      </w:tr>
      <w:tr w14:paraId="0F9C8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8" w:hRule="exact"/>
        </w:trPr>
        <w:tc>
          <w:tcPr>
            <w:tcW w:w="1800" w:type="dxa"/>
            <w:shd w:val="clear" w:color="auto" w:fill="FFFFFF" w:themeFill="background1"/>
            <w:vAlign w:val="center"/>
          </w:tcPr>
          <w:p w14:paraId="4A9243E7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 w:val="0"/>
                <w:sz w:val="18"/>
                <w:szCs w:val="18"/>
                <w:lang w:val="en-US" w:eastAsia="zh-CN"/>
              </w:rPr>
              <w:t>WEEE Return</w:t>
            </w:r>
          </w:p>
        </w:tc>
        <w:tc>
          <w:tcPr>
            <w:tcW w:w="5570" w:type="dxa"/>
            <w:shd w:val="clear" w:color="auto" w:fill="FFFFFF" w:themeFill="background1"/>
            <w:vAlign w:val="center"/>
          </w:tcPr>
          <w:p w14:paraId="70E28CAB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German Authorized Representative</w:t>
            </w:r>
          </w:p>
          <w:p w14:paraId="33BAB4A8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Master registration as a producer at the EAR foundation for Batteries, </w:t>
            </w: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obtaining Battery Law registration number</w:t>
            </w:r>
          </w:p>
          <w:p w14:paraId="6EEEA399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Reporting of yearly put-on-the-market amount to the take-back system</w:t>
            </w:r>
          </w:p>
          <w:p w14:paraId="79215C76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Annual updating of the registration in the EAR system</w:t>
            </w:r>
          </w:p>
          <w:p w14:paraId="1D8D210A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Supplementary registrations during the year (e.g., volume increases, new brands)</w:t>
            </w:r>
          </w:p>
          <w:p w14:paraId="5E28D8E1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Recycling network for batteries</w:t>
            </w:r>
          </w:p>
          <w:p w14:paraId="34F66162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Annual system fee/administration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610C541A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sz w:val="21"/>
                <w:szCs w:val="21"/>
                <w:lang w:val="en-US" w:eastAsia="zh-CN"/>
              </w:rPr>
            </w:pPr>
          </w:p>
          <w:p w14:paraId="58582419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 xml:space="preserve">149 </w:t>
            </w:r>
            <w:r>
              <w:rPr>
                <w:rFonts w:hint="default" w:ascii="Segoe UI" w:hAnsi="Segoe UI" w:eastAsia="微软雅黑" w:cs="Segoe UI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  <w:t>€/Year*</w:t>
            </w:r>
          </w:p>
          <w:p w14:paraId="72DFA343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i w:val="0"/>
                <w:iCs/>
                <w:sz w:val="8"/>
                <w:szCs w:val="8"/>
                <w:lang w:val="en-US" w:eastAsia="zh-CN"/>
              </w:rPr>
            </w:pPr>
          </w:p>
          <w:p w14:paraId="2280FCD0">
            <w:pPr>
              <w:spacing w:after="0" w:line="240" w:lineRule="auto"/>
              <w:jc w:val="both"/>
              <w:rPr>
                <w:rFonts w:hint="default" w:ascii="Segoe UI" w:hAnsi="Segoe UI" w:eastAsia="微软雅黑" w:cs="Segoe UI"/>
                <w:i w:val="0"/>
                <w:iCs/>
                <w:sz w:val="21"/>
                <w:szCs w:val="21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i w:val="0"/>
                <w:iCs/>
                <w:sz w:val="15"/>
                <w:szCs w:val="15"/>
                <w:lang w:val="en-US" w:eastAsia="zh-CN"/>
              </w:rPr>
              <w:t xml:space="preserve">*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>Includes one battery category and one brand. Each additional brand: + 49.95 €.</w:t>
            </w:r>
          </w:p>
        </w:tc>
      </w:tr>
      <w:tr w14:paraId="4B203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1" w:hRule="exact"/>
        </w:trPr>
        <w:tc>
          <w:tcPr>
            <w:tcW w:w="1800" w:type="dxa"/>
            <w:shd w:val="clear" w:color="auto" w:fill="FFFFFF" w:themeFill="background1"/>
            <w:vAlign w:val="center"/>
          </w:tcPr>
          <w:p w14:paraId="022F2650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 w:val="0"/>
                <w:sz w:val="18"/>
                <w:szCs w:val="18"/>
                <w:lang w:val="en-US" w:eastAsia="zh-CN"/>
              </w:rPr>
              <w:t>WEEE Return</w:t>
            </w:r>
          </w:p>
        </w:tc>
        <w:tc>
          <w:tcPr>
            <w:tcW w:w="5570" w:type="dxa"/>
            <w:shd w:val="clear" w:color="auto" w:fill="FFFFFF" w:themeFill="background1"/>
            <w:vAlign w:val="center"/>
          </w:tcPr>
          <w:p w14:paraId="687CF71E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Provision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 of a </w:t>
            </w: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battery take-back system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 according to the requirements of the EAR foundation for 2025**</w:t>
            </w:r>
          </w:p>
          <w:p w14:paraId="77AC04F0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 xml:space="preserve"> Fee includes recycling for </w:t>
            </w: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up to 12kg batteries per year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. Excess weight will be charged separately based on battery type and weight.</w:t>
            </w:r>
          </w:p>
          <w:p w14:paraId="109F33EC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Segoe UI" w:hAnsi="Segoe UI" w:eastAsia="微软雅黑" w:cs="Segoe UI"/>
                <w:i w:val="0"/>
                <w:iCs/>
                <w:sz w:val="15"/>
                <w:szCs w:val="15"/>
                <w:lang w:val="en-US" w:eastAsia="zh-CN"/>
              </w:rPr>
            </w:pPr>
          </w:p>
          <w:p w14:paraId="06EAF65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i w:val="0"/>
                <w:iCs/>
                <w:sz w:val="15"/>
                <w:szCs w:val="15"/>
                <w:lang w:val="en-US" w:eastAsia="zh-CN"/>
              </w:rPr>
              <w:t>**</w:t>
            </w:r>
            <w:r>
              <w:rPr>
                <w:rFonts w:hint="default" w:ascii="Segoe UI" w:hAnsi="Segoe UI" w:eastAsia="微软雅黑" w:cs="Segoe UI"/>
                <w:i w:val="0"/>
                <w:i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Costs are incurred for membership in a take-back scheme deposited with the EAR foundation.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48268C2F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 xml:space="preserve">129 </w:t>
            </w:r>
            <w:r>
              <w:rPr>
                <w:rFonts w:hint="default" w:ascii="Segoe UI" w:hAnsi="Segoe UI" w:eastAsia="微软雅黑" w:cs="Segoe UI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  <w:t>€/Year</w:t>
            </w: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>***</w:t>
            </w:r>
          </w:p>
          <w:p w14:paraId="5830EEC8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 w:val="0"/>
                <w:bCs w:val="0"/>
                <w:sz w:val="8"/>
                <w:szCs w:val="8"/>
                <w:lang w:val="en-US" w:eastAsia="zh-CN"/>
              </w:rPr>
            </w:pPr>
          </w:p>
          <w:p w14:paraId="187C68A0">
            <w:pPr>
              <w:spacing w:after="0" w:line="240" w:lineRule="auto"/>
              <w:jc w:val="both"/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i w:val="0"/>
                <w:iCs/>
                <w:sz w:val="15"/>
                <w:szCs w:val="15"/>
                <w:lang w:val="en-US" w:eastAsia="zh-CN"/>
              </w:rPr>
              <w:t xml:space="preserve">***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>Includes one battery category.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>Each additional brand: + 49.00 €.</w:t>
            </w:r>
          </w:p>
        </w:tc>
      </w:tr>
      <w:tr w14:paraId="4FCF5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7370" w:type="dxa"/>
            <w:gridSpan w:val="2"/>
            <w:shd w:val="clear" w:color="auto" w:fill="FFFFFF" w:themeFill="background1"/>
            <w:vAlign w:val="center"/>
          </w:tcPr>
          <w:p w14:paraId="229F69B1">
            <w:pPr>
              <w:spacing w:after="0" w:line="240" w:lineRule="auto"/>
              <w:jc w:val="right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WEEE Return Total: 149 € + 129 € =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63EEC22E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 xml:space="preserve">278 </w:t>
            </w:r>
            <w:r>
              <w:rPr>
                <w:rFonts w:hint="default" w:ascii="Segoe UI" w:hAnsi="Segoe UI" w:eastAsia="微软雅黑" w:cs="Segoe UI"/>
                <w:b/>
                <w:bCs/>
                <w:i w:val="0"/>
                <w:iCs/>
                <w:sz w:val="20"/>
                <w:szCs w:val="20"/>
                <w:lang w:val="en-US" w:eastAsia="zh-CN"/>
              </w:rPr>
              <w:t>€/Year</w:t>
            </w:r>
          </w:p>
        </w:tc>
      </w:tr>
      <w:tr w14:paraId="601E0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176" w:type="dxa"/>
            <w:gridSpan w:val="3"/>
            <w:shd w:val="clear" w:color="auto" w:fill="FFFFFF" w:themeFill="background1"/>
            <w:vAlign w:val="center"/>
          </w:tcPr>
          <w:p w14:paraId="562DFFF2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14:paraId="11764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800" w:type="dxa"/>
            <w:vMerge w:val="restart"/>
            <w:shd w:val="clear" w:color="auto" w:fill="FFFFFF" w:themeFill="background1"/>
            <w:vAlign w:val="center"/>
          </w:tcPr>
          <w:p w14:paraId="5596BF5F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 w:val="0"/>
                <w:sz w:val="18"/>
                <w:szCs w:val="18"/>
                <w:lang w:val="en-US" w:eastAsia="zh-CN"/>
              </w:rPr>
              <w:t>Fees Foundation ear</w:t>
            </w:r>
            <w:r>
              <w:rPr>
                <w:rFonts w:hint="default" w:ascii="Segoe UI" w:hAnsi="Segoe UI" w:eastAsia="微软雅黑" w:cs="Segoe UI"/>
                <w:b w:val="0"/>
                <w:bCs/>
                <w:sz w:val="18"/>
                <w:szCs w:val="18"/>
                <w:lang w:val="en-US" w:eastAsia="zh-CN"/>
              </w:rPr>
              <w:t>****</w:t>
            </w:r>
          </w:p>
          <w:p w14:paraId="5827E4C4">
            <w:pPr>
              <w:spacing w:after="0" w:line="240" w:lineRule="auto"/>
              <w:jc w:val="left"/>
              <w:rPr>
                <w:rFonts w:hint="default" w:ascii="Segoe UI" w:hAnsi="Segoe UI" w:eastAsia="微软雅黑" w:cs="Segoe UI"/>
                <w:i w:val="0"/>
                <w:iCs/>
                <w:sz w:val="8"/>
                <w:szCs w:val="8"/>
                <w:lang w:val="en-US" w:eastAsia="zh-CN"/>
              </w:rPr>
            </w:pPr>
          </w:p>
          <w:p w14:paraId="30C6FCEE">
            <w:pPr>
              <w:spacing w:after="0" w:line="240" w:lineRule="auto"/>
              <w:jc w:val="left"/>
              <w:rPr>
                <w:rFonts w:hint="default" w:ascii="Segoe UI" w:hAnsi="Segoe UI" w:eastAsia="微软雅黑" w:cs="Segoe UI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i w:val="0"/>
                <w:iCs/>
                <w:sz w:val="15"/>
                <w:szCs w:val="15"/>
                <w:lang w:val="en-US" w:eastAsia="zh-CN"/>
              </w:rPr>
              <w:t xml:space="preserve">****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>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>hese fees are charged by EAR, WEEE Return only collects and pays them on your behalf.</w:t>
            </w:r>
          </w:p>
        </w:tc>
        <w:tc>
          <w:tcPr>
            <w:tcW w:w="5570" w:type="dxa"/>
            <w:shd w:val="clear" w:color="auto" w:fill="FFFFFF" w:themeFill="background1"/>
            <w:vAlign w:val="center"/>
          </w:tcPr>
          <w:p w14:paraId="4C6E5848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 xml:space="preserve"> Per brand and type of appliance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708D5C7B">
            <w:pPr>
              <w:spacing w:after="0" w:line="240" w:lineRule="auto"/>
              <w:ind w:left="0" w:leftChars="0"/>
              <w:jc w:val="center"/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 xml:space="preserve">41.40 € </w:t>
            </w:r>
          </w:p>
          <w:p w14:paraId="1347D4A1">
            <w:pPr>
              <w:spacing w:after="0" w:line="240" w:lineRule="auto"/>
              <w:ind w:left="0" w:leftChars="0"/>
              <w:jc w:val="center"/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>(One-time)</w:t>
            </w:r>
          </w:p>
        </w:tc>
      </w:tr>
      <w:tr w14:paraId="49AE7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800" w:type="dxa"/>
            <w:vMerge w:val="continue"/>
            <w:shd w:val="clear" w:color="auto" w:fill="FFFFFF" w:themeFill="background1"/>
            <w:vAlign w:val="center"/>
          </w:tcPr>
          <w:p w14:paraId="64EA5E68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sz w:val="21"/>
                <w:szCs w:val="21"/>
              </w:rPr>
            </w:pPr>
          </w:p>
        </w:tc>
        <w:tc>
          <w:tcPr>
            <w:tcW w:w="5570" w:type="dxa"/>
            <w:shd w:val="clear" w:color="auto" w:fill="FFFFFF" w:themeFill="background1"/>
            <w:vAlign w:val="center"/>
          </w:tcPr>
          <w:p w14:paraId="27F04657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Inspection of membership in a battery compliance scheme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3CD2250A">
            <w:pPr>
              <w:spacing w:after="0" w:line="240" w:lineRule="auto"/>
              <w:ind w:left="0" w:leftChars="0"/>
              <w:jc w:val="center"/>
              <w:rPr>
                <w:rFonts w:hint="default" w:ascii="Segoe UI" w:hAnsi="Segoe UI" w:eastAsia="微软雅黑" w:cs="Segoe UI"/>
                <w:sz w:val="21"/>
                <w:szCs w:val="21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 xml:space="preserve">48.00 </w:t>
            </w:r>
            <w:r>
              <w:rPr>
                <w:rFonts w:hint="default" w:ascii="Segoe UI" w:hAnsi="Segoe UI" w:eastAsia="微软雅黑" w:cs="Segoe UI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  <w:t>€/Year</w:t>
            </w: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>(One-time)</w:t>
            </w:r>
          </w:p>
        </w:tc>
      </w:tr>
      <w:tr w14:paraId="12CB7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800" w:type="dxa"/>
            <w:vMerge w:val="continue"/>
            <w:shd w:val="clear" w:color="auto" w:fill="FFFFFF" w:themeFill="background1"/>
            <w:vAlign w:val="center"/>
          </w:tcPr>
          <w:p w14:paraId="6FF2815C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sz w:val="21"/>
                <w:szCs w:val="21"/>
              </w:rPr>
            </w:pPr>
          </w:p>
        </w:tc>
        <w:tc>
          <w:tcPr>
            <w:tcW w:w="5570" w:type="dxa"/>
            <w:shd w:val="clear" w:color="auto" w:fill="FFFFFF" w:themeFill="background1"/>
            <w:vAlign w:val="center"/>
          </w:tcPr>
          <w:p w14:paraId="00770ACB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1"/>
                <w:szCs w:val="11"/>
                <w:shd w:val="clear" w:fill="FFFFFF"/>
              </w:rPr>
              <w:t>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Basic service fee, charged quarterly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6454A3CB">
            <w:pPr>
              <w:spacing w:after="0" w:line="240" w:lineRule="auto"/>
              <w:ind w:left="0" w:leftChars="0"/>
              <w:jc w:val="center"/>
              <w:rPr>
                <w:rFonts w:hint="default" w:ascii="Segoe UI" w:hAnsi="Segoe UI" w:eastAsia="微软雅黑" w:cs="Segoe UI"/>
                <w:sz w:val="21"/>
                <w:szCs w:val="21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>43.90 €/Quarter</w:t>
            </w:r>
          </w:p>
        </w:tc>
      </w:tr>
      <w:tr w14:paraId="15999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00" w:type="dxa"/>
            <w:vMerge w:val="continue"/>
            <w:shd w:val="clear" w:color="auto" w:fill="FFFFFF" w:themeFill="background1"/>
            <w:vAlign w:val="center"/>
          </w:tcPr>
          <w:p w14:paraId="512231B5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sz w:val="21"/>
                <w:szCs w:val="21"/>
              </w:rPr>
            </w:pPr>
          </w:p>
        </w:tc>
        <w:tc>
          <w:tcPr>
            <w:tcW w:w="5570" w:type="dxa"/>
            <w:shd w:val="clear" w:color="auto" w:fill="FFFFFF" w:themeFill="background1"/>
            <w:vAlign w:val="center"/>
          </w:tcPr>
          <w:p w14:paraId="297104ED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one-time confirmation of the appointment of an authorised representative according to § 37 paragraph 2 sentence 2 ElektroG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1102C70B">
            <w:pPr>
              <w:spacing w:after="0" w:line="240" w:lineRule="auto"/>
              <w:ind w:left="0" w:leftChars="0"/>
              <w:jc w:val="center"/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 xml:space="preserve">49.70 € </w:t>
            </w:r>
          </w:p>
          <w:p w14:paraId="2CCB510D">
            <w:pPr>
              <w:spacing w:after="0" w:line="240" w:lineRule="auto"/>
              <w:ind w:left="0" w:leftChars="0"/>
              <w:jc w:val="center"/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>(One-time)</w:t>
            </w:r>
          </w:p>
        </w:tc>
      </w:tr>
      <w:tr w14:paraId="2CE79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exact"/>
        </w:trPr>
        <w:tc>
          <w:tcPr>
            <w:tcW w:w="7370" w:type="dxa"/>
            <w:gridSpan w:val="2"/>
            <w:shd w:val="clear" w:color="auto" w:fill="FFFFFF" w:themeFill="background1"/>
            <w:vAlign w:val="center"/>
          </w:tcPr>
          <w:p w14:paraId="006F6E57">
            <w:pPr>
              <w:wordWrap w:val="0"/>
              <w:spacing w:after="0" w:line="240" w:lineRule="auto"/>
              <w:jc w:val="right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EAR Foundation Fees Total</w:t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 xml:space="preserve">: </w:t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(1st Year)</w:t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A + B + (C x 4) + D =</w:t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(2nd Year): (C x 4) =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5D40C0D9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314.70 €</w:t>
            </w:r>
          </w:p>
          <w:p w14:paraId="0C2C81E8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175.60 €</w:t>
            </w:r>
          </w:p>
        </w:tc>
      </w:tr>
      <w:tr w14:paraId="4BB84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176" w:type="dxa"/>
            <w:gridSpan w:val="3"/>
            <w:shd w:val="clear" w:color="auto" w:fill="FFFFFF" w:themeFill="background1"/>
            <w:vAlign w:val="center"/>
          </w:tcPr>
          <w:p w14:paraId="1AE1DD24">
            <w:pPr>
              <w:spacing w:after="0" w:line="240" w:lineRule="auto"/>
              <w:jc w:val="left"/>
              <w:rPr>
                <w:rFonts w:hint="default" w:ascii="Segoe UI" w:hAnsi="Segoe UI" w:eastAsia="微软雅黑" w:cs="Segoe UI"/>
                <w:sz w:val="21"/>
                <w:szCs w:val="21"/>
              </w:rPr>
            </w:pPr>
          </w:p>
        </w:tc>
      </w:tr>
      <w:tr w14:paraId="446B7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7370" w:type="dxa"/>
            <w:gridSpan w:val="2"/>
            <w:shd w:val="clear" w:color="auto" w:fill="D7D7D7" w:themeFill="background1" w:themeFillShade="D8"/>
            <w:vAlign w:val="center"/>
          </w:tcPr>
          <w:p w14:paraId="3ADD5B3D">
            <w:pPr>
              <w:wordWrap w:val="0"/>
              <w:spacing w:after="0" w:line="240" w:lineRule="auto"/>
              <w:jc w:val="right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Total Germany Battery Law Cost (1st Year): 278 € + 314.70 € =</w:t>
            </w:r>
          </w:p>
        </w:tc>
        <w:tc>
          <w:tcPr>
            <w:tcW w:w="1806" w:type="dxa"/>
            <w:shd w:val="clear" w:color="auto" w:fill="D7D7D7" w:themeFill="background1" w:themeFillShade="D8"/>
            <w:vAlign w:val="center"/>
          </w:tcPr>
          <w:p w14:paraId="57553592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sz w:val="21"/>
                <w:szCs w:val="21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1"/>
                <w:szCs w:val="21"/>
                <w:lang w:val="en-US" w:eastAsia="zh-CN"/>
              </w:rPr>
              <w:t>592.70 €</w:t>
            </w:r>
          </w:p>
        </w:tc>
      </w:tr>
      <w:tr w14:paraId="72329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370" w:type="dxa"/>
            <w:gridSpan w:val="2"/>
            <w:shd w:val="clear" w:color="auto" w:fill="auto"/>
            <w:vAlign w:val="center"/>
          </w:tcPr>
          <w:p w14:paraId="6F66B2CD">
            <w:pPr>
              <w:wordWrap w:val="0"/>
              <w:spacing w:after="0" w:line="240" w:lineRule="auto"/>
              <w:jc w:val="right"/>
              <w:rPr>
                <w:rFonts w:hint="default" w:ascii="Segoe UI" w:hAnsi="Segoe UI" w:eastAsia="微软雅黑" w:cs="Segoe U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20"/>
                <w:szCs w:val="20"/>
                <w:lang w:val="en-US" w:eastAsia="zh-CN"/>
              </w:rPr>
              <w:t>Total Germany Battery Law Cost (2nd Year): 278 € + 175.60 € =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3B27C4BA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21"/>
                <w:szCs w:val="21"/>
                <w:lang w:val="en-US" w:eastAsia="zh-CN"/>
              </w:rPr>
              <w:t>453.60 €</w:t>
            </w:r>
          </w:p>
        </w:tc>
      </w:tr>
    </w:tbl>
    <w:p w14:paraId="17A843A3">
      <w:pPr>
        <w:numPr>
          <w:ilvl w:val="0"/>
          <w:numId w:val="0"/>
        </w:numPr>
        <w:spacing w:after="0" w:line="240" w:lineRule="auto"/>
        <w:ind w:leftChars="0"/>
        <w:jc w:val="left"/>
        <w:rPr>
          <w:rFonts w:hint="eastAsia" w:ascii="微软雅黑" w:hAnsi="微软雅黑" w:eastAsia="微软雅黑" w:cs="微软雅黑"/>
          <w:i w:val="0"/>
          <w:iCs/>
          <w:sz w:val="8"/>
          <w:szCs w:val="8"/>
          <w:lang w:val="en-US" w:eastAsia="zh-CN"/>
        </w:rPr>
      </w:pPr>
      <w:bookmarkStart w:id="0" w:name="_GoBack"/>
      <w:bookmarkEnd w:id="0"/>
    </w:p>
    <w:p w14:paraId="0F08B233">
      <w:pPr>
        <w:numPr>
          <w:ilvl w:val="0"/>
          <w:numId w:val="0"/>
        </w:numPr>
        <w:spacing w:after="0" w:line="240" w:lineRule="auto"/>
        <w:ind w:leftChars="0"/>
        <w:jc w:val="left"/>
        <w:rPr>
          <w:rFonts w:hint="default" w:ascii="Arial" w:hAnsi="Arial" w:eastAsia="微软雅黑" w:cs="Arial"/>
          <w:i w:val="0"/>
          <w:i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/>
          <w:sz w:val="15"/>
          <w:szCs w:val="15"/>
          <w:lang w:val="en-US" w:eastAsia="zh-CN"/>
        </w:rPr>
        <w:t xml:space="preserve">Note: This offer is valid for </w:t>
      </w:r>
      <w:r>
        <w:rPr>
          <w:rFonts w:hint="eastAsia" w:ascii="微软雅黑" w:hAnsi="微软雅黑" w:eastAsia="微软雅黑" w:cs="微软雅黑"/>
          <w:b/>
          <w:bCs/>
          <w:i w:val="0"/>
          <w:iCs/>
          <w:sz w:val="15"/>
          <w:szCs w:val="15"/>
          <w:lang w:val="en-US" w:eastAsia="zh-CN"/>
        </w:rPr>
        <w:t>two weeks</w:t>
      </w:r>
      <w:r>
        <w:rPr>
          <w:rFonts w:hint="eastAsia" w:ascii="微软雅黑" w:hAnsi="微软雅黑" w:eastAsia="微软雅黑" w:cs="微软雅黑"/>
          <w:i w:val="0"/>
          <w:iCs/>
          <w:sz w:val="15"/>
          <w:szCs w:val="15"/>
          <w:lang w:val="en-US" w:eastAsia="zh-CN"/>
        </w:rPr>
        <w:t>.</w:t>
      </w:r>
    </w:p>
    <w:p w14:paraId="1ABE44AE">
      <w:pPr>
        <w:numPr>
          <w:ilvl w:val="0"/>
          <w:numId w:val="0"/>
        </w:numPr>
        <w:spacing w:after="0" w:line="240" w:lineRule="auto"/>
        <w:ind w:leftChars="0"/>
        <w:jc w:val="left"/>
        <w:rPr>
          <w:rFonts w:hint="default" w:ascii="Arial" w:hAnsi="Arial" w:eastAsia="微软雅黑" w:cs="Arial"/>
          <w:i w:val="0"/>
          <w:iCs/>
          <w:sz w:val="18"/>
          <w:szCs w:val="18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17" w:right="1417" w:bottom="1134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18C4B">
    <w:pPr>
      <w:pStyle w:val="10"/>
      <w:rPr>
        <w:rFonts w:hint="default" w:eastAsia="宋体"/>
        <w:lang w:val="en-US" w:eastAsia="zh-CN"/>
      </w:rPr>
    </w:pPr>
    <w:r>
      <w:rPr>
        <w:rFonts w:hint="eastAsia" w:eastAsia="宋体"/>
        <w:lang w:val="en-US" w:eastAsia="zh-CN"/>
      </w:rPr>
      <w:t>WEEE Return GmbH // Lahnstrasse 31 // 12055 // Berlin // Deutschland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0E9C82">
    <w:pPr>
      <w:pStyle w:val="11"/>
      <w:tabs>
        <w:tab w:val="clear" w:pos="4536"/>
      </w:tabs>
      <w:rPr>
        <w:sz w:val="16"/>
        <w:szCs w:val="16"/>
      </w:rPr>
    </w:pPr>
    <w:r>
      <w:rPr>
        <w:rFonts w:hint="default" w:ascii="Arial" w:hAnsi="Arial" w:cs="Arial"/>
        <w:sz w:val="16"/>
        <w:szCs w:val="16"/>
        <w:u w:val="single"/>
        <w:lang w:val="en-US" w:eastAsia="de-DE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4754245</wp:posOffset>
          </wp:positionH>
          <wp:positionV relativeFrom="paragraph">
            <wp:posOffset>-243840</wp:posOffset>
          </wp:positionV>
          <wp:extent cx="1177290" cy="442595"/>
          <wp:effectExtent l="0" t="0" r="3810" b="5080"/>
          <wp:wrapNone/>
          <wp:docPr id="4" name="Grafik 30" descr="\\10.1.2.1\Work_Online\PROJEKTE\WEEE Return reloaded\01_Design\Logo\WEEE-RETUR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30" descr="\\10.1.2.1\Work_Online\PROJEKTE\WEEE Return reloaded\01_Design\Logo\WEEE-RETUR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7579" cy="4423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Arial" w:hAnsi="Arial" w:eastAsia="宋体" w:cs="Arial"/>
        <w:sz w:val="16"/>
        <w:szCs w:val="16"/>
        <w:u w:val="single"/>
        <w:lang w:val="en-US" w:eastAsia="zh-CN"/>
      </w:rPr>
      <w:t>Preisangebot Batteriegesetz</w:t>
    </w:r>
    <w:r>
      <w:rPr>
        <w:sz w:val="16"/>
        <w:szCs w:val="16"/>
      </w:rPr>
      <w:t xml:space="preserve"> – </w:t>
    </w:r>
    <w:r>
      <w:rPr>
        <w:b/>
        <w:sz w:val="16"/>
        <w:szCs w:val="16"/>
      </w:rPr>
      <w:t xml:space="preserve">vertraulich </w:t>
    </w:r>
    <w:r>
      <w:rPr>
        <w:sz w:val="16"/>
        <w:szCs w:val="16"/>
      </w:rPr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  \* MERGEFORMAT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13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von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  \* MERGEFORMAT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13</w:t>
    </w:r>
    <w:r>
      <w:rPr>
        <w:sz w:val="16"/>
        <w:szCs w:val="16"/>
      </w:rPr>
      <w:fldChar w:fldCharType="end"/>
    </w:r>
    <w:r>
      <w:rPr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273DD"/>
    <w:multiLevelType w:val="singleLevel"/>
    <w:tmpl w:val="E02273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0856C11"/>
    <w:multiLevelType w:val="singleLevel"/>
    <w:tmpl w:val="F0856C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E88314F"/>
    <w:multiLevelType w:val="singleLevel"/>
    <w:tmpl w:val="0E88314F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removePersonalInformation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E8C"/>
    <w:rsid w:val="0002397D"/>
    <w:rsid w:val="00041885"/>
    <w:rsid w:val="0005595B"/>
    <w:rsid w:val="00056989"/>
    <w:rsid w:val="00070895"/>
    <w:rsid w:val="00071DD9"/>
    <w:rsid w:val="00091B9A"/>
    <w:rsid w:val="000D2447"/>
    <w:rsid w:val="000E558E"/>
    <w:rsid w:val="000E5CEE"/>
    <w:rsid w:val="001117D6"/>
    <w:rsid w:val="00114D43"/>
    <w:rsid w:val="00115E3A"/>
    <w:rsid w:val="001468F8"/>
    <w:rsid w:val="00153B89"/>
    <w:rsid w:val="00172158"/>
    <w:rsid w:val="00183C23"/>
    <w:rsid w:val="001A0380"/>
    <w:rsid w:val="001D0308"/>
    <w:rsid w:val="002218D7"/>
    <w:rsid w:val="0023480B"/>
    <w:rsid w:val="00236991"/>
    <w:rsid w:val="002720BD"/>
    <w:rsid w:val="00274351"/>
    <w:rsid w:val="00283E33"/>
    <w:rsid w:val="0029599B"/>
    <w:rsid w:val="00295C6E"/>
    <w:rsid w:val="002E10AC"/>
    <w:rsid w:val="00370C5F"/>
    <w:rsid w:val="00377C12"/>
    <w:rsid w:val="003A0D58"/>
    <w:rsid w:val="003A3915"/>
    <w:rsid w:val="003C0D31"/>
    <w:rsid w:val="003C39F0"/>
    <w:rsid w:val="003C752B"/>
    <w:rsid w:val="003D6BD1"/>
    <w:rsid w:val="003E3669"/>
    <w:rsid w:val="003E6ADE"/>
    <w:rsid w:val="003F228D"/>
    <w:rsid w:val="004021A8"/>
    <w:rsid w:val="00403EC4"/>
    <w:rsid w:val="0040691C"/>
    <w:rsid w:val="00433F00"/>
    <w:rsid w:val="00437198"/>
    <w:rsid w:val="00444662"/>
    <w:rsid w:val="004456AA"/>
    <w:rsid w:val="004632F7"/>
    <w:rsid w:val="004E17A3"/>
    <w:rsid w:val="004E6C76"/>
    <w:rsid w:val="004F5122"/>
    <w:rsid w:val="00504CFE"/>
    <w:rsid w:val="005050DF"/>
    <w:rsid w:val="00506B13"/>
    <w:rsid w:val="00534E88"/>
    <w:rsid w:val="00547822"/>
    <w:rsid w:val="00577DA1"/>
    <w:rsid w:val="005919C4"/>
    <w:rsid w:val="005A13DD"/>
    <w:rsid w:val="005A22B4"/>
    <w:rsid w:val="005B0FBA"/>
    <w:rsid w:val="005B18EC"/>
    <w:rsid w:val="005D0B19"/>
    <w:rsid w:val="006205A7"/>
    <w:rsid w:val="00620C0F"/>
    <w:rsid w:val="00626537"/>
    <w:rsid w:val="00650896"/>
    <w:rsid w:val="0066717E"/>
    <w:rsid w:val="0067395A"/>
    <w:rsid w:val="00686BDF"/>
    <w:rsid w:val="0069135F"/>
    <w:rsid w:val="006A275B"/>
    <w:rsid w:val="006A3EBF"/>
    <w:rsid w:val="006C6A3B"/>
    <w:rsid w:val="006E02E7"/>
    <w:rsid w:val="006E39D5"/>
    <w:rsid w:val="006F1055"/>
    <w:rsid w:val="006F3A2D"/>
    <w:rsid w:val="006F4D40"/>
    <w:rsid w:val="006F71FF"/>
    <w:rsid w:val="0070233D"/>
    <w:rsid w:val="007121D9"/>
    <w:rsid w:val="0073210C"/>
    <w:rsid w:val="007502C3"/>
    <w:rsid w:val="007506BB"/>
    <w:rsid w:val="00762C29"/>
    <w:rsid w:val="00784A65"/>
    <w:rsid w:val="007957AC"/>
    <w:rsid w:val="007B5198"/>
    <w:rsid w:val="007B5245"/>
    <w:rsid w:val="007B5C9B"/>
    <w:rsid w:val="007B78DD"/>
    <w:rsid w:val="007D0E12"/>
    <w:rsid w:val="007F198C"/>
    <w:rsid w:val="00803B2B"/>
    <w:rsid w:val="008053DB"/>
    <w:rsid w:val="008138EC"/>
    <w:rsid w:val="00820822"/>
    <w:rsid w:val="00837DA0"/>
    <w:rsid w:val="00846B12"/>
    <w:rsid w:val="00851BB7"/>
    <w:rsid w:val="008866B3"/>
    <w:rsid w:val="00892B90"/>
    <w:rsid w:val="008E0491"/>
    <w:rsid w:val="008E51FD"/>
    <w:rsid w:val="008F5077"/>
    <w:rsid w:val="008F72C7"/>
    <w:rsid w:val="009069C3"/>
    <w:rsid w:val="009225D3"/>
    <w:rsid w:val="00942118"/>
    <w:rsid w:val="00966D83"/>
    <w:rsid w:val="009677FD"/>
    <w:rsid w:val="00970D90"/>
    <w:rsid w:val="00993BD5"/>
    <w:rsid w:val="009942EC"/>
    <w:rsid w:val="009A18F5"/>
    <w:rsid w:val="009D52C4"/>
    <w:rsid w:val="009D6D09"/>
    <w:rsid w:val="009E0809"/>
    <w:rsid w:val="009E140D"/>
    <w:rsid w:val="009F60D1"/>
    <w:rsid w:val="009F749D"/>
    <w:rsid w:val="00A177A7"/>
    <w:rsid w:val="00A41A73"/>
    <w:rsid w:val="00A7215B"/>
    <w:rsid w:val="00AA49B6"/>
    <w:rsid w:val="00AA5DE3"/>
    <w:rsid w:val="00AC62E9"/>
    <w:rsid w:val="00AE2E7E"/>
    <w:rsid w:val="00AE4BD4"/>
    <w:rsid w:val="00AF1F17"/>
    <w:rsid w:val="00AF2E8C"/>
    <w:rsid w:val="00B374A1"/>
    <w:rsid w:val="00B720CC"/>
    <w:rsid w:val="00B9643A"/>
    <w:rsid w:val="00BB7605"/>
    <w:rsid w:val="00BC0B39"/>
    <w:rsid w:val="00BC5A3D"/>
    <w:rsid w:val="00C00AC4"/>
    <w:rsid w:val="00C03FF9"/>
    <w:rsid w:val="00C109E9"/>
    <w:rsid w:val="00C13160"/>
    <w:rsid w:val="00C20B75"/>
    <w:rsid w:val="00C24E71"/>
    <w:rsid w:val="00C336D8"/>
    <w:rsid w:val="00C34A5A"/>
    <w:rsid w:val="00C466CB"/>
    <w:rsid w:val="00C5152A"/>
    <w:rsid w:val="00C56DDD"/>
    <w:rsid w:val="00C57C69"/>
    <w:rsid w:val="00C71988"/>
    <w:rsid w:val="00C836E7"/>
    <w:rsid w:val="00C86460"/>
    <w:rsid w:val="00CA19CF"/>
    <w:rsid w:val="00CD50FB"/>
    <w:rsid w:val="00CD6056"/>
    <w:rsid w:val="00CE4E70"/>
    <w:rsid w:val="00CF5232"/>
    <w:rsid w:val="00D01CAD"/>
    <w:rsid w:val="00D04FF9"/>
    <w:rsid w:val="00D41C27"/>
    <w:rsid w:val="00D467B0"/>
    <w:rsid w:val="00D60DF8"/>
    <w:rsid w:val="00D758DA"/>
    <w:rsid w:val="00D766C0"/>
    <w:rsid w:val="00D8539E"/>
    <w:rsid w:val="00DB372F"/>
    <w:rsid w:val="00DC0124"/>
    <w:rsid w:val="00E114E5"/>
    <w:rsid w:val="00E418C0"/>
    <w:rsid w:val="00E4334C"/>
    <w:rsid w:val="00E638D5"/>
    <w:rsid w:val="00E72265"/>
    <w:rsid w:val="00E736EE"/>
    <w:rsid w:val="00E837D8"/>
    <w:rsid w:val="00EC7B14"/>
    <w:rsid w:val="00ED6A86"/>
    <w:rsid w:val="00EF1F4A"/>
    <w:rsid w:val="00F061A2"/>
    <w:rsid w:val="00F31A6E"/>
    <w:rsid w:val="00F720FD"/>
    <w:rsid w:val="00F726FA"/>
    <w:rsid w:val="00F749D1"/>
    <w:rsid w:val="00F949C1"/>
    <w:rsid w:val="00FA2C6D"/>
    <w:rsid w:val="00FB6B58"/>
    <w:rsid w:val="00FC09EC"/>
    <w:rsid w:val="00FC68E8"/>
    <w:rsid w:val="00FF35FD"/>
    <w:rsid w:val="00FF36EC"/>
    <w:rsid w:val="01244937"/>
    <w:rsid w:val="034744FE"/>
    <w:rsid w:val="044D2F90"/>
    <w:rsid w:val="094C3466"/>
    <w:rsid w:val="0A081A83"/>
    <w:rsid w:val="0AD55E09"/>
    <w:rsid w:val="0D4F1296"/>
    <w:rsid w:val="13993FE3"/>
    <w:rsid w:val="15660CC0"/>
    <w:rsid w:val="185D11EC"/>
    <w:rsid w:val="1F8551EB"/>
    <w:rsid w:val="243D7569"/>
    <w:rsid w:val="2A545611"/>
    <w:rsid w:val="2FF73AF9"/>
    <w:rsid w:val="300D07B7"/>
    <w:rsid w:val="333B73C8"/>
    <w:rsid w:val="342923B6"/>
    <w:rsid w:val="344B2247"/>
    <w:rsid w:val="37212DB0"/>
    <w:rsid w:val="384653A1"/>
    <w:rsid w:val="3E5933FC"/>
    <w:rsid w:val="43F367B6"/>
    <w:rsid w:val="44C47D79"/>
    <w:rsid w:val="46272105"/>
    <w:rsid w:val="4886175E"/>
    <w:rsid w:val="49A05012"/>
    <w:rsid w:val="4B3A4096"/>
    <w:rsid w:val="4B670C31"/>
    <w:rsid w:val="4CAA1452"/>
    <w:rsid w:val="4D775994"/>
    <w:rsid w:val="4DAD7C18"/>
    <w:rsid w:val="4E910630"/>
    <w:rsid w:val="501A17DC"/>
    <w:rsid w:val="541C4108"/>
    <w:rsid w:val="54F37238"/>
    <w:rsid w:val="57925BF6"/>
    <w:rsid w:val="5AEA0EB8"/>
    <w:rsid w:val="5DC703F4"/>
    <w:rsid w:val="5FDE04EB"/>
    <w:rsid w:val="6065714D"/>
    <w:rsid w:val="61780FCD"/>
    <w:rsid w:val="62B9572E"/>
    <w:rsid w:val="63C9369E"/>
    <w:rsid w:val="65C92186"/>
    <w:rsid w:val="699857E3"/>
    <w:rsid w:val="701E002F"/>
    <w:rsid w:val="74D15A49"/>
    <w:rsid w:val="74E62CAA"/>
    <w:rsid w:val="76913B7A"/>
    <w:rsid w:val="773E5289"/>
    <w:rsid w:val="7F032C25"/>
    <w:rsid w:val="7FCA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0" w:semiHidden="0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de-DE" w:eastAsia="en-US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spacing w:after="0" w:line="240" w:lineRule="auto"/>
      <w:outlineLvl w:val="0"/>
    </w:pPr>
    <w:rPr>
      <w:rFonts w:ascii="Times New Roman" w:hAnsi="Times New Roman" w:eastAsia="Times New Roman" w:cs="Times New Roman"/>
      <w:b/>
      <w:bCs/>
      <w:sz w:val="28"/>
      <w:szCs w:val="24"/>
      <w:lang w:eastAsia="de-DE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1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3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29"/>
    <w:semiHidden/>
    <w:unhideWhenUsed/>
    <w:qFormat/>
    <w:uiPriority w:val="99"/>
    <w:pPr>
      <w:spacing w:after="120"/>
    </w:pPr>
  </w:style>
  <w:style w:type="paragraph" w:styleId="7">
    <w:name w:val="Body Text Indent"/>
    <w:basedOn w:val="1"/>
    <w:link w:val="30"/>
    <w:unhideWhenUsed/>
    <w:qFormat/>
    <w:uiPriority w:val="99"/>
    <w:pPr>
      <w:spacing w:after="120"/>
      <w:ind w:left="283"/>
    </w:pPr>
  </w:style>
  <w:style w:type="paragraph" w:styleId="8">
    <w:name w:val="Body Text Indent 2"/>
    <w:basedOn w:val="1"/>
    <w:link w:val="26"/>
    <w:unhideWhenUsed/>
    <w:qFormat/>
    <w:uiPriority w:val="0"/>
    <w:pPr>
      <w:spacing w:after="0" w:line="240" w:lineRule="auto"/>
      <w:ind w:left="360"/>
    </w:pPr>
    <w:rPr>
      <w:rFonts w:ascii="Arial" w:hAnsi="Arial" w:eastAsia="Times New Roman" w:cs="Times New Roman"/>
      <w:sz w:val="24"/>
      <w:szCs w:val="24"/>
      <w:lang w:eastAsia="de-DE"/>
    </w:rPr>
  </w:style>
  <w:style w:type="paragraph" w:styleId="9">
    <w:name w:val="Balloon Text"/>
    <w:basedOn w:val="1"/>
    <w:link w:val="2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footer"/>
    <w:basedOn w:val="1"/>
    <w:link w:val="22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1">
    <w:name w:val="header"/>
    <w:basedOn w:val="1"/>
    <w:link w:val="21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2">
    <w:name w:val="footnote text"/>
    <w:basedOn w:val="1"/>
    <w:link w:val="2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3">
    <w:name w:val="Normal (Web)"/>
    <w:basedOn w:val="1"/>
    <w:semiHidden/>
    <w:unhideWhenUsed/>
    <w:qFormat/>
    <w:uiPriority w:val="99"/>
    <w:rPr>
      <w:sz w:val="24"/>
    </w:rPr>
  </w:style>
  <w:style w:type="table" w:styleId="15">
    <w:name w:val="Table Grid"/>
    <w:basedOn w:val="14"/>
    <w:qFormat/>
    <w:uiPriority w:val="9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Emphasis"/>
    <w:basedOn w:val="16"/>
    <w:qFormat/>
    <w:uiPriority w:val="20"/>
    <w:rPr>
      <w:i/>
    </w:rPr>
  </w:style>
  <w:style w:type="character" w:styleId="19">
    <w:name w:val="Hyperlink"/>
    <w:unhideWhenUsed/>
    <w:qFormat/>
    <w:uiPriority w:val="0"/>
    <w:rPr>
      <w:color w:val="0000FF"/>
      <w:u w:val="single"/>
    </w:rPr>
  </w:style>
  <w:style w:type="character" w:styleId="20">
    <w:name w:val="footnote reference"/>
    <w:basedOn w:val="16"/>
    <w:semiHidden/>
    <w:unhideWhenUsed/>
    <w:qFormat/>
    <w:uiPriority w:val="99"/>
    <w:rPr>
      <w:vertAlign w:val="superscript"/>
    </w:rPr>
  </w:style>
  <w:style w:type="character" w:customStyle="1" w:styleId="21">
    <w:name w:val="Kopfzeile Zchn"/>
    <w:basedOn w:val="16"/>
    <w:link w:val="11"/>
    <w:qFormat/>
    <w:uiPriority w:val="99"/>
  </w:style>
  <w:style w:type="character" w:customStyle="1" w:styleId="22">
    <w:name w:val="Fußzeile Zchn"/>
    <w:basedOn w:val="16"/>
    <w:link w:val="10"/>
    <w:qFormat/>
    <w:uiPriority w:val="99"/>
  </w:style>
  <w:style w:type="paragraph" w:styleId="23">
    <w:name w:val="List Paragraph"/>
    <w:basedOn w:val="1"/>
    <w:qFormat/>
    <w:uiPriority w:val="99"/>
    <w:pPr>
      <w:ind w:left="720"/>
      <w:contextualSpacing/>
    </w:pPr>
  </w:style>
  <w:style w:type="character" w:customStyle="1" w:styleId="24">
    <w:name w:val="Überschrift 1 Zchn"/>
    <w:basedOn w:val="16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4"/>
      <w:lang w:eastAsia="de-DE"/>
    </w:rPr>
  </w:style>
  <w:style w:type="paragraph" w:customStyle="1" w:styleId="25">
    <w:name w:val="Standard (Web)15"/>
    <w:basedOn w:val="1"/>
    <w:qFormat/>
    <w:uiPriority w:val="0"/>
    <w:pPr>
      <w:spacing w:before="100" w:beforeAutospacing="1" w:after="100" w:afterAutospacing="1" w:line="240" w:lineRule="auto"/>
      <w:ind w:left="450"/>
    </w:pPr>
    <w:rPr>
      <w:rFonts w:ascii="Times New Roman" w:hAnsi="Times New Roman" w:eastAsia="Times New Roman" w:cs="Times New Roman"/>
      <w:sz w:val="24"/>
      <w:szCs w:val="24"/>
      <w:lang w:eastAsia="de-DE"/>
    </w:rPr>
  </w:style>
  <w:style w:type="character" w:customStyle="1" w:styleId="26">
    <w:name w:val="Textkörper-Einzug 2 Zchn"/>
    <w:basedOn w:val="16"/>
    <w:link w:val="8"/>
    <w:qFormat/>
    <w:uiPriority w:val="0"/>
    <w:rPr>
      <w:rFonts w:ascii="Arial" w:hAnsi="Arial" w:eastAsia="Times New Roman" w:cs="Times New Roman"/>
      <w:sz w:val="24"/>
      <w:szCs w:val="24"/>
      <w:lang w:eastAsia="de-DE"/>
    </w:rPr>
  </w:style>
  <w:style w:type="character" w:customStyle="1" w:styleId="27">
    <w:name w:val="Sprechblasentext Zchn"/>
    <w:basedOn w:val="16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8">
    <w:name w:val="Fußnotentext Zchn"/>
    <w:basedOn w:val="16"/>
    <w:link w:val="12"/>
    <w:semiHidden/>
    <w:qFormat/>
    <w:uiPriority w:val="99"/>
    <w:rPr>
      <w:sz w:val="20"/>
      <w:szCs w:val="20"/>
    </w:rPr>
  </w:style>
  <w:style w:type="character" w:customStyle="1" w:styleId="29">
    <w:name w:val="Textkörper Zchn"/>
    <w:basedOn w:val="16"/>
    <w:link w:val="6"/>
    <w:semiHidden/>
    <w:qFormat/>
    <w:uiPriority w:val="99"/>
  </w:style>
  <w:style w:type="character" w:customStyle="1" w:styleId="30">
    <w:name w:val="Textkörper-Zeileneinzug Zchn"/>
    <w:basedOn w:val="16"/>
    <w:link w:val="7"/>
    <w:qFormat/>
    <w:uiPriority w:val="99"/>
  </w:style>
  <w:style w:type="character" w:customStyle="1" w:styleId="31">
    <w:name w:val="Überschrift 3 Zchn"/>
    <w:basedOn w:val="16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32">
    <w:name w:val="Überschrift 4 Zchn"/>
    <w:basedOn w:val="16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customStyle="1" w:styleId="33">
    <w:name w:val="rem_adr"/>
    <w:basedOn w:val="1"/>
    <w:qFormat/>
    <w:uiPriority w:val="0"/>
    <w:pPr>
      <w:spacing w:after="0" w:line="260" w:lineRule="exact"/>
    </w:pPr>
    <w:rPr>
      <w:rFonts w:ascii="Arial Narrow" w:hAnsi="Arial Narrow" w:eastAsia="Times New Roman" w:cs="Arial"/>
      <w:szCs w:val="24"/>
      <w:lang w:eastAsia="de-DE"/>
    </w:rPr>
  </w:style>
  <w:style w:type="character" w:customStyle="1" w:styleId="34">
    <w:name w:val="Überschrift 2 Zchn"/>
    <w:basedOn w:val="16"/>
    <w:link w:val="3"/>
    <w:qFormat/>
    <w:uiPriority w:val="9"/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customStyle="1" w:styleId="3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de-DE" w:eastAsia="en-US" w:bidi="ar-SA"/>
    </w:rPr>
  </w:style>
  <w:style w:type="paragraph" w:customStyle="1" w:styleId="36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de-DE" w:eastAsia="en-US" w:bidi="ar-SA"/>
    </w:rPr>
  </w:style>
  <w:style w:type="character" w:styleId="37">
    <w:name w:val="Placeholder Text"/>
    <w:basedOn w:val="16"/>
    <w:semiHidden/>
    <w:qFormat/>
    <w:uiPriority w:val="99"/>
    <w:rPr>
      <w:color w:val="666666"/>
    </w:rPr>
  </w:style>
  <w:style w:type="character" w:customStyle="1" w:styleId="38">
    <w:name w:val="Unresolved Mention"/>
    <w:basedOn w:val="1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9F9CD-ADCC-4097-8329-76B149F8A03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294</Words>
  <Characters>1490</Characters>
  <Lines>212</Lines>
  <Paragraphs>58</Paragraphs>
  <TotalTime>5</TotalTime>
  <ScaleCrop>false</ScaleCrop>
  <LinksUpToDate>false</LinksUpToDate>
  <CharactersWithSpaces>1744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2021-09-15T13:49:00Z</dcterms:created>
  <cp:lastPrinted>2025-08-04T05:44:00Z</cp:lastPrinted>
  <dcterms:modified xsi:type="dcterms:W3CDTF">2025-11-20T05:49:39Z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eyJoZGlkIjoiYWY4YmQzYjZkOGNiNGRiMGM4NzQ0MzMyMjA1NzNhODUiLCJ1c2VySWQiOiIyOTg1MDY2NzAifQ==</vt:lpwstr>
  </property>
  <property fmtid="{D5CDD505-2E9C-101B-9397-08002B2CF9AE}" pid="3" name="KSOProductBuildVer">
    <vt:lpwstr>2052-12.1.0.23125</vt:lpwstr>
  </property>
  <property fmtid="{D5CDD505-2E9C-101B-9397-08002B2CF9AE}" pid="4" name="ICV">
    <vt:lpwstr>E4A5260A87174864A29AF3699616815D_12</vt:lpwstr>
  </property>
</Properties>
</file>