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Battery Law (BattG) Registration Information Template</w:t>
      </w:r>
    </w:p>
    <w:p>
      <w:r>
        <w:t>Via WEEE Return GmbH — German Battery Law Authorised Representative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 (EN)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Name (CN)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Registered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USCC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Legal Representative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Phone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WeChat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Battery Type(s)</w:t>
            </w:r>
          </w:p>
        </w:tc>
        <w:tc>
          <w:tcPr>
            <w:tcW w:type="dxa" w:w="4320"/>
          </w:tcPr>
          <w:p>
            <w:r>
              <w:t>[ ] Portable  [ ] Industrial  [ ] Automotive</w:t>
            </w:r>
          </w:p>
        </w:tc>
      </w:tr>
      <w:tr>
        <w:tc>
          <w:tcPr>
            <w:tcW w:type="dxa" w:w="4320"/>
          </w:tcPr>
          <w:p>
            <w:r>
              <w:t>Number of Brands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Online Store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Year Type</w:t>
            </w:r>
          </w:p>
        </w:tc>
        <w:tc>
          <w:tcPr>
            <w:tcW w:type="dxa" w:w="4320"/>
          </w:tcPr>
          <w:p>
            <w:r>
              <w:t>[ ] First Year  [ ] Renewal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Please send completed form to your LIVANTO account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