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an die jeweiligen dualen Systeme weitergeleitet. Gewinne oder Verluste aus Wechselkursschwankungen zwischen CNY und EUR werden von den Parteien im Verhältnis 50 % zu 50 % geteilt bzw. getragen.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代转付给相应双元系统。因人民币兑欧元汇率波动而产生的盈余或损失，由双方按 50%:50% 的比例分享或承担。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D: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D：欧盟标准合同条款（SCC）—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双方约定，LIVANTO 向中华人民共和国境内的福瑞笛传输个人数据，适用欧盟委员会执行决定 (EU) 2021/914 项下标准合同条款的模块 1（控制者向控制者传输）。该标准合同条款及其附录为本附件的组成部分。</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