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{livanto_register}</w:t>
            </w:r>
            <w:r>
              <w:rPr>
                <w:rFonts w:ascii="Times New Roman" w:hAnsi="Times New Roman" w:eastAsia="Times New Roman" w:cs="Times New Roman"/>
                <w:b w:val="0"/>
                <w:bCs w:val="0"/>
                <w:sz w:val="21"/>
                <w:szCs w:val="21"/>
              </w:rPr>
              <w:br/>
              <w:t xml:space="preserve">USt-ID: {livanto_vat}</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商业登记号：{livanto_register}</w:t>
            </w:r>
            <w:r>
              <w:rPr>
                <w:rFonts w:ascii="Times New Roman" w:hAnsi="Times New Roman" w:eastAsia="Times New Roman" w:cs="Times New Roman"/>
                <w:b w:val="0"/>
                <w:bCs w:val="0"/>
                <w:sz w:val="21"/>
                <w:szCs w:val="21"/>
              </w:rPr>
              <w:br/>
              <w:t xml:space="preserve">增值税号：{livanto_vat}</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Bankleitzahl: BKCHCNBJ780</w:t>
            </w:r>
          </w:p>
          <w:p>
            <w:pPr>
              <w:spacing w:before="0" w:after="0"/>
            </w:pPr>
            <w:r>
              <w:rPr>
                <w:rFonts w:ascii="Times New Roman" w:hAnsi="Times New Roman" w:eastAsia="Times New Roman" w:cs="Times New Roman"/>
                <w:b w:val="0"/>
                <w:bCs w:val="0"/>
                <w:sz w:val="21"/>
                <w:szCs w:val="21"/>
              </w:rPr>
              <w:t xml:space="preserve">  Bankadresse: No.21 Longhu Road, Huainan, Anhui,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{company_name_en}</w:t>
            </w:r>
          </w:p>
          <w:p>
            <w:pPr>
              <w:spacing w:before="20" w:after="0"/>
            </w:pPr>
            <w:r>
              <w:rPr>
                <w:rFonts w:ascii="Times New Roman" w:hAnsi="Times New Roman" w:eastAsia="Times New Roman" w:cs="Times New Roman"/>
                <w:sz w:val="21"/>
                <w:szCs w:val="21"/>
              </w:rPr>
              <w:t xml:space="preserve">{registered_address_en}</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standalone="yes"?>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p w14:paraId="509DD7A2"><w:pPr><w:jc w:val="right"/></w:pPr><w:r><w:rPr><w:rFonts w:ascii="Times New Roman" w:hAnsi="Times New Roman" w:eastAsia="Times New Roman" w:cs="Times New Roman"/><w:b w:val="0"/><w:bCs w:val="0"/><w:sz w:val="18"/><w:szCs w:val="18"/></w:rPr><w:t xml:space="preserve">LIVANTO GmbH  |  </w:t></w:r><w:r><w:rPr><w:rFonts w:ascii="宋体" w:hAnsi="宋体" w:eastAsia="宋体" w:cs="宋体"/><w:b w:val="0"/><w:bCs w:val="0"/><w:sz w:val="18"/><w:szCs w:val="18"/></w:rPr><w:t>福瑞笛德国合规服务</w:t></w:r><w:r><w:rPr><w:rFonts w:ascii="Times New Roman" w:hAnsi="Times New Roman" w:eastAsia="Times New Roman" w:cs="Times New Roman"/><w:b w:val="0"/><w:bCs w:val="0"/><w:sz w:val="18"/><w:szCs w:val="18"/></w:rPr><w:t xml:space="preserve">  |  Bevollmächtigungsvertrag §35(2) VerpackG</w:t></w:r></w:p><w:p><w:p><w:pPr><w:jc w:val="right"/><w:rPr><w:rFonts w:ascii="Times New Roman" w:hAnsi="Times New Roman" w:eastAsia="Times New Roman" w:cs="Times New Roman"/><w:sz w:val="18"/><w:szCs w:val="18"/></w:rPr></w:pPr><w:r><w:rPr><w:rFonts w:ascii="Times New Roman" w:hAnsi="Times New Roman" w:eastAsia="Times New Roman" w:cs="Times New Roman"/><w:sz w:val="18"/><w:szCs w:val="18"/></w:rPr><w:t xml:space="preserve">合同编号：{contract_number}  |  Vertragsnummer: {contract_number}</w:t></w:r></w:p></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