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standalone="yes"?>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p w14:paraId="509DD7A2"><w:pPr><w:jc w:val="right"/></w:pPr><w:r><w:rPr><w:rFonts w:ascii="Times New Roman" w:hAnsi="Times New Roman" w:eastAsia="Times New Roman" w:cs="Times New Roman"/><w:b w:val="0"/><w:bCs w:val="0"/><w:sz w:val="18"/><w:szCs w:val="18"/></w:rPr><w:t xml:space="preserve">LIVANTO GmbH  |  </w:t></w:r><w:r><w:rPr><w:rFonts w:ascii="宋体" w:hAnsi="宋体" w:eastAsia="宋体" w:cs="宋体"/><w:b w:val="0"/><w:bCs w:val="0"/><w:sz w:val="18"/><w:szCs w:val="18"/></w:rPr><w:t>福瑞笛德国合规服务</w:t></w:r><w:r><w:rPr><w:rFonts w:ascii="Times New Roman" w:hAnsi="Times New Roman" w:eastAsia="Times New Roman" w:cs="Times New Roman"/><w:b w:val="0"/><w:bCs w:val="0"/><w:sz w:val="18"/><w:szCs w:val="18"/></w:rPr><w:t xml:space="preserve">  |  Bevollmächtigungsvertrag §35(2) VerpackG</w:t></w:r></w:p><w:p><w:p><w:pPr><w:jc w:val="right"/><w:rPr><w:rFonts w:ascii="Times New Roman" w:hAnsi="Times New Roman" w:eastAsia="Times New Roman" w:cs="Times New Roman"/><w:sz w:val="18"/><w:szCs w:val="18"/></w:rPr></w:pPr><w:r><w:rPr><w:rFonts w:ascii="Times New Roman" w:hAnsi="Times New Roman" w:eastAsia="Times New Roman" w:cs="Times New Roman"/><w:sz w:val="18"/><w:szCs w:val="18"/></w:rPr><w:t xml:space="preserve">合同编号：{contract_number}  |  Vertragsnummer: {contract_number}</w:t></w:r></w:p></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