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 xml:space="preserve">Tesla</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 xml:space="preserve">特斯拉</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 xml:space="preserve">Anschrift: </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 xml:space="preserve">地址：特斯拉</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 xml:space="preserve">USt-ID / VAT: 111</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 xml:space="preserve">增值税号：111</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gesetzl. Vertreter: </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法定代表人：马斯克</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Kontaktperson: </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联系人：马斯克</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E-Mail: msk@tesla.com</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电子邮箱：msk@tesla.com</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Handynummer: 111</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手机号：111</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 xml:space="preserve">WeChat-ID: msk</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 xml:space="preserve">微信号：msk</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contract_number}。</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玻璃 / Glas</w:t>
            </w:r>
          </w:p>
        </w:tc>
        <w:tc>
          <w:tcPr>
            <w:tcW w:w="10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B2C</w:t>
            </w:r>
          </w:p>
        </w:tc>
        <w:tc>
          <w:tcPr>
            <w:tcW w:w="22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10</w:t>
            </w:r>
          </w:p>
        </w:tc>
        <w:tc>
          <w:tcPr>
            <w:tcW w:w="3955"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
            </w:r>
          </w:p>
        </w:tc>
      </w:tr>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塑料 / Kunststoffe</w:t>
            </w:r>
          </w:p>
        </w:tc>
        <w:tc>
          <w:tcPr>
            <w:tcW w:w="10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B2C</w:t>
            </w:r>
          </w:p>
        </w:tc>
        <w:tc>
          <w:tcPr>
            <w:tcW w:w="22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50</w:t>
            </w:r>
          </w:p>
        </w:tc>
        <w:tc>
          <w:tcPr>
            <w:tcW w:w="3955"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
            </w:r>
          </w:p>
        </w:tc>
      </w:tr>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黑色金属 / Eisenmetalle</w:t>
            </w:r>
          </w:p>
        </w:tc>
        <w:tc>
          <w:tcPr>
            <w:tcW w:w="10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B2C</w:t>
            </w:r>
          </w:p>
        </w:tc>
        <w:tc>
          <w:tcPr>
            <w:tcW w:w="22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20</w:t>
            </w:r>
          </w:p>
        </w:tc>
        <w:tc>
          <w:tcPr>
            <w:tcW w:w="3955"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
            </w:r>
          </w:p>
        </w:tc>
      </w:tr>
      <w:tr>
        <w:tc>
          <w:tcPr>
            <w:gridSpan w:val="2"/>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gridSpan w:val="2"/>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特斯拉</w:t>
            </w:r>
          </w:p>
          <w:p>
            <w:pPr>
              <w:spacing w:before="20" w:after="0"/>
            </w:pPr>
            <w:r>
              <w:rPr>
                <w:rFonts w:ascii="Times New Roman" w:hAnsi="Times New Roman" w:eastAsia="Times New Roman" w:cs="Times New Roman"/>
                <w:sz w:val="21"/>
                <w:szCs w:val="21"/>
              </w:rPr>
              <w:t xml:space="preserve">undefined</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特斯拉</w:t>
            </w:r>
          </w:p>
          <w:p>
            <w:pPr>
              <w:spacing w:before="20" w:after="0"/>
            </w:pPr>
            <w:r>
              <w:rPr>
                <w:rFonts w:ascii="宋体" w:hAnsi="宋体" w:eastAsia="宋体" w:cs="宋体"/>
                <w:sz w:val="21"/>
                <w:szCs w:val="21"/>
              </w:rPr>
              <w:t xml:space="preserve">undefined</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合同编号：LTO-AR-2026-0076  |  Vertragsnummer: LTO-AR-2026-0076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