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宋体"/>
          <w:b/>
          <w:sz w:val="32"/>
        </w:rPr>
        <w:t>个人信息出境标准合同备案操作流程</w:t>
      </w:r>
    </w:p>
    <w:p>
      <w:pPr>
        <w:spacing w:line="360" w:lineRule="auto" w:after="40"/>
      </w:pPr>
      <w:r>
        <w:rPr>
          <w:rFonts w:ascii="Times New Roman" w:hAnsi="Times New Roman" w:eastAsia="宋体"/>
          <w:b w:val="0"/>
          <w:sz w:val="24"/>
        </w:rPr>
        <w:t>适用主体：福瑞笛（上海）信息咨询有限公司淮南分公司（FREDDY (SHANGHAI) INFORMATION CONSULTING LTD. HN）</w:t>
      </w:r>
    </w:p>
    <w:p>
      <w:pPr>
        <w:spacing w:before="240" w:after="120"/>
      </w:pPr>
      <w:r>
        <w:rPr>
          <w:rFonts w:ascii="Times New Roman" w:hAnsi="Times New Roman" w:eastAsia="宋体"/>
          <w:b/>
          <w:sz w:val="26"/>
        </w:rPr>
        <w:t>一、备案依据</w:t>
      </w:r>
    </w:p>
    <w:p>
      <w:pPr>
        <w:spacing w:line="360" w:lineRule="auto" w:after="40"/>
      </w:pPr>
      <w:r>
        <w:rPr>
          <w:rFonts w:ascii="Times New Roman" w:hAnsi="Times New Roman" w:eastAsia="宋体"/>
          <w:b w:val="0"/>
          <w:sz w:val="24"/>
        </w:rPr>
        <w:t>1.《中华人民共和国个人信息保护法》第三十八条、第三十九条、第五十五条；</w:t>
      </w:r>
    </w:p>
    <w:p>
      <w:pPr>
        <w:spacing w:line="360" w:lineRule="auto" w:after="40"/>
      </w:pPr>
      <w:r>
        <w:rPr>
          <w:rFonts w:ascii="Times New Roman" w:hAnsi="Times New Roman" w:eastAsia="宋体"/>
          <w:b w:val="0"/>
          <w:sz w:val="24"/>
        </w:rPr>
        <w:t>2.《个人信息出境标准合同办法》（国家互联网信息办公室令第13号，2023年6月1日起施行）。</w:t>
      </w:r>
    </w:p>
    <w:p>
      <w:pPr>
        <w:spacing w:before="240" w:after="120"/>
      </w:pPr>
      <w:r>
        <w:rPr>
          <w:rFonts w:ascii="Times New Roman" w:hAnsi="Times New Roman" w:eastAsia="宋体"/>
          <w:b/>
          <w:sz w:val="26"/>
        </w:rPr>
        <w:t>二、确认适用「标准合同备案」路径（而非安全评估）</w:t>
      </w:r>
    </w:p>
    <w:p>
      <w:pPr>
        <w:spacing w:line="360" w:lineRule="auto" w:after="40"/>
      </w:pPr>
      <w:r>
        <w:rPr>
          <w:rFonts w:ascii="Times New Roman" w:hAnsi="Times New Roman" w:eastAsia="宋体"/>
          <w:b w:val="0"/>
          <w:sz w:val="24"/>
        </w:rPr>
        <w:t>依据《办法》第四条，福瑞笛同时满足下列情形，适用最轻的「标准合同备案」路径，无需安全评估：</w:t>
      </w:r>
    </w:p>
    <w:p>
      <w:pPr>
        <w:spacing w:line="360" w:lineRule="auto" w:after="40"/>
      </w:pPr>
      <w:r>
        <w:rPr>
          <w:rFonts w:ascii="Times New Roman" w:hAnsi="Times New Roman" w:eastAsia="宋体"/>
          <w:b w:val="0"/>
          <w:sz w:val="24"/>
        </w:rPr>
        <w:t>1. 非关键信息基础设施运营者；</w:t>
      </w:r>
    </w:p>
    <w:p>
      <w:pPr>
        <w:spacing w:line="360" w:lineRule="auto" w:after="40"/>
      </w:pPr>
      <w:r>
        <w:rPr>
          <w:rFonts w:ascii="Times New Roman" w:hAnsi="Times New Roman" w:eastAsia="宋体"/>
          <w:b w:val="0"/>
          <w:sz w:val="24"/>
        </w:rPr>
        <w:t>2. 处理个人信息不满 100 万人；</w:t>
      </w:r>
    </w:p>
    <w:p>
      <w:pPr>
        <w:spacing w:line="360" w:lineRule="auto" w:after="40"/>
      </w:pPr>
      <w:r>
        <w:rPr>
          <w:rFonts w:ascii="Times New Roman" w:hAnsi="Times New Roman" w:eastAsia="宋体"/>
          <w:b w:val="0"/>
          <w:sz w:val="24"/>
        </w:rPr>
        <w:t>3. 自上年1月1日起累计向境外提供个人信息不满 10 万人；</w:t>
      </w:r>
    </w:p>
    <w:p>
      <w:pPr>
        <w:spacing w:line="360" w:lineRule="auto" w:after="40"/>
      </w:pPr>
      <w:r>
        <w:rPr>
          <w:rFonts w:ascii="Times New Roman" w:hAnsi="Times New Roman" w:eastAsia="宋体"/>
          <w:b w:val="0"/>
          <w:sz w:val="24"/>
        </w:rPr>
        <w:t>4. 自上年1月1日起累计向境外提供敏感个人信息不满 1 万人。</w:t>
      </w:r>
    </w:p>
    <w:p>
      <w:pPr>
        <w:spacing w:before="240" w:after="120"/>
      </w:pPr>
      <w:r>
        <w:rPr>
          <w:rFonts w:ascii="Times New Roman" w:hAnsi="Times New Roman" w:eastAsia="宋体"/>
          <w:b/>
          <w:sz w:val="26"/>
        </w:rPr>
        <w:t>三、备案前准备（三步）</w:t>
      </w:r>
    </w:p>
    <w:p>
      <w:pPr>
        <w:spacing w:line="360" w:lineRule="auto" w:after="40"/>
      </w:pPr>
      <w:r>
        <w:rPr>
          <w:rFonts w:ascii="Times New Roman" w:hAnsi="Times New Roman" w:eastAsia="宋体"/>
          <w:b w:val="0"/>
          <w:sz w:val="24"/>
        </w:rPr>
        <w:t>1. 开展个人信息保护影响评估（PIA）—— 已备《个人信息保护影响评估报告》；</w:t>
      </w:r>
    </w:p>
    <w:p>
      <w:pPr>
        <w:spacing w:line="360" w:lineRule="auto" w:after="40"/>
      </w:pPr>
      <w:r>
        <w:rPr>
          <w:rFonts w:ascii="Times New Roman" w:hAnsi="Times New Roman" w:eastAsia="宋体"/>
          <w:b w:val="0"/>
          <w:sz w:val="24"/>
        </w:rPr>
        <w:t>2. 签署《个人信息出境标准合同》—— 已备（FREDDY 为出境方、LIVANTO GmbH 为境外接收方）；</w:t>
      </w:r>
    </w:p>
    <w:p>
      <w:pPr>
        <w:spacing w:line="360" w:lineRule="auto" w:after="40"/>
      </w:pPr>
      <w:r>
        <w:rPr>
          <w:rFonts w:ascii="Times New Roman" w:hAnsi="Times New Roman" w:eastAsia="宋体"/>
          <w:b w:val="0"/>
          <w:sz w:val="24"/>
        </w:rPr>
        <w:t>3. 取得个人信息主体单独同意 —— 已写入客户授权代表合同 §10(3)（客户签约时同意将信息提供给 LIVANTO）。</w:t>
      </w:r>
    </w:p>
    <w:p>
      <w:pPr>
        <w:spacing w:before="240" w:after="120"/>
      </w:pPr>
      <w:r>
        <w:rPr>
          <w:rFonts w:ascii="Times New Roman" w:hAnsi="Times New Roman" w:eastAsia="宋体"/>
          <w:b/>
          <w:sz w:val="26"/>
        </w:rPr>
        <w:t>四、备案提交（《办法》第七条）</w:t>
      </w:r>
    </w:p>
    <w:p>
      <w:pPr>
        <w:spacing w:line="360" w:lineRule="auto" w:after="40"/>
      </w:pPr>
      <w:r>
        <w:rPr>
          <w:rFonts w:ascii="Times New Roman" w:hAnsi="Times New Roman" w:eastAsia="宋体"/>
          <w:b w:val="0"/>
          <w:sz w:val="24"/>
        </w:rPr>
        <w:t>1. 提交时间：标准合同生效之日起 10 个工作日内；</w:t>
      </w:r>
    </w:p>
    <w:p>
      <w:pPr>
        <w:spacing w:line="360" w:lineRule="auto" w:after="40"/>
      </w:pPr>
      <w:r>
        <w:rPr>
          <w:rFonts w:ascii="Times New Roman" w:hAnsi="Times New Roman" w:eastAsia="宋体"/>
          <w:b w:val="0"/>
          <w:sz w:val="24"/>
        </w:rPr>
        <w:t>2. 提交对象：福瑞笛所在地省级网信部门 = 安徽省委网信办；</w:t>
      </w:r>
    </w:p>
    <w:p>
      <w:pPr>
        <w:spacing w:line="360" w:lineRule="auto" w:after="40"/>
      </w:pPr>
      <w:r>
        <w:rPr>
          <w:rFonts w:ascii="Times New Roman" w:hAnsi="Times New Roman" w:eastAsia="宋体"/>
          <w:b w:val="0"/>
          <w:sz w:val="24"/>
        </w:rPr>
        <w:t>3. 提交材料：</w:t>
      </w:r>
    </w:p>
    <w:p>
      <w:pPr>
        <w:spacing w:line="360" w:lineRule="auto" w:after="40"/>
      </w:pPr>
      <w:r>
        <w:rPr>
          <w:rFonts w:ascii="Times New Roman" w:hAnsi="Times New Roman" w:eastAsia="宋体"/>
          <w:b w:val="0"/>
          <w:sz w:val="24"/>
        </w:rPr>
        <w:t xml:space="preserve">   ①《个人信息出境标准合同》；</w:t>
      </w:r>
    </w:p>
    <w:p>
      <w:pPr>
        <w:spacing w:line="360" w:lineRule="auto" w:after="40"/>
      </w:pPr>
      <w:r>
        <w:rPr>
          <w:rFonts w:ascii="Times New Roman" w:hAnsi="Times New Roman" w:eastAsia="宋体"/>
          <w:b w:val="0"/>
          <w:sz w:val="24"/>
        </w:rPr>
        <w:t xml:space="preserve">   ②《个人信息保护影响评估报告》。</w:t>
      </w:r>
    </w:p>
    <w:p>
      <w:pPr>
        <w:spacing w:before="240" w:after="120"/>
      </w:pPr>
      <w:r>
        <w:rPr>
          <w:rFonts w:ascii="Times New Roman" w:hAnsi="Times New Roman" w:eastAsia="宋体"/>
          <w:b/>
          <w:sz w:val="26"/>
        </w:rPr>
        <w:t>五、备案材料清单（对应「备案材料」文件夹）</w:t>
      </w:r>
    </w:p>
    <w:p>
      <w:pPr>
        <w:spacing w:line="360" w:lineRule="auto" w:after="40"/>
      </w:pPr>
      <w:r>
        <w:rPr>
          <w:rFonts w:ascii="Times New Roman" w:hAnsi="Times New Roman" w:eastAsia="宋体"/>
          <w:b w:val="0"/>
          <w:sz w:val="24"/>
        </w:rPr>
        <w:t>核心材料（必交）：</w:t>
      </w:r>
    </w:p>
    <w:p>
      <w:pPr>
        <w:spacing w:line="360" w:lineRule="auto" w:after="40"/>
      </w:pPr>
      <w:r>
        <w:rPr>
          <w:rFonts w:ascii="Times New Roman" w:hAnsi="Times New Roman" w:eastAsia="宋体"/>
          <w:b w:val="0"/>
          <w:sz w:val="24"/>
        </w:rPr>
        <w:t>1. 个人信息出境标准合同_PIPL.pdf</w:t>
      </w:r>
    </w:p>
    <w:p>
      <w:pPr>
        <w:spacing w:line="360" w:lineRule="auto" w:after="40"/>
      </w:pPr>
      <w:r>
        <w:rPr>
          <w:rFonts w:ascii="Times New Roman" w:hAnsi="Times New Roman" w:eastAsia="宋体"/>
          <w:b w:val="0"/>
          <w:sz w:val="24"/>
        </w:rPr>
        <w:t>2. 个人信息保护影响评估报告.pdf</w:t>
      </w:r>
    </w:p>
    <w:p>
      <w:pPr>
        <w:spacing w:line="360" w:lineRule="auto" w:after="40"/>
      </w:pPr>
      <w:r>
        <w:rPr>
          <w:rFonts w:ascii="Times New Roman" w:hAnsi="Times New Roman" w:eastAsia="宋体"/>
          <w:b w:val="0"/>
          <w:sz w:val="24"/>
        </w:rPr>
        <w:t>备查材料（建议携带）：</w:t>
      </w:r>
    </w:p>
    <w:p>
      <w:pPr>
        <w:spacing w:line="360" w:lineRule="auto" w:after="40"/>
      </w:pPr>
      <w:r>
        <w:rPr>
          <w:rFonts w:ascii="Times New Roman" w:hAnsi="Times New Roman" w:eastAsia="宋体"/>
          <w:b w:val="0"/>
          <w:sz w:val="24"/>
        </w:rPr>
        <w:t>3. Kooperationsvereinbarung_FREDDY-LIVANTO.pdf（双方合作协议 + SCC 附件）</w:t>
      </w:r>
    </w:p>
    <w:p>
      <w:pPr>
        <w:spacing w:line="360" w:lineRule="auto" w:after="40"/>
      </w:pPr>
      <w:r>
        <w:rPr>
          <w:rFonts w:ascii="Times New Roman" w:hAnsi="Times New Roman" w:eastAsia="宋体"/>
          <w:b w:val="0"/>
          <w:sz w:val="24"/>
        </w:rPr>
        <w:t>4. 包装法_授权代表合同_空白模板.pdf（客户单独同意条款）</w:t>
      </w:r>
    </w:p>
    <w:p>
      <w:pPr>
        <w:spacing w:before="240" w:after="120"/>
      </w:pPr>
      <w:r>
        <w:rPr>
          <w:rFonts w:ascii="Times New Roman" w:hAnsi="Times New Roman" w:eastAsia="宋体"/>
          <w:b/>
          <w:sz w:val="26"/>
        </w:rPr>
        <w:t>六、备案后事项（《办法》第八条）</w:t>
      </w:r>
    </w:p>
    <w:p>
      <w:pPr>
        <w:spacing w:line="360" w:lineRule="auto" w:after="40"/>
      </w:pPr>
      <w:r>
        <w:rPr>
          <w:rFonts w:ascii="Times New Roman" w:hAnsi="Times New Roman" w:eastAsia="宋体"/>
          <w:b w:val="0"/>
          <w:sz w:val="24"/>
        </w:rPr>
        <w:t>出现下列情形之一的，应当重新开展影响评估、补充或重新订立标准合同，并重新履行备案手续：</w:t>
      </w:r>
    </w:p>
    <w:p>
      <w:pPr>
        <w:spacing w:line="360" w:lineRule="auto" w:after="40"/>
      </w:pPr>
      <w:r>
        <w:rPr>
          <w:rFonts w:ascii="Times New Roman" w:hAnsi="Times New Roman" w:eastAsia="宋体"/>
          <w:b w:val="0"/>
          <w:sz w:val="24"/>
        </w:rPr>
        <w:t>1. 出境目的、范围、种类、敏感程度、方式、保存地点或保存期限发生变化；</w:t>
      </w:r>
    </w:p>
    <w:p>
      <w:pPr>
        <w:spacing w:line="360" w:lineRule="auto" w:after="40"/>
      </w:pPr>
      <w:r>
        <w:rPr>
          <w:rFonts w:ascii="Times New Roman" w:hAnsi="Times New Roman" w:eastAsia="宋体"/>
          <w:b w:val="0"/>
          <w:sz w:val="24"/>
        </w:rPr>
        <w:t>2. 境外接收方所在国家或地区的个人信息保护政策和法规发生变化等可能影响个人信息权益的情形；</w:t>
      </w:r>
    </w:p>
    <w:p>
      <w:pPr>
        <w:spacing w:line="360" w:lineRule="auto" w:after="40"/>
      </w:pPr>
      <w:r>
        <w:rPr>
          <w:rFonts w:ascii="Times New Roman" w:hAnsi="Times New Roman" w:eastAsia="宋体"/>
          <w:b w:val="0"/>
          <w:sz w:val="24"/>
        </w:rPr>
        <w:t>3. 其他可能影响个人信息权益的情形。</w:t>
      </w:r>
    </w:p>
    <w:p>
      <w:pPr>
        <w:spacing w:before="240" w:after="120"/>
      </w:pPr>
      <w:r>
        <w:rPr>
          <w:rFonts w:ascii="Times New Roman" w:hAnsi="Times New Roman" w:eastAsia="宋体"/>
          <w:b/>
          <w:sz w:val="26"/>
        </w:rPr>
        <w:t>七、注意事项</w:t>
      </w:r>
    </w:p>
    <w:p>
      <w:pPr>
        <w:spacing w:line="360" w:lineRule="auto" w:after="40"/>
      </w:pPr>
      <w:r>
        <w:rPr>
          <w:rFonts w:ascii="Times New Roman" w:hAnsi="Times New Roman" w:eastAsia="宋体"/>
          <w:b w:val="0"/>
          <w:sz w:val="24"/>
        </w:rPr>
        <w:t>1. 备案为形式审查，材料不齐全或不符合要求将被退回补正；</w:t>
      </w:r>
    </w:p>
    <w:p>
      <w:pPr>
        <w:spacing w:line="360" w:lineRule="auto" w:after="40"/>
      </w:pPr>
      <w:r>
        <w:rPr>
          <w:rFonts w:ascii="Times New Roman" w:hAnsi="Times New Roman" w:eastAsia="宋体"/>
          <w:b w:val="0"/>
          <w:sz w:val="24"/>
        </w:rPr>
        <w:t>2. 具体提交渠道（线上「数据出境标准合同备案」系统或线下面交）以安徽省委网信办最新指南为准，建议提前电话或官网确认；</w:t>
      </w:r>
    </w:p>
    <w:p>
      <w:pPr>
        <w:spacing w:line="360" w:lineRule="auto" w:after="40"/>
      </w:pPr>
      <w:r>
        <w:rPr>
          <w:rFonts w:ascii="Times New Roman" w:hAnsi="Times New Roman" w:eastAsia="宋体"/>
          <w:b w:val="0"/>
          <w:sz w:val="24"/>
        </w:rPr>
        <w:t>3. 个人信息主体的投诉、举报渠道已在《个人信息出境标准合同》第六条约定；</w:t>
      </w:r>
    </w:p>
    <w:p>
      <w:pPr>
        <w:spacing w:line="360" w:lineRule="auto" w:after="40"/>
      </w:pPr>
      <w:r>
        <w:rPr>
          <w:rFonts w:ascii="Times New Roman" w:hAnsi="Times New Roman" w:eastAsia="宋体"/>
          <w:b w:val="0"/>
          <w:sz w:val="24"/>
        </w:rPr>
        <w:t>4. 评估报告中的评估日期、评估人签字需在提交前填写。</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