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GmbH, Luisenhoffnung 3C, 44225 Dortmund, Deutschland, eingetragen im Handelsregister des Amtsgerichts Dortmund unter HRB 38628, Umsatzsteuer-Identifikationsnummer DE 464031041, vertreten durch ihren Geschäftsführer Zifeng Qian, – als Auftraggeberin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有限责任公司，地址：德国多特蒙德 Luisenhoffnung 3C（邮编 44225），于多特蒙德地方法院商业登记处登记（登记号 HRB 38628），增值税识别号 DE 464031041，由总经理钱子风代表 —— 作为委托方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 Zweigniederlassung Huainan, Zhonghuan International Plaza, Finanzzentrum 158, 4. Etage, Raum 418, Huainan, Anhui, Volksrepublik China, Steuernummer (USCC): 91340400MADDK97K4X, Verantwortlicher: Gui Chengcheng – als Auftragnehmerin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HN（福瑞笛（上海）信息咨询有限公司淮南分公司），地址：中华人民共和国安徽省淮南市中环国际广场158金融中心四层418室，税号：91340400MADDK97K4X，负责人：桂程程 —— 作为受托方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und FREDDY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与福瑞笛以下合称“双方”——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在德国设有符合《营业条例》（GewO）第4条第3款规定的经营机构，并已在包装品登记处 LUCID 注册为授权代表（授权代表ID：DE8514687609035）。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handelt als Zweigniederlassung Huainan der FREDDY (SHANGHAI) INFORMATION CONSULTING LTD. („FREDDY (SHANGHAI) INFORMATION CONSULTING LTD. HN“).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福瑞笛作为福瑞笛（上海）信息咨询有限公司的淮南分公司（FREDDY (SHANGHAI) INFORMATION CONSULTING LTD. HN）行事。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 insbesondere Kunden in der Volksrepublik China.</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本合同标的为双方在向德国境外的客户提供《包装法》/《包装法实施法》授权代表服务方面的合作，尤其是中国客户。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FREDDY im Auftrag von LIVANTO an die jeweiligen dualen Systeme weitergeleitet. Gewinne oder Verluste aus Wechselkursschwankungen zwischen CNY und EUR werden von den Parteien im Verhältnis 50 % zu 50 % geteilt bzw. getragen.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FREDDY 替 LIVANTO 代转付给相应双元系统。因人民币兑欧元汇率波动而产生的盈余或损失，由双方按 50%:50% 的比例分享或承担。</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werden ebenfalls im Verhältnis 50 % zu 50 % geteilt.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分类申请、完整性声明手续费、催款费等）同样按 50%:50% 的比例分成。</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Sämtliche in dieser Vereinbarung genannten Beträge verstehen sich brutto (einschließlich Umsatzsteuer). Die von LIVANTO gegenüber Kunden außerhalb Deutschlands erbrachten Leistungen sind steuerfreie Ausfuhrleistungen (deutsche Umsatzsteuer 0 %). FREDDY erbringt ihre Leistungen gegenüber LIVANTO mit einem chinesischen Umsatzsteuersatz von 1 %, der in der Umsatzbeteiligung von 50 % bereits enthalten ist. Jede Partei trägt und erklärt die auf ihre eigenen Leistungen entfallende Umsatzsteuer selbst; eine gegenseitige Überwälzung findet nicht statt.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本合同所列全部金额均为含税金额（含增值税）。LIVANTO 向德国境外客户提供的服务为免税的出口服务（德国增值税 0%）。FREDDY 向 LIVANTO 提供的服务，按中国小规模纳税人 1% 征收率缴纳增值税，该 1% 已包含在 50% 分成金额中。各方各自承担并申报自身服务项下的增值税，不相互转嫁。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Das Wechselkursrisiko bei der Umrechnung von CNY in EUR trägt FREDDY. FREDDY stellt sicher, dass LIVANTO für jeden Kunden einen Betrag in Höhe von 50 % der jeweiligen Jahresgrundgebühr in Euro gutgeschrieben erhält.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人民币兑换欧元的汇率变动风险由福瑞笛承担。福瑞笛应确保 LIVANTO 每个客户到账金额为该授权代表年费的 50%，且以欧元到账。</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1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专业、合规地履行第3条第1款所述服务，并符合现行包装法规定。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2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福瑞笛以诚实商人的审慎履行第3条第2款所述服务。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Für die Übermittlung personenbezogener Daten von Deutschland in die Volksrepublik China (von LIVANTO an FREDDY) gelten die EU-Standardvertragsklauseln gemäß Durchführungsbeschluss (EU) 2021/914 der Europäischen Kommission (SCC). Für die Übermittlung personenbezogener Daten aus der Volksrepublik China nach Deutschland (von FREDDY an LIVANTO) gelten die Bestimmungen des chinesischen Gesetzes zum Schutz personenbezogener Informationen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凡个人数据从德国传输至中华人民共和国（由 LIVANTO 传至福瑞笛），适用欧盟委员会执行决定 (EU) 2021/914 项下的欧盟标准合同条款（SCC）。凡个人数据从中华人民共和国传输至德国（由福瑞笛传至 LIVANTO），适用中国《个人信息保护法》（PIPL）的相关规定。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und Stempelung durch beide Parteien in Kraft und wird zunächst für die Dauer von einem Jahr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本合同自双方签字盖章之日起生效，初始期限为一年。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Vereinbarung verlängert sich jeweils automatisch um ein weiteres Jahr, sofern sie nicht von einer Partei mit einer Frist von drei Monaten vor Ablauf der jeweiligen Laufzeit schriftlich gekündigt wird.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本合同自动续期一年，除非一方在相应期限届满前三个月书面通知终止。</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A: Gebührenordnung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A：费用表</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Jahresgrundgebühren (brutto, pro Jahr):</w:t>
            </w:r>
          </w:p>
          <w:p>
            <w:pPr>
              <w:spacing w:after="40" w:before="0"/>
            </w:pPr>
            <w:r>
              <w:rPr>
                <w:rFonts w:ascii="Times New Roman" w:hAnsi="Times New Roman" w:eastAsia="宋体" w:cs="Times New Roman"/>
                <w:b w:val="0"/>
                <w:sz w:val="21"/>
              </w:rPr>
              <w:t>• Basis: EUR 29,00</w:t>
            </w:r>
          </w:p>
          <w:p>
            <w:pPr>
              <w:spacing w:after="40" w:before="0"/>
            </w:pPr>
            <w:r>
              <w:rPr>
                <w:rFonts w:ascii="Times New Roman" w:hAnsi="Times New Roman" w:eastAsia="宋体" w:cs="Times New Roman"/>
                <w:b w:val="0"/>
                <w:sz w:val="21"/>
              </w:rPr>
              <w:t>• Standard: EUR 49,00</w:t>
            </w:r>
          </w:p>
          <w:p>
            <w:pPr>
              <w:spacing w:after="40" w:before="0"/>
            </w:pPr>
            <w:r>
              <w:rPr>
                <w:rFonts w:ascii="Times New Roman" w:hAnsi="Times New Roman" w:eastAsia="宋体" w:cs="Times New Roman"/>
                <w:b w:val="0"/>
                <w:sz w:val="21"/>
              </w:rPr>
              <w:t>• Premium: EUR 79,00</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年度基本费用（含税，每年）：</w:t>
            </w:r>
          </w:p>
          <w:p>
            <w:pPr>
              <w:spacing w:after="40" w:before="0"/>
            </w:pPr>
            <w:r>
              <w:rPr>
                <w:rFonts w:ascii="Times New Roman" w:hAnsi="Times New Roman" w:eastAsia="宋体" w:cs="Times New Roman"/>
                <w:b w:val="0"/>
                <w:sz w:val="21"/>
              </w:rPr>
              <w:t>• 基础：29.00 欧元</w:t>
            </w:r>
          </w:p>
          <w:p>
            <w:pPr>
              <w:spacing w:after="40" w:before="0"/>
            </w:pPr>
            <w:r>
              <w:rPr>
                <w:rFonts w:ascii="Times New Roman" w:hAnsi="Times New Roman" w:eastAsia="宋体" w:cs="Times New Roman"/>
                <w:b w:val="0"/>
                <w:sz w:val="21"/>
              </w:rPr>
              <w:t>• 标准：49.00 欧元</w:t>
            </w:r>
          </w:p>
          <w:p>
            <w:pPr>
              <w:spacing w:after="40" w:before="0"/>
            </w:pPr>
            <w:r>
              <w:rPr>
                <w:rFonts w:ascii="Times New Roman" w:hAnsi="Times New Roman" w:eastAsia="宋体" w:cs="Times New Roman"/>
                <w:b w:val="0"/>
                <w:sz w:val="21"/>
              </w:rPr>
              <w:t>• 高级：79.00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Zusätzliche Servicegebühren:</w:t>
            </w:r>
          </w:p>
          <w:p>
            <w:pPr>
              <w:spacing w:after="40" w:before="0"/>
            </w:pPr>
            <w:r>
              <w:rPr>
                <w:rFonts w:ascii="Times New Roman" w:hAnsi="Times New Roman" w:eastAsia="宋体" w:cs="Times New Roman"/>
                <w:b w:val="0"/>
                <w:sz w:val="21"/>
              </w:rPr>
              <w:t>• ZSVR-Klassifizierungsantrag: EUR 150,00</w:t>
            </w:r>
          </w:p>
          <w:p>
            <w:pPr>
              <w:spacing w:after="40" w:before="0"/>
            </w:pPr>
            <w:r>
              <w:rPr>
                <w:rFonts w:ascii="Times New Roman" w:hAnsi="Times New Roman" w:eastAsia="宋体" w:cs="Times New Roman"/>
                <w:b w:val="0"/>
                <w:sz w:val="21"/>
              </w:rPr>
              <w:t>• Bearbeitungsgebühr Vollständigkeitserklärung: EUR 50,00 (zzgl. Prüferkosten)</w:t>
            </w:r>
          </w:p>
          <w:p>
            <w:pPr>
              <w:spacing w:after="40" w:before="0"/>
            </w:pPr>
            <w:r>
              <w:rPr>
                <w:rFonts w:ascii="Times New Roman" w:hAnsi="Times New Roman" w:eastAsia="宋体" w:cs="Times New Roman"/>
                <w:b w:val="0"/>
                <w:sz w:val="21"/>
              </w:rPr>
              <w:t>• Mahngebühr: EUR 15,00</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附加服务费：</w:t>
            </w:r>
          </w:p>
          <w:p>
            <w:pPr>
              <w:spacing w:after="40" w:before="0"/>
            </w:pPr>
            <w:r>
              <w:rPr>
                <w:rFonts w:ascii="Times New Roman" w:hAnsi="Times New Roman" w:eastAsia="宋体" w:cs="Times New Roman"/>
                <w:b w:val="0"/>
                <w:sz w:val="21"/>
              </w:rPr>
              <w:t>• ZSVR 分类申请：150.00 欧元</w:t>
            </w:r>
          </w:p>
          <w:p>
            <w:pPr>
              <w:spacing w:after="40" w:before="0"/>
            </w:pPr>
            <w:r>
              <w:rPr>
                <w:rFonts w:ascii="Times New Roman" w:hAnsi="Times New Roman" w:eastAsia="宋体" w:cs="Times New Roman"/>
                <w:b w:val="0"/>
                <w:sz w:val="21"/>
              </w:rPr>
              <w:t>• 完整性声明手续费：50.00 欧元（另加审计师费用）</w:t>
            </w:r>
          </w:p>
          <w:p>
            <w:pPr>
              <w:spacing w:after="40" w:before="0"/>
            </w:pPr>
            <w:r>
              <w:rPr>
                <w:rFonts w:ascii="Times New Roman" w:hAnsi="Times New Roman" w:eastAsia="宋体" w:cs="Times New Roman"/>
                <w:b w:val="0"/>
                <w:sz w:val="21"/>
              </w:rPr>
              <w:t>• 逾期催款：15.00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Umsatzbeteiligung:</w:t>
            </w:r>
          </w:p>
          <w:p>
            <w:pPr>
              <w:spacing w:after="40" w:before="0"/>
            </w:pPr>
            <w:r>
              <w:rPr>
                <w:rFonts w:ascii="Times New Roman" w:hAnsi="Times New Roman" w:eastAsia="宋体" w:cs="Times New Roman"/>
                <w:b w:val="0"/>
                <w:sz w:val="21"/>
              </w:rPr>
              <w:t>• Jahresgrundgebühren und zusätzliche Servicegebühren: 50 % zu 50 %</w:t>
            </w:r>
          </w:p>
          <w:p>
            <w:pPr>
              <w:spacing w:after="40" w:before="0"/>
            </w:pPr>
            <w:r>
              <w:rPr>
                <w:rFonts w:ascii="Times New Roman" w:hAnsi="Times New Roman" w:eastAsia="宋体" w:cs="Times New Roman"/>
                <w:b w:val="0"/>
                <w:sz w:val="21"/>
              </w:rPr>
              <w:t>• Lizenzentgelte (duale Systeme): durchlaufende Posten, nicht geteilt, von FREDDY im Auftrag von LIVANTO weitergeleitet</w:t>
            </w:r>
          </w:p>
          <w:p>
            <w:pPr>
              <w:spacing w:after="40" w:before="0"/>
            </w:pPr>
            <w:r>
              <w:rPr>
                <w:rFonts w:ascii="Times New Roman" w:hAnsi="Times New Roman" w:eastAsia="宋体" w:cs="Times New Roman"/>
                <w:b w:val="0"/>
                <w:sz w:val="21"/>
              </w:rPr>
              <w:t>• Gewinne oder Verluste aus Wechselkursschwankungen: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分成规则：</w:t>
            </w:r>
          </w:p>
          <w:p>
            <w:pPr>
              <w:spacing w:after="40" w:before="0"/>
            </w:pPr>
            <w:r>
              <w:rPr>
                <w:rFonts w:ascii="Times New Roman" w:hAnsi="Times New Roman" w:eastAsia="宋体" w:cs="Times New Roman"/>
                <w:b w:val="0"/>
                <w:sz w:val="21"/>
              </w:rPr>
              <w:t>• 年费及附加服务费：50%:50%</w:t>
            </w:r>
          </w:p>
          <w:p>
            <w:pPr>
              <w:spacing w:after="40" w:before="0"/>
            </w:pPr>
            <w:r>
              <w:rPr>
                <w:rFonts w:ascii="Times New Roman" w:hAnsi="Times New Roman" w:eastAsia="宋体" w:cs="Times New Roman"/>
                <w:b w:val="0"/>
                <w:sz w:val="21"/>
              </w:rPr>
              <w:t>• 双元系统许可费：代收代付项目，不分成，由 FREDDY 替 LIVANTO 代转付</w:t>
            </w:r>
          </w:p>
          <w:p>
            <w:pPr>
              <w:spacing w:after="40" w:before="0"/>
            </w:pPr>
            <w:r>
              <w:rPr>
                <w:rFonts w:ascii="Times New Roman" w:hAnsi="Times New Roman" w:eastAsia="宋体" w:cs="Times New Roman"/>
                <w:b w:val="0"/>
                <w:sz w:val="21"/>
              </w:rPr>
              <w:t>• 汇率波动产生的盈余或损失：50%:50%</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Umsatzsteuer:</w:t>
            </w:r>
          </w:p>
          <w:p>
            <w:pPr>
              <w:spacing w:after="40" w:before="0"/>
            </w:pPr>
            <w:r>
              <w:rPr>
                <w:rFonts w:ascii="Times New Roman" w:hAnsi="Times New Roman" w:eastAsia="宋体" w:cs="Times New Roman"/>
                <w:b w:val="0"/>
                <w:sz w:val="21"/>
              </w:rPr>
              <w:t>• Sämtliche Beträge verstehen sich brutto.</w:t>
            </w:r>
          </w:p>
          <w:p>
            <w:pPr>
              <w:spacing w:after="40" w:before="0"/>
            </w:pPr>
            <w:r>
              <w:rPr>
                <w:rFonts w:ascii="Times New Roman" w:hAnsi="Times New Roman" w:eastAsia="宋体" w:cs="Times New Roman"/>
                <w:b w:val="0"/>
                <w:sz w:val="21"/>
              </w:rPr>
              <w:t>• LIVANTO: steuerfreie Ausfuhrleistungen gegenüber Kunden außerhalb Deutschlands (0 %).</w:t>
            </w:r>
          </w:p>
          <w:p>
            <w:pPr>
              <w:spacing w:after="40" w:before="0"/>
            </w:pPr>
            <w:r>
              <w:rPr>
                <w:rFonts w:ascii="Times New Roman" w:hAnsi="Times New Roman" w:eastAsia="宋体" w:cs="Times New Roman"/>
                <w:b w:val="0"/>
                <w:sz w:val="21"/>
              </w:rPr>
              <w:t>• FREDDY: chinesischer Umsatzsteuersatz von 1 %, in der 50-%-Beteiligung enthalten.</w:t>
            </w:r>
          </w:p>
          <w:p>
            <w:pPr>
              <w:spacing w:after="40" w:before="0"/>
            </w:pPr>
            <w:r>
              <w:rPr>
                <w:rFonts w:ascii="Times New Roman" w:hAnsi="Times New Roman" w:eastAsia="宋体" w:cs="Times New Roman"/>
                <w:b w:val="0"/>
                <w:sz w:val="21"/>
              </w:rPr>
              <w:t>• Jede Partei trägt ihre eigene Umsatzsteuer.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增值税：</w:t>
            </w:r>
          </w:p>
          <w:p>
            <w:pPr>
              <w:spacing w:after="40" w:before="0"/>
            </w:pPr>
            <w:r>
              <w:rPr>
                <w:rFonts w:ascii="Times New Roman" w:hAnsi="Times New Roman" w:eastAsia="宋体" w:cs="Times New Roman"/>
                <w:b w:val="0"/>
                <w:sz w:val="21"/>
              </w:rPr>
              <w:t>• 所有金额均为含税金额。</w:t>
            </w:r>
          </w:p>
          <w:p>
            <w:pPr>
              <w:spacing w:after="40" w:before="0"/>
            </w:pPr>
            <w:r>
              <w:rPr>
                <w:rFonts w:ascii="Times New Roman" w:hAnsi="Times New Roman" w:eastAsia="宋体" w:cs="Times New Roman"/>
                <w:b w:val="0"/>
                <w:sz w:val="21"/>
              </w:rPr>
              <w:t>• LIVANTO：对德国境外客户的免税出口服务（0%）。</w:t>
            </w:r>
          </w:p>
          <w:p>
            <w:pPr>
              <w:spacing w:after="40" w:before="0"/>
            </w:pPr>
            <w:r>
              <w:rPr>
                <w:rFonts w:ascii="Times New Roman" w:hAnsi="Times New Roman" w:eastAsia="宋体" w:cs="Times New Roman"/>
                <w:b w:val="0"/>
                <w:sz w:val="21"/>
              </w:rPr>
              <w:t>• FREDDY：中国 1% 征收率，已包含在 50% 分成中。</w:t>
            </w:r>
          </w:p>
          <w:p>
            <w:pPr>
              <w:spacing w:after="40" w:before="0"/>
            </w:pPr>
            <w:r>
              <w:rPr>
                <w:rFonts w:ascii="Times New Roman" w:hAnsi="Times New Roman" w:eastAsia="宋体" w:cs="Times New Roman"/>
                <w:b w:val="0"/>
                <w:sz w:val="21"/>
              </w:rPr>
              <w:t>• 各方各自承担自身增值税。</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B: Abrechnungsformular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B：季度结算单模板</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Abrechnungszeitraum: jeweils ein Kalenderquartal (1. Januar – 31. März; 1. April – 30. Juni; 1. Juli – 30. September; 1. Oktober – 31. Dezember).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结算期间：每个自然季度（1月1日–3月31日；4月1日–6月30日；7月1日–9月30日；10月1日–12月31日）。</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Kundenliste:</w:t>
            </w:r>
          </w:p>
          <w:p>
            <w:pPr>
              <w:spacing w:after="40" w:before="0"/>
            </w:pPr>
            <w:r>
              <w:rPr>
                <w:rFonts w:ascii="Times New Roman" w:hAnsi="Times New Roman" w:eastAsia="宋体" w:cs="Times New Roman"/>
                <w:b w:val="0"/>
                <w:sz w:val="21"/>
              </w:rPr>
              <w:t>Vertragsnummer / Kundenname / Servicestufe / Jahresgrundgebühr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客户清单：</w:t>
            </w:r>
          </w:p>
          <w:p>
            <w:pPr>
              <w:spacing w:after="40" w:before="0"/>
            </w:pPr>
            <w:r>
              <w:rPr>
                <w:rFonts w:ascii="Times New Roman" w:hAnsi="Times New Roman" w:eastAsia="宋体" w:cs="Times New Roman"/>
                <w:b w:val="0"/>
                <w:sz w:val="21"/>
              </w:rPr>
              <w:t>合同编号 / 客户名称 / 服务等级 / 年度基本费用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Berechnung:</w:t>
            </w:r>
          </w:p>
          <w:p>
            <w:pPr>
              <w:spacing w:after="40" w:before="0"/>
            </w:pPr>
            <w:r>
              <w:rPr>
                <w:rFonts w:ascii="Times New Roman" w:hAnsi="Times New Roman" w:eastAsia="宋体" w:cs="Times New Roman"/>
                <w:b w:val="0"/>
                <w:sz w:val="21"/>
              </w:rPr>
              <w:t>• Summe der Jahresgrundgebühren × 50 % = an LIVANTO zu überweisender Betrag (EUR)</w:t>
            </w:r>
          </w:p>
          <w:p>
            <w:pPr>
              <w:spacing w:after="40" w:before="0"/>
            </w:pPr>
            <w:r>
              <w:rPr>
                <w:rFonts w:ascii="Times New Roman" w:hAnsi="Times New Roman" w:eastAsia="宋体" w:cs="Times New Roman"/>
                <w:b w:val="0"/>
                <w:sz w:val="21"/>
              </w:rPr>
              <w:t>• Lizenzentgelte (duale Systeme): durchlaufende Posten (Aufstellung beigefügt)</w:t>
            </w:r>
          </w:p>
          <w:p>
            <w:pPr>
              <w:spacing w:after="40" w:before="0"/>
            </w:pPr>
            <w:r>
              <w:rPr>
                <w:rFonts w:ascii="Times New Roman" w:hAnsi="Times New Roman" w:eastAsia="宋体" w:cs="Times New Roman"/>
                <w:b w:val="0"/>
                <w:sz w:val="21"/>
              </w:rPr>
              <w:t>• Gewinne oder Verluste aus Wechselkursschwankungen: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结算计算：</w:t>
            </w:r>
          </w:p>
          <w:p>
            <w:pPr>
              <w:spacing w:after="40" w:before="0"/>
            </w:pPr>
            <w:r>
              <w:rPr>
                <w:rFonts w:ascii="Times New Roman" w:hAnsi="Times New Roman" w:eastAsia="宋体" w:cs="Times New Roman"/>
                <w:b w:val="0"/>
                <w:sz w:val="21"/>
              </w:rPr>
              <w:t>• 年度基本费用合计 × 50% = 应转 LIVANTO 金额（欧元）</w:t>
            </w:r>
          </w:p>
          <w:p>
            <w:pPr>
              <w:spacing w:after="40" w:before="0"/>
            </w:pPr>
            <w:r>
              <w:rPr>
                <w:rFonts w:ascii="Times New Roman" w:hAnsi="Times New Roman" w:eastAsia="宋体" w:cs="Times New Roman"/>
                <w:b w:val="0"/>
                <w:sz w:val="21"/>
              </w:rPr>
              <w:t>• 双元系统许可费：代收代付项目（附明细）</w:t>
            </w:r>
          </w:p>
          <w:p>
            <w:pPr>
              <w:spacing w:after="40" w:before="0"/>
            </w:pPr>
            <w:r>
              <w:rPr>
                <w:rFonts w:ascii="Times New Roman" w:hAnsi="Times New Roman" w:eastAsia="宋体" w:cs="Times New Roman"/>
                <w:b w:val="0"/>
                <w:sz w:val="21"/>
              </w:rPr>
              <w:t>• 汇率波动产生的盈余或损失：50%:50%</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Überweisungsbetrag an LIVANTO (EUR): ____________________</w:t>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t>FREDDY (Unterschrift / Stempel): ____________________</w:t>
            </w:r>
          </w:p>
          <w:p>
            <w:pPr>
              <w:spacing w:after="40" w:before="0"/>
            </w:pPr>
            <w:r>
              <w:rPr>
                <w:rFonts w:ascii="Times New Roman" w:hAnsi="Times New Roman" w:eastAsia="宋体" w:cs="Times New Roman"/>
                <w:b w:val="0"/>
                <w:sz w:val="21"/>
              </w:rPr>
              <w:t>LIVANTO (Unterschrift / Stempel): ____________________</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应转 LIVANTO 金额（欧元）：____________________</w:t>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t>福瑞笛（签字 / 盖章）：____________________</w:t>
            </w:r>
          </w:p>
          <w:p>
            <w:pPr>
              <w:spacing w:after="40" w:before="0"/>
            </w:pPr>
            <w:r>
              <w:rPr>
                <w:rFonts w:ascii="Times New Roman" w:hAnsi="Times New Roman" w:eastAsia="宋体" w:cs="Times New Roman"/>
                <w:b w:val="0"/>
                <w:sz w:val="21"/>
              </w:rPr>
              <w:t>LIVANTO（签字 / 盖章）：____________________</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C: EU-Standardvertragsklauseln (SCC) – Modul 1</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C：欧盟标准合同条款（SCC）— 模块 1</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vereinbaren, dass für die Übermittlung personenbezogener Daten von LIVANTO an FREDDY in die Volksrepublik China die Standardvertragsklauseln gemäß Durchführungsbeschluss (EU) 2021/914 der Europäischen Kommission in der Fassung von Modul 1 (Übermittlung von Verantwortlichem an Verantwortlichen) Anwendung finden. Die Standardvertragsklauseln einschließlich ihrer Anhänge sind Bestandteil dieser Anlage.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双方约定，LIVANTO 向中华人民共和国境内的福瑞笛传输个人数据，适用欧盟委员会执行决定 (EU) 2021/914 项下标准合同条款的模块 1（控制者向控制者传输）。该标准合同条款及其附录为本附件的组成部分。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Section I — Clauses 1 to 6</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第一部分 — 条款 1 至 6</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1 — Purpose and scope. Zweck dieser Klauseln ist es, ein der DSGVO im Wesentlichen gleichwertiges Schutzniveau für betroffene Personen sicherzustellen, deren personenbezogene Daten vom Datenexporteur an einen Datenimporteur in einem Drittland übermittelt werden.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1 — 目的与范围。本条款旨在确保，当数据出口方将个人数据传输给第三国的数据进口方时，数据主体获得与 GDPR 实质等同的保护水平。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2 — Effect and invariability of the Clauses. Diese Klauseln sind für die Parteien bindend und dürfen nicht geändert werden; sie begründen unmittelbare Rechte zugunsten der betroffenen Personen.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2 — 条款的效力与不可变更性。本条款对双方具有约束力，不得修改；其直接赋予数据主体权利。</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3 — Interpretation. Die in diesen Klauseln verwendeten Begriffe sind im Einklang mit der DSGVO auszulegen. Bei Widersprüchen gehen diese Klauseln vor, soweit sie betroffene Personen begünstigen.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3 — 解释。本条款所用术语应依据 GDPR 解释。条款与其他约定冲突时，在有利于数据主体的范围内，本条款优先。</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4 — Hierarchy. Im Falle eines Widerspruchs zwischen diesen Klauseln und einer anderen Vereinbarung zwischen den Parteien gelten diese Klauseln vorrangig.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4 — 层级。本条款与双方之间的其他协议冲突时，本条款优先。</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5 — Docking clause. Weitere Einrichtungen können diesen Klauseln als Datenexporteur oder Datenimporteur beitreten, sofern die übrigen Parteien zustimmen.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5 — 加入条款。经其余方同意，其他主体可作为数据出口方或数据进口方加入本条款。</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6 — Description of the transfer(s). Die Einzelheiten der Übermittlung, insbesondere die Kategorien personenbezogener Daten, Zwecke und Verarbeitungstätigkeiten, sind in Anhang I beschrieben.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6 — 传输描述。传输的详细情况，特别是个人数据类别、目的及处理活动，见附录 I。</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Section II — Obligations of the Parties (Clauses 7 to 13)</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第二部分 — 双方的义务（条款 7 至 13）</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7 — Data protection safeguards. Der Datenexporteur und der Datenimporteur stellen sicher, dass die personenbezogenen Daten nach Maßgabe dieses Moduls geschützt werden.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7 — 数据保护保障。数据出口方与数据进口方确保个人数据按本模块规定受到保护。</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8 — Data protection safeguards (Module One: Transfer controller to controller).</w:t>
            </w:r>
          </w:p>
          <w:p>
            <w:pPr>
              <w:spacing w:after="40" w:before="0"/>
            </w:pPr>
            <w:r>
              <w:rPr>
                <w:rFonts w:ascii="Times New Roman" w:hAnsi="Times New Roman" w:eastAsia="宋体" w:cs="Times New Roman"/>
                <w:b w:val="0"/>
                <w:sz w:val="21"/>
              </w:rPr>
              <w:t>8.1 Purpose limitation: Verarbeitung nur zu den in Anhang I genannten Zwecken.</w:t>
            </w:r>
          </w:p>
          <w:p>
            <w:pPr>
              <w:spacing w:after="40" w:before="0"/>
            </w:pPr>
            <w:r>
              <w:rPr>
                <w:rFonts w:ascii="Times New Roman" w:hAnsi="Times New Roman" w:eastAsia="宋体" w:cs="Times New Roman"/>
                <w:b w:val="0"/>
                <w:sz w:val="21"/>
              </w:rPr>
              <w:t>8.2 Transparency: Information der betroffenen Personen über die Verarbeitung.</w:t>
            </w:r>
          </w:p>
          <w:p>
            <w:pPr>
              <w:spacing w:after="40" w:before="0"/>
            </w:pPr>
            <w:r>
              <w:rPr>
                <w:rFonts w:ascii="Times New Roman" w:hAnsi="Times New Roman" w:eastAsia="宋体" w:cs="Times New Roman"/>
                <w:b w:val="0"/>
                <w:sz w:val="21"/>
              </w:rPr>
              <w:t>8.3 Accuracy and data minimisation: Daten richtig halten und auf das notwendige Maß beschränken.</w:t>
            </w:r>
          </w:p>
          <w:p>
            <w:pPr>
              <w:spacing w:after="40" w:before="0"/>
            </w:pPr>
            <w:r>
              <w:rPr>
                <w:rFonts w:ascii="Times New Roman" w:hAnsi="Times New Roman" w:eastAsia="宋体" w:cs="Times New Roman"/>
                <w:b w:val="0"/>
                <w:sz w:val="21"/>
              </w:rPr>
              <w:t>8.4 Storage limitation: Aufbewahrung nur so lange wie erforderlich.</w:t>
            </w:r>
          </w:p>
          <w:p>
            <w:pPr>
              <w:spacing w:after="40" w:before="0"/>
            </w:pPr>
            <w:r>
              <w:rPr>
                <w:rFonts w:ascii="Times New Roman" w:hAnsi="Times New Roman" w:eastAsia="宋体" w:cs="Times New Roman"/>
                <w:b w:val="0"/>
                <w:sz w:val="21"/>
              </w:rPr>
              <w:t>8.5 Security of processing: geeignete technische und organisatorische Maßnahmen (z. B. Verschlüsselung, Zugriffskontrolle).</w:t>
            </w:r>
          </w:p>
          <w:p>
            <w:pPr>
              <w:spacing w:after="40" w:before="0"/>
            </w:pPr>
            <w:r>
              <w:rPr>
                <w:rFonts w:ascii="Times New Roman" w:hAnsi="Times New Roman" w:eastAsia="宋体" w:cs="Times New Roman"/>
                <w:b w:val="0"/>
                <w:sz w:val="21"/>
              </w:rPr>
              <w:t>8.6 Sensitive data: besondere Beschränkungen für sensible Daten.</w:t>
            </w:r>
          </w:p>
          <w:p>
            <w:pPr>
              <w:spacing w:after="40" w:before="0"/>
            </w:pPr>
            <w:r>
              <w:rPr>
                <w:rFonts w:ascii="Times New Roman" w:hAnsi="Times New Roman" w:eastAsia="宋体" w:cs="Times New Roman"/>
                <w:b w:val="0"/>
                <w:sz w:val="21"/>
              </w:rPr>
              <w:t>8.7 Onward transfers: Weitergabe an Dritte nur unter Bindung an diese Klauseln.</w:t>
            </w:r>
          </w:p>
          <w:p>
            <w:pPr>
              <w:spacing w:after="40" w:before="0"/>
            </w:pPr>
            <w:r>
              <w:rPr>
                <w:rFonts w:ascii="Times New Roman" w:hAnsi="Times New Roman" w:eastAsia="宋体" w:cs="Times New Roman"/>
                <w:b w:val="0"/>
                <w:sz w:val="21"/>
              </w:rPr>
              <w:t>8.8 Processing under the authority of the data importer: Verarbeitung nur auf dokumentierte Weisung.</w:t>
            </w:r>
          </w:p>
          <w:p>
            <w:pPr>
              <w:spacing w:after="40" w:before="0"/>
            </w:pPr>
            <w:r>
              <w:rPr>
                <w:rFonts w:ascii="Times New Roman" w:hAnsi="Times New Roman" w:eastAsia="宋体" w:cs="Times New Roman"/>
                <w:b w:val="0"/>
                <w:sz w:val="21"/>
              </w:rPr>
              <w:t>8.9 Documentation and compliance: Nachweis der Einhaltung dieser Klauseln.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8 — 数据保护保障（模块一：控制者到控制者）。</w:t>
            </w:r>
          </w:p>
          <w:p>
            <w:pPr>
              <w:spacing w:after="40" w:before="0"/>
            </w:pPr>
            <w:r>
              <w:rPr>
                <w:rFonts w:ascii="Times New Roman" w:hAnsi="Times New Roman" w:eastAsia="宋体" w:cs="Times New Roman"/>
                <w:b w:val="0"/>
                <w:sz w:val="21"/>
              </w:rPr>
              <w:t>8.1 目的限制：仅按附录 I 所述目的处理。</w:t>
            </w:r>
          </w:p>
          <w:p>
            <w:pPr>
              <w:spacing w:after="40" w:before="0"/>
            </w:pPr>
            <w:r>
              <w:rPr>
                <w:rFonts w:ascii="Times New Roman" w:hAnsi="Times New Roman" w:eastAsia="宋体" w:cs="Times New Roman"/>
                <w:b w:val="0"/>
                <w:sz w:val="21"/>
              </w:rPr>
              <w:t>8.2 透明度：向数据主体告知处理情况。</w:t>
            </w:r>
          </w:p>
          <w:p>
            <w:pPr>
              <w:spacing w:after="40" w:before="0"/>
            </w:pPr>
            <w:r>
              <w:rPr>
                <w:rFonts w:ascii="Times New Roman" w:hAnsi="Times New Roman" w:eastAsia="宋体" w:cs="Times New Roman"/>
                <w:b w:val="0"/>
                <w:sz w:val="21"/>
              </w:rPr>
              <w:t>8.3 准确性与数据最小化：保持数据准确并限制在必要范围。</w:t>
            </w:r>
          </w:p>
          <w:p>
            <w:pPr>
              <w:spacing w:after="40" w:before="0"/>
            </w:pPr>
            <w:r>
              <w:rPr>
                <w:rFonts w:ascii="Times New Roman" w:hAnsi="Times New Roman" w:eastAsia="宋体" w:cs="Times New Roman"/>
                <w:b w:val="0"/>
                <w:sz w:val="21"/>
              </w:rPr>
              <w:t>8.4 存储限制：仅保存必要的期限。</w:t>
            </w:r>
          </w:p>
          <w:p>
            <w:pPr>
              <w:spacing w:after="40" w:before="0"/>
            </w:pPr>
            <w:r>
              <w:rPr>
                <w:rFonts w:ascii="Times New Roman" w:hAnsi="Times New Roman" w:eastAsia="宋体" w:cs="Times New Roman"/>
                <w:b w:val="0"/>
                <w:sz w:val="21"/>
              </w:rPr>
              <w:t>8.5 处理安全：采取适当技术与组织措施（如加密、访问控制）。</w:t>
            </w:r>
          </w:p>
          <w:p>
            <w:pPr>
              <w:spacing w:after="40" w:before="0"/>
            </w:pPr>
            <w:r>
              <w:rPr>
                <w:rFonts w:ascii="Times New Roman" w:hAnsi="Times New Roman" w:eastAsia="宋体" w:cs="Times New Roman"/>
                <w:b w:val="0"/>
                <w:sz w:val="21"/>
              </w:rPr>
              <w:t>8.6 敏感数据：对敏感数据施加特别限制。</w:t>
            </w:r>
          </w:p>
          <w:p>
            <w:pPr>
              <w:spacing w:after="40" w:before="0"/>
            </w:pPr>
            <w:r>
              <w:rPr>
                <w:rFonts w:ascii="Times New Roman" w:hAnsi="Times New Roman" w:eastAsia="宋体" w:cs="Times New Roman"/>
                <w:b w:val="0"/>
                <w:sz w:val="21"/>
              </w:rPr>
              <w:t>8.7 后续传输：仅在第三方受本条款约束时方可向其提供。</w:t>
            </w:r>
          </w:p>
          <w:p>
            <w:pPr>
              <w:spacing w:after="40" w:before="0"/>
            </w:pPr>
            <w:r>
              <w:rPr>
                <w:rFonts w:ascii="Times New Roman" w:hAnsi="Times New Roman" w:eastAsia="宋体" w:cs="Times New Roman"/>
                <w:b w:val="0"/>
                <w:sz w:val="21"/>
              </w:rPr>
              <w:t>8.8 数据进口方权限下的处理：仅按书面指示处理。</w:t>
            </w:r>
          </w:p>
          <w:p>
            <w:pPr>
              <w:spacing w:after="40" w:before="0"/>
            </w:pPr>
            <w:r>
              <w:rPr>
                <w:rFonts w:ascii="Times New Roman" w:hAnsi="Times New Roman" w:eastAsia="宋体" w:cs="Times New Roman"/>
                <w:b w:val="0"/>
                <w:sz w:val="21"/>
              </w:rPr>
              <w:t>8.9 文档与合规：证明对本条款的遵守。</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9 — Use of sub-processors. Für den Transfer von Verantwortlichem zu Verantwortlichem (Module One) nicht anwendbar; Weitergaben unterliegen Ziffer 8.7.</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9 — 分包商的使用。控制者到控制者（模块一）不适用；后续传输适用第 8.7 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10 — Data subject rights. Der Datenimporteur unterstützt die betroffenen Personen bei der Wahrnehmung ihrer Rechte auf Auskunft, Berichtigung und Löschung.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10 — 数据主体权利。数据进口方协助数据主体行使查阅、更正和删除等权利。</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11 — Redress. Betroffene Personen können Ansprüche gegenüber dem Datenimporteur geltend machen; Streitigkeiten können vor der zuständigen Aufsichtsbehörde oder einem Gericht verfolgt werden.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11 — 救济。数据主体可向数据进口方主张权利；争议可向主管监管机构或法院寻求解决。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12 — Liability. Jede Partei haftet der anderen und den betroffenen Personen für Schäden, die durch eine Verletzung dieser Klauseln entstehen.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12 — 责任。双方对因违反本条款给对方及数据主体造成的损害承担责任。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13 — Supervision. Der Datenimporteur unterwirft sich der Zuständigkeit der in Anhang I genannten Aufsichtsbehörde und befolgt deren Anordnungen.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13 — 监督。数据进口方接受附录 I 所述监管机构的管辖并遵守其决定。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Section III — Local Laws and Obligations in Case of Access by Public Authorities (Clauses 14 to 15)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第三部分 — 当地法律与公共机构访问的义务（条款 14 至 15）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14 — Local laws and practices affecting compliance with the Clauses. Die Parteien versichern, keine Rechtsvorschriften zu kennen, die die Erfüllung dieser Klauseln verhindern; der Datenimporteur teilt Änderungen unverzüglich mit.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14 — 影响条款合规的当地法律与惯例。双方保证不知悉有阻碍履行本条款的法律规定；数据进口方应即时告知相关变化。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15 — Obligations in case of access by public authorities. Der Datenimporteur informiert den Datenexporteur unverzüglich über behördliche Zugriffsverlangen und prüft deren Rechtmäßigkeit.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15 — 公共机构访问时的义务。数据进口方即时将公共机构的访问要求告知数据出口方，并审查其合法性。</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Section IV — Final Provisions (Clauses 16 to 18)</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第四部分 — 最终条款（条款 16 至 18）</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16 — Non-compliance with the Clauses and termination. Der Datenexporteur kann die Übermittlung aussetzen und die Klauseln kündigen, wenn der Datenimporteur diese Klauseln nicht einhalten kann.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16 — 不合规与终止。数据进口方无法遵守本条款的，数据出口方可暂停传输并终止条款。</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17 — Governing law. Auf diese Klauseln findet das Recht eines EU-Mitgliedstaats Anwendung, das den betroffenen Personen einen Drittbegünstigtenanspruch gewährt.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17 — 管辖法律。本条款适用某一赋予数据主体第三方受益权的欧盟成员国法律。</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Clause 18 — Choice of forum and jurisdiction. Streitigkeiten aus diesen Klauseln werden vor den Gerichten des in Anhang I genannten Mitgliedstaats verhandelt.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条款 18 — 法院与管辖选择。因本条款产生的争议由附录 I 所述成员国法院审理。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Anhang I A. – Liste der Parteien:</w:t>
            </w:r>
          </w:p>
          <w:p>
            <w:pPr>
              <w:spacing w:after="40" w:before="0"/>
            </w:pPr>
            <w:r>
              <w:rPr>
                <w:rFonts w:ascii="Times New Roman" w:hAnsi="Times New Roman" w:eastAsia="宋体" w:cs="Times New Roman"/>
                <w:b w:val="0"/>
                <w:sz w:val="21"/>
              </w:rPr>
              <w:t>Datenexporteur: LIVANTO GmbH, Luisenhoffnung 3C, 44225 Dortmund, Deutschland; Rolle: Verantwortlicher.</w:t>
            </w:r>
          </w:p>
          <w:p>
            <w:pPr>
              <w:spacing w:after="40" w:before="0"/>
            </w:pPr>
            <w:r>
              <w:rPr>
                <w:rFonts w:ascii="Times New Roman" w:hAnsi="Times New Roman" w:eastAsia="宋体" w:cs="Times New Roman"/>
                <w:b w:val="0"/>
                <w:sz w:val="21"/>
              </w:rPr>
              <w:t>Datenimporteur: FREDDY (SHANGHAI) INFORMATION CONSULTING LTD. HN, Zhonghuan International Plaza, Finanzzentrum 158, 4. Etage, Raum 418, Huainan, Anhui, Volksrepublik China; Rolle: Verantwortlicher.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附录 I A. – 双方名单：</w:t>
            </w:r>
          </w:p>
          <w:p>
            <w:pPr>
              <w:spacing w:after="40" w:before="0"/>
            </w:pPr>
            <w:r>
              <w:rPr>
                <w:rFonts w:ascii="Times New Roman" w:hAnsi="Times New Roman" w:eastAsia="宋体" w:cs="Times New Roman"/>
                <w:b w:val="0"/>
                <w:sz w:val="21"/>
              </w:rPr>
              <w:t>数据出口方：LIVANTO GmbH，德国多特蒙德 Luisenhoffnung 3C（邮编 44225）；角色：控制者。</w:t>
            </w:r>
          </w:p>
          <w:p>
            <w:pPr>
              <w:spacing w:after="40" w:before="0"/>
            </w:pPr>
            <w:r>
              <w:rPr>
                <w:rFonts w:ascii="Times New Roman" w:hAnsi="Times New Roman" w:eastAsia="宋体" w:cs="Times New Roman"/>
                <w:b w:val="0"/>
                <w:sz w:val="21"/>
              </w:rPr>
              <w:t>数据进口方：FREDDY (SHANGHAI) INFORMATION CONSULTING LTD. HN，中华人民共和国安徽省淮南市中环国际广场158金融中心四层418室；角色：控制者。</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Anhang I B. – Beschreibung der Übermittlung:</w:t>
            </w:r>
          </w:p>
          <w:p>
            <w:pPr>
              <w:spacing w:after="40" w:before="0"/>
            </w:pPr>
            <w:r>
              <w:rPr>
                <w:rFonts w:ascii="Times New Roman" w:hAnsi="Times New Roman" w:eastAsia="宋体" w:cs="Times New Roman"/>
                <w:b w:val="0"/>
                <w:sz w:val="21"/>
              </w:rPr>
              <w:t>Kategorien betroffener Personen: Kontaktpersonen und gesetzliche Vertreter der Kunden.</w:t>
            </w:r>
          </w:p>
          <w:p>
            <w:pPr>
              <w:spacing w:after="40" w:before="0"/>
            </w:pPr>
            <w:r>
              <w:rPr>
                <w:rFonts w:ascii="Times New Roman" w:hAnsi="Times New Roman" w:eastAsia="宋体" w:cs="Times New Roman"/>
                <w:b w:val="0"/>
                <w:sz w:val="21"/>
              </w:rPr>
              <w:t>Kategorien personenbezogener Daten: Name, Firma, Anschrift, E-Mail-Adresse, Telefonnummer, WeChat-ID, Steuernummer, Verpackungsdaten.</w:t>
            </w:r>
          </w:p>
          <w:p>
            <w:pPr>
              <w:spacing w:after="40" w:before="0"/>
            </w:pPr>
            <w:r>
              <w:rPr>
                <w:rFonts w:ascii="Times New Roman" w:hAnsi="Times New Roman" w:eastAsia="宋体" w:cs="Times New Roman"/>
                <w:b w:val="0"/>
                <w:sz w:val="21"/>
              </w:rPr>
              <w:t>Zweck: Durchführung dieser Vereinbarung (Kundenbetreuung, Abrechnung und Zahlungsabwicklung).</w:t>
            </w:r>
          </w:p>
          <w:p>
            <w:pPr>
              <w:spacing w:after="40" w:before="0"/>
            </w:pPr>
            <w:r>
              <w:rPr>
                <w:rFonts w:ascii="Times New Roman" w:hAnsi="Times New Roman" w:eastAsia="宋体" w:cs="Times New Roman"/>
                <w:b w:val="0"/>
                <w:sz w:val="21"/>
              </w:rPr>
              <w:t>Häufigkeit: fortlaufend nach Bedarf.</w:t>
            </w:r>
          </w:p>
          <w:p>
            <w:pPr>
              <w:spacing w:after="40" w:before="0"/>
            </w:pPr>
            <w:r>
              <w:rPr>
                <w:rFonts w:ascii="Times New Roman" w:hAnsi="Times New Roman" w:eastAsia="宋体" w:cs="Times New Roman"/>
                <w:b w:val="0"/>
                <w:sz w:val="21"/>
              </w:rPr>
              <w:t>Aufbewahrungsdauer: für die Dauer der Zusammenarbeit und die Dauer gesetzlicher Aufbewahrungspflichten.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附录 I B. – 传输描述：</w:t>
            </w:r>
          </w:p>
          <w:p>
            <w:pPr>
              <w:spacing w:after="40" w:before="0"/>
            </w:pPr>
            <w:r>
              <w:rPr>
                <w:rFonts w:ascii="Times New Roman" w:hAnsi="Times New Roman" w:eastAsia="宋体" w:cs="Times New Roman"/>
                <w:b w:val="0"/>
                <w:sz w:val="21"/>
              </w:rPr>
              <w:t>数据主体类别：客户的联系人及法定代表人。</w:t>
            </w:r>
          </w:p>
          <w:p>
            <w:pPr>
              <w:spacing w:after="40" w:before="0"/>
            </w:pPr>
            <w:r>
              <w:rPr>
                <w:rFonts w:ascii="Times New Roman" w:hAnsi="Times New Roman" w:eastAsia="宋体" w:cs="Times New Roman"/>
                <w:b w:val="0"/>
                <w:sz w:val="21"/>
              </w:rPr>
              <w:t>个人数据类别：姓名、公司名称、地址、电子邮箱、电话号码、微信号、税号、包装数据。</w:t>
            </w:r>
          </w:p>
          <w:p>
            <w:pPr>
              <w:spacing w:after="40" w:before="0"/>
            </w:pPr>
            <w:r>
              <w:rPr>
                <w:rFonts w:ascii="Times New Roman" w:hAnsi="Times New Roman" w:eastAsia="宋体" w:cs="Times New Roman"/>
                <w:b w:val="0"/>
                <w:sz w:val="21"/>
              </w:rPr>
              <w:t>传输目的：履行本合同（客户维护、结算及支付处理）。</w:t>
            </w:r>
          </w:p>
          <w:p>
            <w:pPr>
              <w:spacing w:after="40" w:before="0"/>
            </w:pPr>
            <w:r>
              <w:rPr>
                <w:rFonts w:ascii="Times New Roman" w:hAnsi="Times New Roman" w:eastAsia="宋体" w:cs="Times New Roman"/>
                <w:b w:val="0"/>
                <w:sz w:val="21"/>
              </w:rPr>
              <w:t>传输频率：持续、按需。</w:t>
            </w:r>
          </w:p>
          <w:p>
            <w:pPr>
              <w:spacing w:after="40" w:before="0"/>
            </w:pPr>
            <w:r>
              <w:rPr>
                <w:rFonts w:ascii="Times New Roman" w:hAnsi="Times New Roman" w:eastAsia="宋体" w:cs="Times New Roman"/>
                <w:b w:val="0"/>
                <w:sz w:val="21"/>
              </w:rPr>
              <w:t>保留期限：合作期间及法定保存义务期间。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Anhang I C. – Zuständige Aufsichtsbehörde: Landesbeauftragte für Datenschutz und Informationsfreiheit Nordrhein-Westfalen (LDI NRW).</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附录 I C. – 主管监管机构：北莱茵-威斯特法伦州数据保护与信息自由专员（LDI NRW）。</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Anhang II. – Technische und organisatorische Maßnahmen: Verschlüsselung der Datenübertragung (TLS), Zugriffs- und Berechtigungskontrolle, vertrauliche Behandlung, Löschkonzept, Schutz vor unbefugtem Zugriff.</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附录 II. – 技术与组织措施：数据传输加密（TLS）、访问与权限控制、数据的保密处理、删除方案、防止未经授权的访问。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Für die Übermittlung personenbezogener Daten von FREDDY an LIVANTO (aus der Volksrepublik China nach Deutschland) gelten die Bestimmungen des chinesischen Gesetzes zum Schutz personenbezogener Informationen (PIPL); die Parteien schließen hierzu gesondert einen Standardvertrag für die Übermittlung personenbezogener Informationen ins Ausland ab.</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对于福瑞笛向 LIVANTO（自中华人民共和国至德国）传输个人数据，适用中国《个人信息保护法》（PIPL）；双方就此另行签署《个人信息出境标准合同》。</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