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Nr.	Materialfraktion / 材料类别	Kategorie / 类别	Menge (kg)	Produktbeispiel / 产品举例</w:t>
            </w:r>
            <w:r>
              <w:br/>
            </w:r>
            <w:r>
              <w:rPr>
                <w:rFonts w:ascii="Times New Roman" w:hAnsi="Times New Roman" w:eastAsia="Times New Roman" w:cs="Times New Roman"/>
                <w:sz w:val="21"/>
                <w:szCs w:val="21"/>
              </w:rPr>
              <w:t xml:space="preserve">1	plastic/Kunststoffe	B2C	50	phone case</w:t>
            </w:r>
            <w:r>
              <w:br/>
            </w:r>
            <w:r>
              <w:rPr>
                <w:rFonts w:ascii="Times New Roman" w:hAnsi="Times New Roman" w:eastAsia="Times New Roman" w:cs="Times New Roman"/>
                <w:sz w:val="21"/>
                <w:szCs w:val="21"/>
              </w:rPr>
              <w:t xml:space="preserve">2	paper/Papier	B2C	10	packaging box</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