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p>
            <w:r>
              <w:rPr>
                <w:rFonts w:ascii="Times New Roman" w:hAnsi="Times New Roman" w:eastAsia="Times New Roman" w:cs="Times New Roman"/>
                <w:sz w:val="21"/>
                <w:szCs w:val="21"/>
              </w:rPr>
              <w:t xml:space="preserve">Nr.					Materialfraktion / 材料类别					Kategorie / 类别					Menge (kg)					Produktbeispiel / 产品举例</w:t>
            </w:r>
            <w:r>
              <w:br/>
            </w:r>
            <w:r>
              <w:rPr>
                <w:rFonts w:ascii="Times New Roman" w:hAnsi="Times New Roman" w:eastAsia="Times New Roman" w:cs="Times New Roman"/>
                <w:sz w:val="21"/>
                <w:szCs w:val="21"/>
              </w:rPr>
              <w:t xml:space="preserve">1					plastic					B2C					50					phone case</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