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LIVANTO 按实际金额、不加价转付给相应双元系统。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Für die Umrechnung von CNY in EUR gilt der Wechselkurs am Tag der Überweisung, mindestens jedoch der Devisenmittelkurs der Bank of China an diesem Tag.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人民币兑换欧元的汇率按转账当日的汇率计算，且不低于当日中国银行外汇中间价。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Soweit personenbezogene Daten zwischen der Volksrepublik China und Deutschland übermittelt werden, erfolgt dies auf Grundlage der EU-Standardvertragsklauseln gemäß Durchführungsbeschluss (EU) 2021/914 der Europäischen Kommission (SCC) sowie ergänzend der geltenden chinesischen Datenschutzbestimmungen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凡个人数据在中华人民共和国与德国之间传输，基于欧盟委员会执行决定 (EU) 2021/914 项下的欧盟标准合同条款（SCC），并补充适用中国《个人信息保护法》（PIPL）的相关规定。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