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Nr. 21, Longhu Road, Huainan, Anhui, Volksrepublik China, handelnd durch ihre Hauptniederlassung FREDDY (SHANGHAI) INFORMATION CONSULTING LTD.,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HN（福瑞笛（上海）信息咨询有限公司淮南分公司），地址：中华人民共和国安徽省淮南市龙湖路21号，由其总公司福瑞笛（上海）信息咨询有限公司授权行事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 und ist von ihrer Hauptniederlassung zur Unterzeichnung und Durchführung dieser Vereinbarung ermächtigt.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HN）行事，并获其总公司授权签署和履行本合同。</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LIVANTO in tatsächlicher Höhe ohne Aufschlag an die jeweiligen dualen Systeme weitergeleitet.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LIVANTO 按实际金额、不加价转付给相应双元系统。</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FREDDY stellt sicher, dass LIVANTO den Betrag in Euro gutgeschrieben erhält.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LIVANTO。福瑞笛应确保 LIVANTO 以欧元到账。就基础服务等级（29.00欧元/年）而言，相当于每个客户每年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Für die Umrechnung von CNY in EUR gilt der Wechselkurs am Tag der Überweisung, mindestens jedoch der Devisenmittelkurs der Bank of China an diesem Tag.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人民币兑换欧元的汇率按转账当日的汇率计算，且不低于当日中国银行外汇中间价。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Soweit personenbezogene Daten zwischen der Volksrepublik China und Deutschland übermittelt werden, erfolgt dies auf Grundlage der EU-Standardvertragsklauseln gemäß Durchführungsbeschluss (EU) 2021/914 der Europäischen Kommission (SCC) sowie ergänzend der geltenden chinesischen Datenschutzbestimmungen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凡个人数据在中华人民共和国与德国之间传输，基于欧盟委员会执行决定 (EU) 2021/914 项下的欧盟标准合同条款（SCC），并补充适用中国《个人信息保护法》（PIPL）的相关规定。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