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eastAsia="宋体" w:cs="Times New Roman"/>
          <w:b/>
          <w:sz w:val="30"/>
        </w:rPr>
        <w:t>Kooperationsvereinbarung</w:t>
      </w:r>
    </w:p>
    <w:p>
      <w:pPr>
        <w:spacing w:after="160" w:before="0"/>
        <w:jc w:val="center"/>
      </w:pPr>
      <w:r>
        <w:rPr>
          <w:rFonts w:ascii="Times New Roman" w:hAnsi="Times New Roman" w:eastAsia="宋体" w:cs="Times New Roman"/>
          <w:b/>
          <w:sz w:val="30"/>
        </w:rPr>
        <w:t>合作协议</w:t>
      </w:r>
    </w:p>
    <w:p>
      <w:pPr>
        <w:spacing w:after="40" w:before="0"/>
        <w:jc w:val="center"/>
      </w:pPr>
      <w:r>
        <w:rPr>
          <w:rFonts w:ascii="Times New Roman" w:hAnsi="Times New Roman" w:eastAsia="宋体" w:cs="Times New Roman"/>
          <w:b w:val="0"/>
          <w:sz w:val="22"/>
        </w:rPr>
        <w:t>über die Zusammenarbeit im Bereich der Bevollmächtigung nach dem Verpackungsgesetz (VerpackG) / Verpackungsrecht-Durchführungsgesetz (VerpackDG)</w:t>
      </w:r>
    </w:p>
    <w:p>
      <w:pPr>
        <w:spacing w:after="240" w:before="0"/>
        <w:jc w:val="center"/>
      </w:pPr>
      <w:r>
        <w:rPr>
          <w:rFonts w:ascii="Times New Roman" w:hAnsi="Times New Roman" w:eastAsia="宋体" w:cs="Times New Roman"/>
          <w:b w:val="0"/>
          <w:sz w:val="22"/>
        </w:rPr>
        <w:t>关于《德国包装法》（VerpackG）/《包装法实施法》（VerpackDG）授权代表业务的合作</w:t>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zwischen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由</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GmbH, Luisenhoffnung 3C, 44225 Dortmund, Deutschland, eingetragen im Handelsregister des Amtsgerichts Dortmund unter HRB 38628, Umsatzsteuer-Identifikationsnummer DE 464031041, vertreten durch ihren Geschäftsführer Zifeng Qian, – als Auftraggeberin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有限责任公司，地址：德国多特蒙德 Luisenhoffnung 3C（邮编 44225），于多特蒙德地方法院商业登记处登记（登记号 HRB 38628），增值税识别号 DE 464031041，由总经理钱子风代表 —— 作为委托方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„LIVANTO“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und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与</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 Zweigniederlassung Huainan, Zhonghuan International Plaza, Finanzzentrum 158, 4. Etage, Raum 418, Huainan, Anhui, Volksrepublik China, Steuernummer (USCC): 91340400MADDK97K4X, Verantwortlicher: Gui Chengcheng – als Auftragnehmerin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(SHANGHAI) INFORMATION CONSULTING LTD. HN（福瑞笛（上海）信息咨询有限公司淮南分公司），地址：中华人民共和国安徽省淮南市中环国际广场158金融中心四层418室，税号：91340400MADDK97K4X，负责人：桂程程 —— 作为受托方 ——</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nachfolgend „FREDDY“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以下称“福瑞笛”——，</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und FREDDY gemeinsam nachfolgend auch „Parteien“ genannt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 LIVANTO 与福瑞笛以下合称“双方”——</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Präambel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序言</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ist berechtigt, als Bevollmächtigter gemäß § 35 Absatz 2 VerpackG (ab dem 12. August 2026 nach Maßgabe des Verpackungsrecht-Durchführungsgesetzes, VerpackDG) die verpackungsrechtlichen Pflichten für Hersteller ohne Niederlassung in Deutschland zu übernehmen.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有权依据《德国包装法》第35条第2款（自2026年8月12日起按《包装法实施法》VerpackDG 的规定）为在德国无分支机构的制造商承担包装法义务，担任授权代表。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ist im chinesischsprachigen Raum in der Markterschließung, Kundenbetreuung und Zahlungsabwicklung tätig und verfügt über ein Online-Portal sowie ein Netzwerk chinesischer Hersteller.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福瑞笛在中文地区从事市场拓展、客户维护和支付处理，拥有在线门户及中国制造商网络。</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beabsichtigen, im Bereich der Verpackungsgesetz-Bevollmächtigung zusammenzuarbeiten, wobei FREDDY die markt- und kundenseitigen Leistungen und LIVANTO die rechtlichen und regulatorischen Leistungen in Deutschland erbringt. Die Parteien vereinbaren hierzu die nachfolgende Aufteilung der Aufgaben und der Umsätze.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双方拟在包装法授权代表领域开展合作：由福瑞笛提供市场及客户侧服务，由 LIVANTO 提供德国境内法律及监管服务。为此，双方就职责与营收的划分达成如下约定。</w:t>
            </w:r>
          </w:p>
        </w:tc>
      </w:tr>
    </w:tbl>
    <w:p>
      <w:pPr>
        <w:spacing w:after="40" w:before="0"/>
        <w:jc w:val="left"/>
      </w:pPr>
      <w:r>
        <w:rPr>
          <w:rFonts w:ascii="Times New Roman" w:hAnsi="Times New Roman" w:eastAsia="宋体" w:cs="Times New Roman"/>
          <w:b w:val="0"/>
          <w:sz w:val="21"/>
        </w:rPr>
      </w: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Vertragsparteien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  合同双方</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verfügt über eine eingerichtete Niederlassung im Sinne des § 4 Absatz 3 GewO in Deutschland und ist als Bevollmächtigter im Verpackungsregister LUCID registriert (Bevollmächtigten-ID: DE8514687609035).</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在德国设有符合《营业条例》（GewO）第4条第3款规定的经营机构，并已在包装品登记处 LUCID 注册为授权代表（授权代表ID：DE8514687609035）。</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handelt als Zweigniederlassung Huainan der FREDDY (SHANGHAI) INFORMATION CONSULTING LTD. („FREDDY (SHANGHAI) INFORMATION CONSULTING LTD. HN“).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福瑞笛作为福瑞笛（上海）信息咨询有限公司的淮南分公司（FREDDY (SHANGHAI) INFORMATION CONSULTING LTD. HN）行事。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Vertragsgegenstand und Zweck</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2  合同标的与目的</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Gegenstand dieser Vereinbarung ist die Zusammenarbeit der Parteien bei der Erbringung von Bevollmächtigungsleistungen nach dem VerpackG/VerpackDG gegenüber Kunden mit Sitz außerhalb von Deutschland, insbesondere Kunden in der Volksrepublik China.</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本合同标的为双方在向德国境外的客户提供《包装法》/《包装法实施法》授权代表服务方面的合作，尤其是中国客户。</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Zweck der Zusammenarbeit ist es, die von den Parteien jeweils erbrachten Leistungen zu bündeln: FREDDY erbringt die markt- und kundenseitigen Leistungen (Marketing, Vertrieb, Kundenbetreuung, Zahlungsabwicklung), LIVANTO erbringt die rechtlichen und regulatorischen Leistungen (Bevollmächtigung, Systembeteiligung, Datenmeldung, Behördenkorrespondenz).</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合作目的是整合双方各自提供的服务：福瑞笛提供市场及客户侧服务（市场推广、销售、客户维护、支付处理），LIVANTO 提供法律及监管服务（授权代表、系统参与、数据申报、官方通信）。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Diese Vereinbarung begründet keine Gesellschaft bürgerlichen Rechts (§ 705 BGB) und kein gemeinsames Handeln als Gesamtschuldner; jede Partei handelt im eigenen Namen und auf eigene Rechnung.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本合同不构成《德国民法典》第705条意义上的民事合伙，也不构成连带责任共同经营；双方均以自身名义、自负盈亏行事。</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Aufgabenverteilung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3  职责划分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übernimmt insbesondere folgende Aufgaben:</w:t>
            </w:r>
          </w:p>
          <w:p>
            <w:pPr>
              <w:spacing w:after="40" w:before="0"/>
            </w:pPr>
            <w:r>
              <w:rPr>
                <w:rFonts w:ascii="Times New Roman" w:hAnsi="Times New Roman" w:eastAsia="宋体" w:cs="Times New Roman"/>
                <w:b w:val="0"/>
                <w:sz w:val="21"/>
              </w:rPr>
              <w:t>a) Übernahme sämtlicher verpackungsrechtlicher Pflichten als Bevollmächtigter nach § 35 Absatz 2 VerpackG/VerpackDG;</w:t>
            </w:r>
          </w:p>
          <w:p>
            <w:pPr>
              <w:spacing w:after="40" w:before="0"/>
            </w:pPr>
            <w:r>
              <w:rPr>
                <w:rFonts w:ascii="Times New Roman" w:hAnsi="Times New Roman" w:eastAsia="宋体" w:cs="Times New Roman"/>
                <w:b w:val="0"/>
                <w:sz w:val="21"/>
              </w:rPr>
              <w:t>b) Abschluss und Aufrechterhaltung der Systembeteiligungsverträge mit dualen Systemen;</w:t>
            </w:r>
          </w:p>
          <w:p>
            <w:pPr>
              <w:spacing w:after="40" w:before="0"/>
            </w:pPr>
            <w:r>
              <w:rPr>
                <w:rFonts w:ascii="Times New Roman" w:hAnsi="Times New Roman" w:eastAsia="宋体" w:cs="Times New Roman"/>
                <w:b w:val="0"/>
                <w:sz w:val="21"/>
              </w:rPr>
              <w:t>c) Datenmeldung an die ZSVR und, soweit erforderlich, Abgabe von Vollständigkeitserklärungen;</w:t>
            </w:r>
          </w:p>
          <w:p>
            <w:pPr>
              <w:spacing w:after="40" w:before="0"/>
            </w:pPr>
            <w:r>
              <w:rPr>
                <w:rFonts w:ascii="Times New Roman" w:hAnsi="Times New Roman" w:eastAsia="宋体" w:cs="Times New Roman"/>
                <w:b w:val="0"/>
                <w:sz w:val="21"/>
              </w:rPr>
              <w:t>d) Entgegennahme behördlicher Mitteilungen und Bescheide;</w:t>
            </w:r>
          </w:p>
          <w:p>
            <w:pPr>
              <w:spacing w:after="40" w:before="0"/>
            </w:pPr>
            <w:r>
              <w:rPr>
                <w:rFonts w:ascii="Times New Roman" w:hAnsi="Times New Roman" w:eastAsia="宋体" w:cs="Times New Roman"/>
                <w:b w:val="0"/>
                <w:sz w:val="21"/>
              </w:rPr>
              <w:t>e) Beobachtung und Kommunikation wesentlicher Änderungen der gesetzlichen Rahmenbedingungen.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特别承担以下任务：</w:t>
            </w:r>
          </w:p>
          <w:p>
            <w:pPr>
              <w:spacing w:after="40" w:before="0"/>
            </w:pPr>
            <w:r>
              <w:rPr>
                <w:rFonts w:ascii="Times New Roman" w:hAnsi="Times New Roman" w:eastAsia="宋体" w:cs="Times New Roman"/>
                <w:b w:val="0"/>
                <w:sz w:val="21"/>
              </w:rPr>
              <w:t>a) 作为授权代表依据《包装法》/《包装法实施法》第35条第2款承担全部包装法义务；</w:t>
            </w:r>
          </w:p>
          <w:p>
            <w:pPr>
              <w:spacing w:after="40" w:before="0"/>
            </w:pPr>
            <w:r>
              <w:rPr>
                <w:rFonts w:ascii="Times New Roman" w:hAnsi="Times New Roman" w:eastAsia="宋体" w:cs="Times New Roman"/>
                <w:b w:val="0"/>
                <w:sz w:val="21"/>
              </w:rPr>
              <w:t>b) 与双元系统签订并维持系统参与合同；</w:t>
            </w:r>
          </w:p>
          <w:p>
            <w:pPr>
              <w:spacing w:after="40" w:before="0"/>
            </w:pPr>
            <w:r>
              <w:rPr>
                <w:rFonts w:ascii="Times New Roman" w:hAnsi="Times New Roman" w:eastAsia="宋体" w:cs="Times New Roman"/>
                <w:b w:val="0"/>
                <w:sz w:val="21"/>
              </w:rPr>
              <w:t>c) 向 ZSVR 进行数据申报，并在必要时提交完整性声明；</w:t>
            </w:r>
          </w:p>
          <w:p>
            <w:pPr>
              <w:spacing w:after="40" w:before="0"/>
            </w:pPr>
            <w:r>
              <w:rPr>
                <w:rFonts w:ascii="Times New Roman" w:hAnsi="Times New Roman" w:eastAsia="宋体" w:cs="Times New Roman"/>
                <w:b w:val="0"/>
                <w:sz w:val="21"/>
              </w:rPr>
              <w:t>d) 接收主管部门的通知和决定；</w:t>
            </w:r>
          </w:p>
          <w:p>
            <w:pPr>
              <w:spacing w:after="40" w:before="0"/>
            </w:pPr>
            <w:r>
              <w:rPr>
                <w:rFonts w:ascii="Times New Roman" w:hAnsi="Times New Roman" w:eastAsia="宋体" w:cs="Times New Roman"/>
                <w:b w:val="0"/>
                <w:sz w:val="21"/>
              </w:rPr>
              <w:t>e) 跟踪并传达法律框架的重大变更。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übernimmt insbesondere folgende Aufgaben:</w:t>
            </w:r>
          </w:p>
          <w:p>
            <w:pPr>
              <w:spacing w:after="40" w:before="0"/>
            </w:pPr>
            <w:r>
              <w:rPr>
                <w:rFonts w:ascii="Times New Roman" w:hAnsi="Times New Roman" w:eastAsia="宋体" w:cs="Times New Roman"/>
                <w:b w:val="0"/>
                <w:sz w:val="21"/>
              </w:rPr>
              <w:t>a) Markterschließung und Kundenakquise im chinesischsprachigen Raum;</w:t>
            </w:r>
          </w:p>
          <w:p>
            <w:pPr>
              <w:spacing w:after="40" w:before="0"/>
            </w:pPr>
            <w:r>
              <w:rPr>
                <w:rFonts w:ascii="Times New Roman" w:hAnsi="Times New Roman" w:eastAsia="宋体" w:cs="Times New Roman"/>
                <w:b w:val="0"/>
                <w:sz w:val="21"/>
              </w:rPr>
              <w:t>b) Kundenbetreuung, Kundenservice und laufende Kommunikation mit den Kunden;</w:t>
            </w:r>
          </w:p>
          <w:p>
            <w:pPr>
              <w:spacing w:after="40" w:before="0"/>
            </w:pPr>
            <w:r>
              <w:rPr>
                <w:rFonts w:ascii="Times New Roman" w:hAnsi="Times New Roman" w:eastAsia="宋体" w:cs="Times New Roman"/>
                <w:b w:val="0"/>
                <w:sz w:val="21"/>
              </w:rPr>
              <w:t>c) Betrieb und Pflege des Online-Portals sowie der Vertrags- und Zahlungsabwicklung;</w:t>
            </w:r>
          </w:p>
          <w:p>
            <w:pPr>
              <w:spacing w:after="40" w:before="0"/>
            </w:pPr>
            <w:r>
              <w:rPr>
                <w:rFonts w:ascii="Times New Roman" w:hAnsi="Times New Roman" w:eastAsia="宋体" w:cs="Times New Roman"/>
                <w:b w:val="0"/>
                <w:sz w:val="21"/>
              </w:rPr>
              <w:t>d) Einziehung sämtlicher von den Kunden zu leistenden Zahlungen und Weiterleitung gemäß § 4.</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福瑞笛特别承担以下任务：</w:t>
            </w:r>
          </w:p>
          <w:p>
            <w:pPr>
              <w:spacing w:after="40" w:before="0"/>
            </w:pPr>
            <w:r>
              <w:rPr>
                <w:rFonts w:ascii="Times New Roman" w:hAnsi="Times New Roman" w:eastAsia="宋体" w:cs="Times New Roman"/>
                <w:b w:val="0"/>
                <w:sz w:val="21"/>
              </w:rPr>
              <w:t>a) 中文地区的市场拓展与客户开发；</w:t>
            </w:r>
          </w:p>
          <w:p>
            <w:pPr>
              <w:spacing w:after="40" w:before="0"/>
            </w:pPr>
            <w:r>
              <w:rPr>
                <w:rFonts w:ascii="Times New Roman" w:hAnsi="Times New Roman" w:eastAsia="宋体" w:cs="Times New Roman"/>
                <w:b w:val="0"/>
                <w:sz w:val="21"/>
              </w:rPr>
              <w:t>b) 客户维护、客户服务及与客户的日常沟通；</w:t>
            </w:r>
          </w:p>
          <w:p>
            <w:pPr>
              <w:spacing w:after="40" w:before="0"/>
            </w:pPr>
            <w:r>
              <w:rPr>
                <w:rFonts w:ascii="Times New Roman" w:hAnsi="Times New Roman" w:eastAsia="宋体" w:cs="Times New Roman"/>
                <w:b w:val="0"/>
                <w:sz w:val="21"/>
              </w:rPr>
              <w:t>c) 在线门户的运营与维护，以及合同与支付处理；</w:t>
            </w:r>
          </w:p>
          <w:p>
            <w:pPr>
              <w:spacing w:after="40" w:before="0"/>
            </w:pPr>
            <w:r>
              <w:rPr>
                <w:rFonts w:ascii="Times New Roman" w:hAnsi="Times New Roman" w:eastAsia="宋体" w:cs="Times New Roman"/>
                <w:b w:val="0"/>
                <w:sz w:val="21"/>
              </w:rPr>
              <w:t>d) 代收客户应付的全部款项，并按第4条转付。</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Umsatzbeteiligung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4  营收分成</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teilen die Umsätze aus den Jahresgrundgebühren der Bevollmächtigungsverträge (Servicestufen Basis EUR 29,00, Standard EUR 49,00, Premium EUR 79,00 pro Jahr) im Verhältnis von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双方按 50%:50% 的比例分享授权代表合同的年度基本费用收入（服务等级：基础 29.00欧元/年、标准 49.00欧元/年、高级 79.00欧元/年）。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an die dualen Systeme zu entrichtenden Lizenzentgelte (Systembeteiligungsgebühren) sind durchlaufende Posten. Sie werden nicht geteilt und von FREDDY im Auftrag von LIVANTO an die jeweiligen dualen Systeme weitergeleitet. Gewinne oder Verluste aus Wechselkursschwankungen zwischen CNY und EUR werden von den Parteien im Verhältnis 50 % zu 50 % geteilt bzw. getragen.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应向双元系统支付的许可费用（系统参与费）为代收代付项目，不参与分成，由 FREDDY 替 LIVANTO 代转付给相应双元系统。因人民币兑欧元汇率波动而产生的盈余或损失，由双方按 50%:50% 的比例分享或承担。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Zusätzliche Servicegebühren (z. B. ZSVR-Klassifizierungsantrag, Bearbeitungsgebühr Vollständigkeitserklärung, Mahngebühren) werden ebenfalls im Verhältnis 50 % zu 50 % geteilt.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附加服务费（如 ZSVR 分类申请、完整性声明手续费、催款费等）同样按 50%:50% 的比例分成。</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Sämtliche in dieser Vereinbarung genannten Beträge verstehen sich brutto (einschließlich Umsatzsteuer). Die von LIVANTO gegenüber Kunden außerhalb Deutschlands erbrachten Leistungen sind steuerfreie Ausfuhrleistungen (deutsche Umsatzsteuer 0 %). FREDDY erbringt ihre Leistungen gegenüber LIVANTO mit einem chinesischen Umsatzsteuersatz von 1 %, der in der Umsatzbeteiligung von 50 % bereits enthalten ist. Jede Partei trägt und erklärt die auf ihre eigenen Leistungen entfallende Umsatzsteuer selbst; eine gegenseitige Überwälzung findet nicht statt.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本合同所列全部金额均为含税金额（含增值税）。LIVANTO 向德国境外客户提供的服务为免税的出口服务（德国增值税 0%）。FREDDY 向 LIVANTO 提供的服务，按中国小规模纳税人 1% 征收率缴纳增值税，该 1% 已包含在 50% 分成金额中。各方各自承担并申报自身服务项下的增值税，不相互转嫁。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Abrechnung und Zahlung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5  结算与支付</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zieht sämtliche von den Kunden zu leistenden Zahlungen ein.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福瑞笛代收客户应付的全部款项。</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Abrechnung erfolgt kalenderquartalsweise. FREDDY erstellt jeweils nach Ablauf eines Kalenderquartals eine Abrechnung über die im Quartal vereinnahmten Jahresgrundgebühren und übermittelt diese LIVANTO.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结算按自然季度进行。福瑞笛于每个自然季度结束后编制该季度实收年度基本费用的结算单，并提交给 LIVANTO。</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überweist LIVANTO 50 % der im Quartal vereinnahmten Jahresgrundgebühren. Bei der Servicestufe Basis (EUR 29,00/Jahr) entspricht dies EUR 14,50 pro Kunde und Jahr.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福瑞笛将季度内实收年度基本费用的 50% 转账给 LIVANTO。就基础服务等级（29.00欧元/年）而言，相当于每个客户每年 14.50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Das Wechselkursrisiko bei der Umrechnung von CNY in EUR trägt FREDDY. FREDDY stellt sicher, dass LIVANTO für jeden Kunden einen Betrag in Höhe von 50 % der jeweiligen Jahresgrundgebühr in Euro gutgeschrieben erhält.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人民币兑换欧元的汇率变动风险由福瑞笛承担。福瑞笛应确保 LIVANTO 每个客户到账金额为该授权代表年费的 50%，且以欧元到账。</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ist berechtigt, die Abrechnung von FREDDY zu prüfen. FREDDY stellt LIVANTO hierzu auf Anforderung die erforderlichen Belege zur Verfügung.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LIVANTO 有权审核福瑞笛的结算单。福瑞笛应根据要求向 LIVANTO 提供所需凭证。</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Pflichten der LIVANTO</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6  LIVANTO 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erbringt die in § 3 Absatz 1 genannten Leistungen fachgerecht und im Einklang mit dem jeweils geltenden Verpackungsrecht.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LIVANTO 专业、合规地履行第3条第1款所述服务，并符合现行包装法规定。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hält ihre Registrierung als Bevollmächtigter im Verpackungsregister LUCID während der gesamten Laufzeit aufrecht.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LIVANTO 在整个合同期内维持其在包装品登记处 LUCID 的授权代表注册。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informiert FREDDY über wesentliche Änderungen der gesetzlichen Rahmenbedingungen, die die Kunden betreffen.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LIVANTO 就涉及客户的重大法律框架变更通知福瑞笛。</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Pflichten des FREDDY</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7  福瑞笛的义务</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FREDDY erbringt die in § 3 Absatz 2 genannten Leistungen mit der Sorgfalt eines ordentlichen Kaufmanns.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福瑞笛以诚实商人的审慎履行第3条第2款所述服务。</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FREDDY zieht die Kundenbeträge rechtzeitig ein und führt die Abrechnung gemäß § 5 durch.</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福瑞笛及时代收客户款项，并按第5条进行结算。</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FREDDY informiert LIVANTO unverzüglich über für die Bevollmächtigung erhebliche Kundenangaben und über Änderungen im Kundenbestand.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福瑞笛应立即将影响授权的重要客户信息及客户变动情况告知 LIVANTO。</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Haftung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8  责任</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Jede Partei haftet für die von ihr erbrachten Leistungen nach den gesetzlichen Vorschriften.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双方各自就其提供的服务依法承担责任。</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Haftung einer Partei ist – außer bei Vorsatz, grober Fahrlässigkeit sowie bei der Verletzung von Leben, Körper oder Gesundheit – auf den typischen, vorhersehbaren Schaden begrenzt.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除故意、重大过失以及侵害生命、身体或健康的情形外，一方的责任限于典型的、可预见的损害。</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Eine Partei haftet nicht für Pflichtverletzungen der jeweils anderen Partei gegenüber Dritten. Die Parteien stellen einander von Ansprüchen Dritter frei, soweit diese aus dem Verantwortungsbereich der jeweils anderen Partei stammen.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一方不对另一方对第三方的违约承担责任。对于源于对方责任范围的第三方索赔，双方相互使对方免责。</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Geheimhaltung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9  保密</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verpflichten sich, alle im Rahmen der Zusammenarbeit erlangten vertraulichen Informationen, insbesondere Kundendaten und Geschäftsgeheimnisse, vertraulich zu behandeln und nur zur Durchführung dieser Vereinbarung zu verwenden.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双方承诺对合作过程中获知的所有保密信息，特别是客户数据和商业秘密，予以保密，并仅用于履行本合同。</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Geheimhaltungspflicht gilt nicht für Informationen, die offenkundig sind oder deren Offenlegung gesetzlich vorgeschrieben ist.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保密义务不适用于已公开的信息或法律要求披露的信息。</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Geheimhaltungspflicht besteht über die Beendigung dieser Vereinbarung hinaus fort.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保密义务在本合同终止后继续有效。</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Datenschutz</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10  数据保护</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verarbeiten personenbezogene Daten ausschließlich zur Durchführung dieser Vereinbarung und im Einklang mit der Datenschutz-Grundverordnung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双方仅为本合同履行之目的，并依据《通用数据保护条例》（GDPR）处理个人数据。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Für die Übermittlung personenbezogener Daten von Deutschland in die Volksrepublik China (von LIVANTO an FREDDY) gelten die EU-Standardvertragsklauseln gemäß Durchführungsbeschluss (EU) 2021/914 der Europäischen Kommission (SCC). Für die Übermittlung personenbezogener Daten aus der Volksrepublik China nach Deutschland (von FREDDY an LIVANTO) gelten die Bestimmungen des chinesischen Gesetzes zum Schutz personenbezogener Informationen (PIPL).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凡个人数据从德国传输至中华人民共和国（由 LIVANTO 传至福瑞笛），适用欧盟委员会执行决定 (EU) 2021/914 项下的欧盟标准合同条款（SCC）。凡个人数据从中华人民共和国传输至德国（由福瑞笛传至 LIVANTO），适用中国《个人信息保护法》（PIPL）的相关规定。</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Die Parteien treffen geeignete technische und organisatorische Maßnahmen zum Schutz personenbezogener Daten gemäß Art. 32 DSGVO.</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双方依据 GDPR 第32条采取适当的技术和组织措施保护个人数据。</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Geistiges Eigentum</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11  知识产权</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Sämtliche Rechte an den von einer Partei vor Abschluss dieser Vereinbarung geschaffenen Werken, Marken, Logos und sonstigen Schutzgegenständen verbleiben bei der jeweiligen Partei.</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一方在本合同签订前已拥有的作品、商标、标识及其他受保护客体的全部权利，归该方所有。</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Neu geschaffene Schutzrechte stehen der Partei zu, die sie geschaffen hat. Eine gemeinsame Nutzung bedarf einer gesonderten schriftlichen Vereinbarung.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新产生的知识产权归创造该知识产权的一方所有。共同使用需另行书面约定。</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Laufzeit und Kündigung</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12  期限与终止</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Diese Vereinbarung tritt mit Unterzeichnung und Stempelung durch beide Parteien in Kraft und wird zunächst für die Dauer von einem Jahr geschlossen.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本合同自双方签字盖章之日起生效，初始期限为一年。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Die Vereinbarung verlängert sich jeweils automatisch um ein weiteres Jahr, sofern sie nicht von einer Partei mit einer Frist von drei Monaten vor Ablauf der jeweiligen Laufzeit schriftlich gekündigt wird.</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本合同自动续期一年，除非一方在相应期限届满前三个月书面通知终止。</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Das Recht zur außerordentlichen Kündigung aus wichtigem Grund bleibt unberührt.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因重大事由特别终止的权利不受影响。</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Mit Beendigung der Vereinbarung sind bereits abgeschlossene und begonnene Kundenverträge durch LIVANTO bis zum jeweiligen Vertragsende ordnungsgemäß fortzuführen; die Umsatzbeteiligung nach § 4 gilt für diese Kundenverträge fort, bis diese enden.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合同终止后，已签订及已开始的客户合同由 LIVANTO 正常履行至各客户合同期满；就这些客户合同，第4条的营收分成继续适用至其终止。</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Schlussbestimmungen</w:t>
            </w:r>
          </w:p>
        </w:tc>
        <w:tc>
          <w:tcPr>
            <w:tcW w:type="dxa" w:w="4819"/>
            <w:tcBorders>
              <w:top w:val="nil"/>
              <w:left w:val="nil"/>
              <w:bottom w:val="nil"/>
              <w:right w:val="nil"/>
              <w:insideH w:val="nil"/>
              <w:insideV w:val="nil"/>
              <w:top w:val="nil"/>
              <w:left w:val="nil"/>
              <w:right w:val="nil"/>
              <w:insideH w:val="nil"/>
              <w:insideV w:val="nil"/>
              <w:bottom w:val="single" w:sz="4" w:color="999999"/>
            </w:tcBorders>
          </w:tcPr>
          <w:p>
            <w:pPr>
              <w:spacing w:after="40" w:before="0"/>
            </w:pPr>
            <w:r>
              <w:rPr>
                <w:rFonts w:ascii="Times New Roman" w:hAnsi="Times New Roman" w:eastAsia="宋体" w:cs="Times New Roman"/>
                <w:b/>
                <w:sz w:val="21"/>
              </w:rPr>
              <w:t>§ 13  最终条款</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Änderungen und Ergänzungen dieser Vereinbarung bedürfen der Schriftform (§ 126 BGB). Dies gilt auch für die Aufhebung des Schriftformerfordernisses.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本合同的修改和补充需采用书面形式（《德国民法典》第126条），书面形式的取消亦需书面形式。</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Sollte eine Bestimmung dieser Vereinbarung unwirksam sein oder werden, bleibt die Wirksamkeit der übrigen Bestimmungen unberührt. Die unwirksame Bestimmung ist durch eine wirksame Bestimmung zu ersetzen, die dem wirtschaftlichen Zweck der unwirksamen Bestimmung am nächsten kommt.</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本合同的任何条款如无效或失效，不影响其余条款的效力。无效条款应以最接近其经济目的的有效条款替代。</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Es gilt ausschließlich das Recht der Bundesrepublik Deutschland unter Ausschluss des UN-Kaufrechts (CISG) und der Kollisionsnormen des internationalen Privatrechts.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适用法律仅为德意志联邦共和国法律，排除联合国国际货物销售合同公约（CISG）和国际私法的冲突规范。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Gerichtsstand für alle Streitigkeiten aus oder im Zusammenhang mit dieser Vereinbarung ist der Sitz von LIVANTO (Dortmund), soweit gesetzlich zulässig.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因本合同产生或与本合同相关的全部争议，在法律允许的范围内由 LIVANTO 所在地（多特蒙德）法院管辖。</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Diese Vereinbarung ist in deutscher und chinesischer Sprache abgefasst. Bei Auslegungszweifeln oder Widersprüchen zwischen den Sprachfassungen ist die deutsche Fassung maßgeblich. Die chinesische Übersetzung dient ausschließlich dem besseren Verständnis.</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本合同以德文和中文两种语言起草。如语言版本之间存在解释疑问或矛盾，以德文版本为准。中文翻译仅供参考。</w:t>
            </w:r>
          </w:p>
        </w:tc>
      </w:tr>
    </w:tbl>
    <w:p>
      <w:pPr>
        <w:spacing w:after="40"/>
      </w:pPr>
    </w:p>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A: Gebührenordnung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A：费用表</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Jahresgrundgebühren (brutto, pro Jahr):</w:t>
            </w:r>
          </w:p>
          <w:p>
            <w:pPr>
              <w:spacing w:after="40" w:before="0"/>
            </w:pPr>
            <w:r>
              <w:rPr>
                <w:rFonts w:ascii="Times New Roman" w:hAnsi="Times New Roman" w:eastAsia="宋体" w:cs="Times New Roman"/>
                <w:b w:val="0"/>
                <w:sz w:val="21"/>
              </w:rPr>
              <w:t>• Basis: EUR 29,00</w:t>
            </w:r>
          </w:p>
          <w:p>
            <w:pPr>
              <w:spacing w:after="40" w:before="0"/>
            </w:pPr>
            <w:r>
              <w:rPr>
                <w:rFonts w:ascii="Times New Roman" w:hAnsi="Times New Roman" w:eastAsia="宋体" w:cs="Times New Roman"/>
                <w:b w:val="0"/>
                <w:sz w:val="21"/>
              </w:rPr>
              <w:t>• Standard: EUR 49,00</w:t>
            </w:r>
          </w:p>
          <w:p>
            <w:pPr>
              <w:spacing w:after="40" w:before="0"/>
            </w:pPr>
            <w:r>
              <w:rPr>
                <w:rFonts w:ascii="Times New Roman" w:hAnsi="Times New Roman" w:eastAsia="宋体" w:cs="Times New Roman"/>
                <w:b w:val="0"/>
                <w:sz w:val="21"/>
              </w:rPr>
              <w:t>• Premium: EUR 79,00</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年度基本费用（含税，每年）：</w:t>
            </w:r>
          </w:p>
          <w:p>
            <w:pPr>
              <w:spacing w:after="40" w:before="0"/>
            </w:pPr>
            <w:r>
              <w:rPr>
                <w:rFonts w:ascii="Times New Roman" w:hAnsi="Times New Roman" w:eastAsia="宋体" w:cs="Times New Roman"/>
                <w:b w:val="0"/>
                <w:sz w:val="21"/>
              </w:rPr>
              <w:t>• 基础：29.00 欧元</w:t>
            </w:r>
          </w:p>
          <w:p>
            <w:pPr>
              <w:spacing w:after="40" w:before="0"/>
            </w:pPr>
            <w:r>
              <w:rPr>
                <w:rFonts w:ascii="Times New Roman" w:hAnsi="Times New Roman" w:eastAsia="宋体" w:cs="Times New Roman"/>
                <w:b w:val="0"/>
                <w:sz w:val="21"/>
              </w:rPr>
              <w:t>• 标准：49.00 欧元</w:t>
            </w:r>
          </w:p>
          <w:p>
            <w:pPr>
              <w:spacing w:after="40" w:before="0"/>
            </w:pPr>
            <w:r>
              <w:rPr>
                <w:rFonts w:ascii="Times New Roman" w:hAnsi="Times New Roman" w:eastAsia="宋体" w:cs="Times New Roman"/>
                <w:b w:val="0"/>
                <w:sz w:val="21"/>
              </w:rPr>
              <w:t>• 高级：79.00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Zusätzliche Servicegebühren:</w:t>
            </w:r>
          </w:p>
          <w:p>
            <w:pPr>
              <w:spacing w:after="40" w:before="0"/>
            </w:pPr>
            <w:r>
              <w:rPr>
                <w:rFonts w:ascii="Times New Roman" w:hAnsi="Times New Roman" w:eastAsia="宋体" w:cs="Times New Roman"/>
                <w:b w:val="0"/>
                <w:sz w:val="21"/>
              </w:rPr>
              <w:t>• ZSVR-Klassifizierungsantrag: EUR 150,00</w:t>
            </w:r>
          </w:p>
          <w:p>
            <w:pPr>
              <w:spacing w:after="40" w:before="0"/>
            </w:pPr>
            <w:r>
              <w:rPr>
                <w:rFonts w:ascii="Times New Roman" w:hAnsi="Times New Roman" w:eastAsia="宋体" w:cs="Times New Roman"/>
                <w:b w:val="0"/>
                <w:sz w:val="21"/>
              </w:rPr>
              <w:t>• Bearbeitungsgebühr Vollständigkeitserklärung: EUR 50,00 (zzgl. Prüferkosten)</w:t>
            </w:r>
          </w:p>
          <w:p>
            <w:pPr>
              <w:spacing w:after="40" w:before="0"/>
            </w:pPr>
            <w:r>
              <w:rPr>
                <w:rFonts w:ascii="Times New Roman" w:hAnsi="Times New Roman" w:eastAsia="宋体" w:cs="Times New Roman"/>
                <w:b w:val="0"/>
                <w:sz w:val="21"/>
              </w:rPr>
              <w:t>• Mahngebühr: EUR 15,00</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附加服务费：</w:t>
            </w:r>
          </w:p>
          <w:p>
            <w:pPr>
              <w:spacing w:after="40" w:before="0"/>
            </w:pPr>
            <w:r>
              <w:rPr>
                <w:rFonts w:ascii="Times New Roman" w:hAnsi="Times New Roman" w:eastAsia="宋体" w:cs="Times New Roman"/>
                <w:b w:val="0"/>
                <w:sz w:val="21"/>
              </w:rPr>
              <w:t>• ZSVR 分类申请：150.00 欧元</w:t>
            </w:r>
          </w:p>
          <w:p>
            <w:pPr>
              <w:spacing w:after="40" w:before="0"/>
            </w:pPr>
            <w:r>
              <w:rPr>
                <w:rFonts w:ascii="Times New Roman" w:hAnsi="Times New Roman" w:eastAsia="宋体" w:cs="Times New Roman"/>
                <w:b w:val="0"/>
                <w:sz w:val="21"/>
              </w:rPr>
              <w:t>• 完整性声明手续费：50.00 欧元（另加审计师费用）</w:t>
            </w:r>
          </w:p>
          <w:p>
            <w:pPr>
              <w:spacing w:after="40" w:before="0"/>
            </w:pPr>
            <w:r>
              <w:rPr>
                <w:rFonts w:ascii="Times New Roman" w:hAnsi="Times New Roman" w:eastAsia="宋体" w:cs="Times New Roman"/>
                <w:b w:val="0"/>
                <w:sz w:val="21"/>
              </w:rPr>
              <w:t>• 逾期催款：15.00 欧元</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Umsatzbeteiligung:</w:t>
            </w:r>
          </w:p>
          <w:p>
            <w:pPr>
              <w:spacing w:after="40" w:before="0"/>
            </w:pPr>
            <w:r>
              <w:rPr>
                <w:rFonts w:ascii="Times New Roman" w:hAnsi="Times New Roman" w:eastAsia="宋体" w:cs="Times New Roman"/>
                <w:b w:val="0"/>
                <w:sz w:val="21"/>
              </w:rPr>
              <w:t>• Jahresgrundgebühren und zusätzliche Servicegebühren: 50 % zu 50 %</w:t>
            </w:r>
          </w:p>
          <w:p>
            <w:pPr>
              <w:spacing w:after="40" w:before="0"/>
            </w:pPr>
            <w:r>
              <w:rPr>
                <w:rFonts w:ascii="Times New Roman" w:hAnsi="Times New Roman" w:eastAsia="宋体" w:cs="Times New Roman"/>
                <w:b w:val="0"/>
                <w:sz w:val="21"/>
              </w:rPr>
              <w:t>• Lizenzentgelte (duale Systeme): durchlaufende Posten, nicht geteilt, von FREDDY im Auftrag von LIVANTO weitergeleitet</w:t>
            </w:r>
          </w:p>
          <w:p>
            <w:pPr>
              <w:spacing w:after="40" w:before="0"/>
            </w:pPr>
            <w:r>
              <w:rPr>
                <w:rFonts w:ascii="Times New Roman" w:hAnsi="Times New Roman" w:eastAsia="宋体" w:cs="Times New Roman"/>
                <w:b w:val="0"/>
                <w:sz w:val="21"/>
              </w:rPr>
              <w:t>• Gewinne oder Verluste aus Wechselkursschwankungen: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分成规则：</w:t>
            </w:r>
          </w:p>
          <w:p>
            <w:pPr>
              <w:spacing w:after="40" w:before="0"/>
            </w:pPr>
            <w:r>
              <w:rPr>
                <w:rFonts w:ascii="Times New Roman" w:hAnsi="Times New Roman" w:eastAsia="宋体" w:cs="Times New Roman"/>
                <w:b w:val="0"/>
                <w:sz w:val="21"/>
              </w:rPr>
              <w:t>• 年费及附加服务费：50%:50%</w:t>
            </w:r>
          </w:p>
          <w:p>
            <w:pPr>
              <w:spacing w:after="40" w:before="0"/>
            </w:pPr>
            <w:r>
              <w:rPr>
                <w:rFonts w:ascii="Times New Roman" w:hAnsi="Times New Roman" w:eastAsia="宋体" w:cs="Times New Roman"/>
                <w:b w:val="0"/>
                <w:sz w:val="21"/>
              </w:rPr>
              <w:t>• 双元系统许可费：代收代付项目，不分成，由 FREDDY 替 LIVANTO 代转付</w:t>
            </w:r>
          </w:p>
          <w:p>
            <w:pPr>
              <w:spacing w:after="40" w:before="0"/>
            </w:pPr>
            <w:r>
              <w:rPr>
                <w:rFonts w:ascii="Times New Roman" w:hAnsi="Times New Roman" w:eastAsia="宋体" w:cs="Times New Roman"/>
                <w:b w:val="0"/>
                <w:sz w:val="21"/>
              </w:rPr>
              <w:t>• 汇率波动产生的盈余或损失：50%:50%</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Umsatzsteuer:</w:t>
            </w:r>
          </w:p>
          <w:p>
            <w:pPr>
              <w:spacing w:after="40" w:before="0"/>
            </w:pPr>
            <w:r>
              <w:rPr>
                <w:rFonts w:ascii="Times New Roman" w:hAnsi="Times New Roman" w:eastAsia="宋体" w:cs="Times New Roman"/>
                <w:b w:val="0"/>
                <w:sz w:val="21"/>
              </w:rPr>
              <w:t>• Sämtliche Beträge verstehen sich brutto.</w:t>
            </w:r>
          </w:p>
          <w:p>
            <w:pPr>
              <w:spacing w:after="40" w:before="0"/>
            </w:pPr>
            <w:r>
              <w:rPr>
                <w:rFonts w:ascii="Times New Roman" w:hAnsi="Times New Roman" w:eastAsia="宋体" w:cs="Times New Roman"/>
                <w:b w:val="0"/>
                <w:sz w:val="21"/>
              </w:rPr>
              <w:t>• LIVANTO: steuerfreie Ausfuhrleistungen gegenüber Kunden außerhalb Deutschlands (0 %).</w:t>
            </w:r>
          </w:p>
          <w:p>
            <w:pPr>
              <w:spacing w:after="40" w:before="0"/>
            </w:pPr>
            <w:r>
              <w:rPr>
                <w:rFonts w:ascii="Times New Roman" w:hAnsi="Times New Roman" w:eastAsia="宋体" w:cs="Times New Roman"/>
                <w:b w:val="0"/>
                <w:sz w:val="21"/>
              </w:rPr>
              <w:t>• FREDDY: chinesischer Umsatzsteuersatz von 1 %, in der 50-%-Beteiligung enthalten.</w:t>
            </w:r>
          </w:p>
          <w:p>
            <w:pPr>
              <w:spacing w:after="40" w:before="0"/>
            </w:pPr>
            <w:r>
              <w:rPr>
                <w:rFonts w:ascii="Times New Roman" w:hAnsi="Times New Roman" w:eastAsia="宋体" w:cs="Times New Roman"/>
                <w:b w:val="0"/>
                <w:sz w:val="21"/>
              </w:rPr>
              <w:t>• Jede Partei trägt ihre eigene Umsatzsteuer.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增值税：</w:t>
            </w:r>
          </w:p>
          <w:p>
            <w:pPr>
              <w:spacing w:after="40" w:before="0"/>
            </w:pPr>
            <w:r>
              <w:rPr>
                <w:rFonts w:ascii="Times New Roman" w:hAnsi="Times New Roman" w:eastAsia="宋体" w:cs="Times New Roman"/>
                <w:b w:val="0"/>
                <w:sz w:val="21"/>
              </w:rPr>
              <w:t>• 所有金额均为含税金额。</w:t>
            </w:r>
          </w:p>
          <w:p>
            <w:pPr>
              <w:spacing w:after="40" w:before="0"/>
            </w:pPr>
            <w:r>
              <w:rPr>
                <w:rFonts w:ascii="Times New Roman" w:hAnsi="Times New Roman" w:eastAsia="宋体" w:cs="Times New Roman"/>
                <w:b w:val="0"/>
                <w:sz w:val="21"/>
              </w:rPr>
              <w:t>• LIVANTO：对德国境外客户的免税出口服务（0%）。</w:t>
            </w:r>
          </w:p>
          <w:p>
            <w:pPr>
              <w:spacing w:after="40" w:before="0"/>
            </w:pPr>
            <w:r>
              <w:rPr>
                <w:rFonts w:ascii="Times New Roman" w:hAnsi="Times New Roman" w:eastAsia="宋体" w:cs="Times New Roman"/>
                <w:b w:val="0"/>
                <w:sz w:val="21"/>
              </w:rPr>
              <w:t>• FREDDY：中国 1% 征收率，已包含在 50% 分成中。</w:t>
            </w:r>
          </w:p>
          <w:p>
            <w:pPr>
              <w:spacing w:after="40" w:before="0"/>
            </w:pPr>
            <w:r>
              <w:rPr>
                <w:rFonts w:ascii="Times New Roman" w:hAnsi="Times New Roman" w:eastAsia="宋体" w:cs="Times New Roman"/>
                <w:b w:val="0"/>
                <w:sz w:val="21"/>
              </w:rPr>
              <w:t>• 各方各自承担自身增值税。</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B: Abrechnungsformular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B：季度结算单模板</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Abrechnungszeitraum: jeweils ein Kalenderquartal (1. Januar – 31. März; 1. April – 30. Juni; 1. Juli – 30. September; 1. Oktober – 31. Dezember).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结算期间：每个自然季度（1月1日–3月31日；4月1日–6月30日；7月1日–9月30日；10月1日–12月31日）。</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Kundenliste:</w:t>
            </w:r>
          </w:p>
          <w:p>
            <w:pPr>
              <w:spacing w:after="40" w:before="0"/>
            </w:pPr>
            <w:r>
              <w:rPr>
                <w:rFonts w:ascii="Times New Roman" w:hAnsi="Times New Roman" w:eastAsia="宋体" w:cs="Times New Roman"/>
                <w:b w:val="0"/>
                <w:sz w:val="21"/>
              </w:rPr>
              <w:t>Vertragsnummer / Kundenname / Servicestufe / Jahresgrundgebühr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客户清单：</w:t>
            </w:r>
          </w:p>
          <w:p>
            <w:pPr>
              <w:spacing w:after="40" w:before="0"/>
            </w:pPr>
            <w:r>
              <w:rPr>
                <w:rFonts w:ascii="Times New Roman" w:hAnsi="Times New Roman" w:eastAsia="宋体" w:cs="Times New Roman"/>
                <w:b w:val="0"/>
                <w:sz w:val="21"/>
              </w:rPr>
              <w:t>合同编号 / 客户名称 / 服务等级 / 年度基本费用</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Berechnung:</w:t>
            </w:r>
          </w:p>
          <w:p>
            <w:pPr>
              <w:spacing w:after="40" w:before="0"/>
            </w:pPr>
            <w:r>
              <w:rPr>
                <w:rFonts w:ascii="Times New Roman" w:hAnsi="Times New Roman" w:eastAsia="宋体" w:cs="Times New Roman"/>
                <w:b w:val="0"/>
                <w:sz w:val="21"/>
              </w:rPr>
              <w:t>• Summe der Jahresgrundgebühren × 50 % = an LIVANTO zu überweisender Betrag (EUR)</w:t>
            </w:r>
          </w:p>
          <w:p>
            <w:pPr>
              <w:spacing w:after="40" w:before="0"/>
            </w:pPr>
            <w:r>
              <w:rPr>
                <w:rFonts w:ascii="Times New Roman" w:hAnsi="Times New Roman" w:eastAsia="宋体" w:cs="Times New Roman"/>
                <w:b w:val="0"/>
                <w:sz w:val="21"/>
              </w:rPr>
              <w:t>• Lizenzentgelte (duale Systeme): durchlaufende Posten (Aufstellung beigefügt)</w:t>
            </w:r>
          </w:p>
          <w:p>
            <w:pPr>
              <w:spacing w:after="40" w:before="0"/>
            </w:pPr>
            <w:r>
              <w:rPr>
                <w:rFonts w:ascii="Times New Roman" w:hAnsi="Times New Roman" w:eastAsia="宋体" w:cs="Times New Roman"/>
                <w:b w:val="0"/>
                <w:sz w:val="21"/>
              </w:rPr>
              <w:t>• Gewinne oder Verluste aus Wechselkursschwankungen: 50 % zu 50 %</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结算计算：</w:t>
            </w:r>
          </w:p>
          <w:p>
            <w:pPr>
              <w:spacing w:after="40" w:before="0"/>
            </w:pPr>
            <w:r>
              <w:rPr>
                <w:rFonts w:ascii="Times New Roman" w:hAnsi="Times New Roman" w:eastAsia="宋体" w:cs="Times New Roman"/>
                <w:b w:val="0"/>
                <w:sz w:val="21"/>
              </w:rPr>
              <w:t>• 年度基本费用合计 × 50% = 应转 LIVANTO 金额（欧元）</w:t>
            </w:r>
          </w:p>
          <w:p>
            <w:pPr>
              <w:spacing w:after="40" w:before="0"/>
            </w:pPr>
            <w:r>
              <w:rPr>
                <w:rFonts w:ascii="Times New Roman" w:hAnsi="Times New Roman" w:eastAsia="宋体" w:cs="Times New Roman"/>
                <w:b w:val="0"/>
                <w:sz w:val="21"/>
              </w:rPr>
              <w:t>• 双元系统许可费：代收代付项目（附明细）</w:t>
            </w:r>
          </w:p>
          <w:p>
            <w:pPr>
              <w:spacing w:after="40" w:before="0"/>
            </w:pPr>
            <w:r>
              <w:rPr>
                <w:rFonts w:ascii="Times New Roman" w:hAnsi="Times New Roman" w:eastAsia="宋体" w:cs="Times New Roman"/>
                <w:b w:val="0"/>
                <w:sz w:val="21"/>
              </w:rPr>
              <w:t>• 汇率波动产生的盈余或损失：50%:50%</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Überweisungsbetrag an LIVANTO (EUR): ____________________</w:t>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t>FREDDY (Unterschrift / Stempel): ____________________</w:t>
            </w:r>
          </w:p>
          <w:p>
            <w:pPr>
              <w:spacing w:after="40" w:before="0"/>
            </w:pPr>
            <w:r>
              <w:rPr>
                <w:rFonts w:ascii="Times New Roman" w:hAnsi="Times New Roman" w:eastAsia="宋体" w:cs="Times New Roman"/>
                <w:b w:val="0"/>
                <w:sz w:val="21"/>
              </w:rPr>
              <w:t>LIVANTO (Unterschrift / Stempel): ____________________</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应转 LIVANTO 金额（欧元）：____________________</w:t>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t>福瑞笛（签字 / 盖章）：____________________</w:t>
            </w:r>
          </w:p>
          <w:p>
            <w:pPr>
              <w:spacing w:after="40" w:before="0"/>
            </w:pPr>
            <w:r>
              <w:rPr>
                <w:rFonts w:ascii="Times New Roman" w:hAnsi="Times New Roman" w:eastAsia="宋体" w:cs="Times New Roman"/>
                <w:b w:val="0"/>
                <w:sz w:val="21"/>
              </w:rPr>
              <w:t>LIVANTO（签字 / 盖章）：____________________</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Anlage C: EU-Standardvertragsklauseln (SCC) – Modul 1</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附件 C：欧盟标准合同条款（SCC）— 模块 1</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Die Parteien vereinbaren, dass für die Übermittlung personenbezogener Daten von LIVANTO an FREDDY in die Volksrepublik China die Standardvertragsklauseln gemäß Durchführungsbeschluss (EU) 2021/914 der Europäischen Kommission in der Fassung von Modul 1 (Übermittlung von Verantwortlichem an Verantwortlichen) Anwendung finden. Die Standardvertragsklauseln einschließlich ihrer Anhänge sind Bestandteil dieser Anlage.</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(1) 双方约定，LIVANTO 向中华人民共和国境内的福瑞笛传输个人数据，适用欧盟委员会执行决定 (EU) 2021/914 项下标准合同条款的模块 1（控制者向控制者传输）。该标准合同条款及其附录为本附件的组成部分。</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Anhang I A. – Liste der Parteien:</w:t>
            </w:r>
          </w:p>
          <w:p>
            <w:pPr>
              <w:spacing w:after="40" w:before="0"/>
            </w:pPr>
            <w:r>
              <w:rPr>
                <w:rFonts w:ascii="Times New Roman" w:hAnsi="Times New Roman" w:eastAsia="宋体" w:cs="Times New Roman"/>
                <w:b w:val="0"/>
                <w:sz w:val="21"/>
              </w:rPr>
              <w:t>Datenexporteur: LIVANTO GmbH, Luisenhoffnung 3C, 44225 Dortmund, Deutschland; Rolle: Verantwortlicher.</w:t>
            </w:r>
          </w:p>
          <w:p>
            <w:pPr>
              <w:spacing w:after="40" w:before="0"/>
            </w:pPr>
            <w:r>
              <w:rPr>
                <w:rFonts w:ascii="Times New Roman" w:hAnsi="Times New Roman" w:eastAsia="宋体" w:cs="Times New Roman"/>
                <w:b w:val="0"/>
                <w:sz w:val="21"/>
              </w:rPr>
              <w:t>Datenimporteur: FREDDY (SHANGHAI) INFORMATION CONSULTING LTD. HN, Zhonghuan International Plaza, Finanzzentrum 158, 4. Etage, Raum 418, Huainan, Anhui, Volksrepublik China; Rolle: Verantwortlicher.</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(2) 附录 I A. – 双方名单：</w:t>
            </w:r>
          </w:p>
          <w:p>
            <w:pPr>
              <w:spacing w:after="40" w:before="0"/>
            </w:pPr>
            <w:r>
              <w:rPr>
                <w:rFonts w:ascii="Times New Roman" w:hAnsi="Times New Roman" w:eastAsia="宋体" w:cs="Times New Roman"/>
                <w:b w:val="0"/>
                <w:sz w:val="21"/>
              </w:rPr>
              <w:t>数据出口方：LIVANTO GmbH，德国多特蒙德 Luisenhoffnung 3C（邮编 44225）；角色：控制者。</w:t>
            </w:r>
          </w:p>
          <w:p>
            <w:pPr>
              <w:spacing w:after="40" w:before="0"/>
            </w:pPr>
            <w:r>
              <w:rPr>
                <w:rFonts w:ascii="Times New Roman" w:hAnsi="Times New Roman" w:eastAsia="宋体" w:cs="Times New Roman"/>
                <w:b w:val="0"/>
                <w:sz w:val="21"/>
              </w:rPr>
              <w:t>数据进口方：FREDDY (SHANGHAI) INFORMATION CONSULTING LTD. HN，中华人民共和国安徽省淮南市中环国际广场158金融中心四层418室；角色：控制者。</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Anhang I B. – Beschreibung der Übermittlung:</w:t>
            </w:r>
          </w:p>
          <w:p>
            <w:pPr>
              <w:spacing w:after="40" w:before="0"/>
            </w:pPr>
            <w:r>
              <w:rPr>
                <w:rFonts w:ascii="Times New Roman" w:hAnsi="Times New Roman" w:eastAsia="宋体" w:cs="Times New Roman"/>
                <w:b w:val="0"/>
                <w:sz w:val="21"/>
              </w:rPr>
              <w:t>Kategorien betroffener Personen: Kontaktpersonen und gesetzliche Vertreter der Kunden.</w:t>
            </w:r>
          </w:p>
          <w:p>
            <w:pPr>
              <w:spacing w:after="40" w:before="0"/>
            </w:pPr>
            <w:r>
              <w:rPr>
                <w:rFonts w:ascii="Times New Roman" w:hAnsi="Times New Roman" w:eastAsia="宋体" w:cs="Times New Roman"/>
                <w:b w:val="0"/>
                <w:sz w:val="21"/>
              </w:rPr>
              <w:t>Kategorien personenbezogener Daten: Name, Firma, Anschrift, E-Mail-Adresse, Telefonnummer, WeChat-ID, Steuernummer, Verpackungsdaten.</w:t>
            </w:r>
          </w:p>
          <w:p>
            <w:pPr>
              <w:spacing w:after="40" w:before="0"/>
            </w:pPr>
            <w:r>
              <w:rPr>
                <w:rFonts w:ascii="Times New Roman" w:hAnsi="Times New Roman" w:eastAsia="宋体" w:cs="Times New Roman"/>
                <w:b w:val="0"/>
                <w:sz w:val="21"/>
              </w:rPr>
              <w:t>Zweck: Durchführung dieser Vereinbarung (Kundenbetreuung, Abrechnung und Zahlungsabwicklung).</w:t>
            </w:r>
          </w:p>
          <w:p>
            <w:pPr>
              <w:spacing w:after="40" w:before="0"/>
            </w:pPr>
            <w:r>
              <w:rPr>
                <w:rFonts w:ascii="Times New Roman" w:hAnsi="Times New Roman" w:eastAsia="宋体" w:cs="Times New Roman"/>
                <w:b w:val="0"/>
                <w:sz w:val="21"/>
              </w:rPr>
              <w:t>Häufigkeit: fortlaufend nach Bedarf.</w:t>
            </w:r>
          </w:p>
          <w:p>
            <w:pPr>
              <w:spacing w:after="40" w:before="0"/>
            </w:pPr>
            <w:r>
              <w:rPr>
                <w:rFonts w:ascii="Times New Roman" w:hAnsi="Times New Roman" w:eastAsia="宋体" w:cs="Times New Roman"/>
                <w:b w:val="0"/>
                <w:sz w:val="21"/>
              </w:rPr>
              <w:t>Aufbewahrungsdauer: für die Dauer der Zusammenarbeit und die Dauer gesetzlicher Aufbewahrungspflichten.</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(3) 附录 I B. – 传输描述：</w:t>
            </w:r>
          </w:p>
          <w:p>
            <w:pPr>
              <w:spacing w:after="40" w:before="0"/>
            </w:pPr>
            <w:r>
              <w:rPr>
                <w:rFonts w:ascii="Times New Roman" w:hAnsi="Times New Roman" w:eastAsia="宋体" w:cs="Times New Roman"/>
                <w:b w:val="0"/>
                <w:sz w:val="21"/>
              </w:rPr>
              <w:t>数据主体类别：客户的联系人及法定代表人。</w:t>
            </w:r>
          </w:p>
          <w:p>
            <w:pPr>
              <w:spacing w:after="40" w:before="0"/>
            </w:pPr>
            <w:r>
              <w:rPr>
                <w:rFonts w:ascii="Times New Roman" w:hAnsi="Times New Roman" w:eastAsia="宋体" w:cs="Times New Roman"/>
                <w:b w:val="0"/>
                <w:sz w:val="21"/>
              </w:rPr>
              <w:t>个人数据类别：姓名、公司名称、地址、电子邮箱、电话号码、微信号、税号、包装数据。</w:t>
            </w:r>
          </w:p>
          <w:p>
            <w:pPr>
              <w:spacing w:after="40" w:before="0"/>
            </w:pPr>
            <w:r>
              <w:rPr>
                <w:rFonts w:ascii="Times New Roman" w:hAnsi="Times New Roman" w:eastAsia="宋体" w:cs="Times New Roman"/>
                <w:b w:val="0"/>
                <w:sz w:val="21"/>
              </w:rPr>
              <w:t>传输目的：履行本合同（客户维护、结算及支付处理）。</w:t>
            </w:r>
          </w:p>
          <w:p>
            <w:pPr>
              <w:spacing w:after="40" w:before="0"/>
            </w:pPr>
            <w:r>
              <w:rPr>
                <w:rFonts w:ascii="Times New Roman" w:hAnsi="Times New Roman" w:eastAsia="宋体" w:cs="Times New Roman"/>
                <w:b w:val="0"/>
                <w:sz w:val="21"/>
              </w:rPr>
              <w:t>传输频率：持续、按需。</w:t>
            </w:r>
          </w:p>
          <w:p>
            <w:pPr>
              <w:spacing w:after="40" w:before="0"/>
            </w:pPr>
            <w:r>
              <w:rPr>
                <w:rFonts w:ascii="Times New Roman" w:hAnsi="Times New Roman" w:eastAsia="宋体" w:cs="Times New Roman"/>
                <w:b w:val="0"/>
                <w:sz w:val="21"/>
              </w:rPr>
              <w:t>保留期限：合作期间及法定保存义务期间。</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Anhang I C. – Zuständige Aufsichtsbehörde: Landesbeauftragte für Datenschutz und Informationsfreiheit Nordrhein-Westfalen (LDI NRW).</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(4) 附录 I C. – 主管监管机构：北莱茵-威斯特法伦州数据保护与信息自由专员（LDI NRW）。</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Anhang II. – Technische und organisatorische Maßnahmen: Verschlüsselung der Datenübertragung (TLS), Zugriffs- und Berechtigungskontrolle, vertrauliche Behandlung, Löschkonzept, Schutz vor unbefugtem Zugriff.</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(5) 附录 II. – 技术与组织措施：数据传输加密（TLS）、访问与权限控制、数据的保密处理、删除方案、防止未经授权的访问。</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Für die Übermittlung personenbezogener Daten von FREDDY an LIVANTO (aus der Volksrepublik China nach Deutschland) gelten die Bestimmungen des chinesischen Gesetzes zum Schutz personenbezogener Informationen (PIPL); die Parteien schließen hierzu gesondert einen Standardvertrag für die Übermittlung personenbezogener Informationen ins Ausland ab.</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(6) 对于福瑞笛向 LIVANTO（自中华人民共和国至德国）传输个人数据，适用中国《个人信息保护法》（PIPL）；双方就此另行签署《个人信息出境标准合同》。</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Unterzeichnung</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sz w:val="21"/>
              </w:rPr>
              <w:t>签署</w:t>
            </w:r>
          </w:p>
        </w:tc>
      </w:tr>
    </w:tbl>
    <w:tbl>
      <w:tblPr>
        <w:tblW w:type="dxa" w:w="97058"/>
        <w:jc w:val="center"/>
        <w:tblLayout w:type="fixed"/>
        <w:tblLook w:firstColumn="1" w:firstRow="1" w:lastColumn="0" w:lastRow="0" w:noHBand="0" w:noVBand="1" w:val="04A0"/>
      </w:tblPr>
      <w:tblGrid>
        <w:gridCol w:w="4853"/>
        <w:gridCol w:w="4853"/>
      </w:tblGrid>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GmbH</w:t>
            </w:r>
          </w:p>
          <w:p>
            <w:pPr>
              <w:spacing w:after="40" w:before="0"/>
            </w:pPr>
            <w:r>
              <w:rPr>
                <w:rFonts w:ascii="Times New Roman" w:hAnsi="Times New Roman" w:eastAsia="宋体" w:cs="Times New Roman"/>
                <w:b w:val="0"/>
                <w:sz w:val="21"/>
              </w:rPr>
              <w:t>Dortmund</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LIVANTO 有限责任公司</w:t>
            </w:r>
          </w:p>
          <w:p>
            <w:pPr>
              <w:spacing w:after="40" w:before="0"/>
            </w:pPr>
            <w:r>
              <w:rPr>
                <w:rFonts w:ascii="Times New Roman" w:hAnsi="Times New Roman" w:eastAsia="宋体" w:cs="Times New Roman"/>
                <w:b w:val="0"/>
                <w:sz w:val="21"/>
              </w:rPr>
              <w:t>多特蒙德</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r>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Zweigniederlassung Huainan</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Ort / Datum: 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Unterschrift / Stempel:</w:t>
            </w:r>
          </w:p>
        </w:tc>
        <w:tc>
          <w:tcPr>
            <w:tcW w:type="dxa" w:w="4819"/>
            <w:tcBorders>
              <w:top w:val="nil"/>
              <w:left w:val="nil"/>
              <w:bottom w:val="nil"/>
              <w:right w:val="nil"/>
              <w:insideH w:val="nil"/>
              <w:insideV w:val="nil"/>
            </w:tcBorders>
          </w:tcPr>
          <w:p>
            <w:pPr>
              <w:spacing w:after="40" w:before="0"/>
            </w:pPr>
            <w:r>
              <w:rPr>
                <w:rFonts w:ascii="Times New Roman" w:hAnsi="Times New Roman" w:eastAsia="宋体" w:cs="Times New Roman"/>
                <w:b w:val="0"/>
                <w:sz w:val="21"/>
              </w:rPr>
              <w:t>FREDDY (SHANGHAI) INFORMATION CONSULTING LTD. HN</w:t>
            </w:r>
          </w:p>
          <w:p>
            <w:pPr>
              <w:spacing w:after="40" w:before="0"/>
            </w:pPr>
            <w:r>
              <w:rPr>
                <w:rFonts w:ascii="Times New Roman" w:hAnsi="Times New Roman" w:eastAsia="宋体" w:cs="Times New Roman"/>
                <w:b w:val="0"/>
                <w:sz w:val="21"/>
              </w:rPr>
              <w:t>（福瑞笛（上海）信息咨询有限公司淮南分公司）</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地点 / 日期：____________________</w:t>
            </w:r>
          </w:p>
          <w:p>
            <w:pPr>
              <w:spacing w:after="40" w:before="0"/>
            </w:pPr>
            <w:r>
              <w:rPr>
                <w:rFonts w:ascii="Times New Roman" w:hAnsi="Times New Roman" w:eastAsia="宋体" w:cs="Times New Roman"/>
                <w:b w:val="0"/>
                <w:sz w:val="21"/>
              </w:rPr>
            </w:r>
          </w:p>
          <w:p>
            <w:pPr>
              <w:spacing w:after="40" w:before="0"/>
            </w:pPr>
            <w:r>
              <w:rPr>
                <w:rFonts w:ascii="Times New Roman" w:hAnsi="Times New Roman" w:eastAsia="宋体" w:cs="Times New Roman"/>
                <w:b w:val="0"/>
                <w:sz w:val="21"/>
              </w:rPr>
              <w:t>签字 / 盖章：</w:t>
            </w:r>
          </w:p>
        </w:tc>
      </w:tr>
    </w:tbl>
    <w:sectPr w:rsidR="00FC693F" w:rsidRPr="0006063C" w:rsidSect="00034616">
      <w:pgSz w:w="11906" w:h="16838"/>
      <w:pgMar w:top="1298" w:right="1100" w:bottom="1298" w:left="11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