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3.4. La agravación del riesgo durante la vigencia del contrato (arts. 11 y 12 LCS)</w:t>
            </w:r>
          </w:p>
          <w:p>
            <w:pPr>
              <w:spacing w:after="40" w:line="260"/>
            </w:pPr>
            <w:r>
              <w:rPr>
                <w:rFonts w:ascii="Archivo" w:cs="Archivo" w:eastAsia="Archivo" w:hAnsi="Archivo"/>
                <w:sz w:val="18"/>
                <w:szCs w:val="18"/>
              </w:rPr>
              <w:t xml:space="preserve">3.5. El pago de la prima y sus consecuencias (art. 15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1"/>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15).</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tc>
      </w:tr>
    </w:tbl>
    <w:p>
      <w:pPr>
        <w:pStyle w:val="Heading2"/>
        <w:spacing w:after="160" w:before="400"/>
      </w:pPr>
      <w:r>
        <w:rPr>
          <w:rFonts w:ascii="Fraunces" w:cs="Fraunces" w:eastAsia="Fraunces" w:hAnsi="Fraunces"/>
          <w:b/>
          <w:bCs/>
          <w:color w:val="0A2540"/>
          <w:sz w:val="24"/>
          <w:szCs w:val="24"/>
        </w:rPr>
        <w:t xml:space="preserve">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tc>
      </w:tr>
    </w:tbl>
    <w:p>
      <w:pPr>
        <w:pStyle w:val="Heading2"/>
        <w:spacing w:after="160" w:before="400"/>
      </w:pPr>
      <w:r>
        <w:rPr>
          <w:rFonts w:ascii="Fraunces" w:cs="Fraunces" w:eastAsia="Fraunces" w:hAnsi="Fraunces"/>
          <w:b/>
          <w:bCs/>
          <w:color w:val="0A2540"/>
          <w:sz w:val="24"/>
          <w:szCs w:val="24"/>
        </w:rPr>
        <w:t xml:space="preserve">3.7.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6).</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6 y capítulo 12).</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21).</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11:</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4,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5"/>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14)?</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16"/>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4.</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12).</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9),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4: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17"/>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18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18).</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1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8, al que corresponde, en su caso, la cobertura de estos supuestos excluidos del seguro privado.</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19"/>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seguro de responsabilidad civil en la póliza de hogar</w:t>
            </w:r>
          </w:p>
          <w:p>
            <w:pPr>
              <w:spacing w:after="40" w:line="260"/>
            </w:pPr>
            <w:r>
              <w:rPr>
                <w:rFonts w:ascii="Archivo" w:cs="Archivo" w:eastAsia="Archivo" w:hAnsi="Archivo"/>
                <w:sz w:val="18"/>
                <w:szCs w:val="18"/>
              </w:rPr>
              <w:t xml:space="preserve">9.2. La dirección jurídica del siniestro por el asegurador (art. 74 LCS)</w:t>
            </w:r>
          </w:p>
          <w:p>
            <w:pPr>
              <w:spacing w:after="40" w:line="260"/>
            </w:pPr>
            <w:r>
              <w:rPr>
                <w:rFonts w:ascii="Archivo" w:cs="Archivo" w:eastAsia="Archivo" w:hAnsi="Archivo"/>
                <w:sz w:val="18"/>
                <w:szCs w:val="18"/>
              </w:rPr>
              <w:t xml:space="preserve">9.3. La acción directa del perjudicado (art. 76 LCS)</w:t>
            </w:r>
          </w:p>
          <w:p>
            <w:pPr>
              <w:spacing w:after="40" w:line="260"/>
            </w:pPr>
            <w:r>
              <w:rPr>
                <w:rFonts w:ascii="Archivo" w:cs="Archivo" w:eastAsia="Archivo" w:hAnsi="Archivo"/>
                <w:sz w:val="18"/>
                <w:szCs w:val="18"/>
              </w:rPr>
              <w:t xml:space="preserve">9.4. La responsabilidad civil por hecho ajeno: hijos, dependientes y mascotas (art. 1903 CC)</w:t>
            </w:r>
          </w:p>
          <w:p>
            <w:pPr>
              <w:spacing w:after="40" w:line="260"/>
            </w:pPr>
            <w:r>
              <w:rPr>
                <w:rFonts w:ascii="Archivo" w:cs="Archivo" w:eastAsia="Archivo" w:hAnsi="Archivo"/>
                <w:sz w:val="18"/>
                <w:szCs w:val="18"/>
              </w:rPr>
              <w:t xml:space="preserve">9.5. Inoponibilidad del dolo del asegurado al tercero perjudicado</w:t>
            </w:r>
          </w:p>
          <w:p>
            <w:pPr>
              <w:spacing w:after="40" w:line="260"/>
            </w:pPr>
            <w:r>
              <w:rPr>
                <w:rFonts w:ascii="Archivo" w:cs="Archivo" w:eastAsia="Archivo" w:hAnsi="Archivo"/>
                <w:sz w:val="18"/>
                <w:szCs w:val="18"/>
              </w:rPr>
              <w:t xml:space="preserve">9.6. Ficha para el profesional</w:t>
            </w:r>
          </w:p>
          <w:p>
            <w:pPr>
              <w:spacing w:after="40" w:line="260"/>
            </w:pPr>
            <w:r>
              <w:rPr>
                <w:rFonts w:ascii="Archivo" w:cs="Archivo" w:eastAsia="Archivo" w:hAnsi="Archivo"/>
                <w:sz w:val="18"/>
                <w:szCs w:val="18"/>
              </w:rPr>
              <w:t xml:space="preserve">9.7. Ficha para el asegurado</w:t>
            </w:r>
          </w:p>
          <w:p>
            <w:pPr>
              <w:spacing w:after="40" w:line="260"/>
            </w:pPr>
            <w:r>
              <w:rPr>
                <w:rFonts w:ascii="Archivo" w:cs="Archivo" w:eastAsia="Archivo" w:hAnsi="Archivo"/>
                <w:sz w:val="18"/>
                <w:szCs w:val="18"/>
              </w:rPr>
              <w:t xml:space="preserve">9.8.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9.1.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2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9.2.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9.3.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2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9.4.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p>
    <w:p>
      <w:pPr>
        <w:pStyle w:val="Heading2"/>
        <w:spacing w:after="160" w:before="400"/>
      </w:pPr>
      <w:r>
        <w:rPr>
          <w:rFonts w:ascii="Fraunces" w:cs="Fraunces" w:eastAsia="Fraunces" w:hAnsi="Fraunces"/>
          <w:b/>
          <w:bCs/>
          <w:color w:val="0A2540"/>
          <w:sz w:val="24"/>
          <w:szCs w:val="24"/>
        </w:rPr>
        <w:t xml:space="preserve">9.5.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17),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9.6.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tc>
      </w:tr>
    </w:tbl>
    <w:p>
      <w:pPr>
        <w:pStyle w:val="Heading2"/>
        <w:spacing w:after="160" w:before="400"/>
      </w:pPr>
      <w:r>
        <w:rPr>
          <w:rFonts w:ascii="Fraunces" w:cs="Fraunces" w:eastAsia="Fraunces" w:hAnsi="Fraunces"/>
          <w:b/>
          <w:bCs/>
          <w:color w:val="0A2540"/>
          <w:sz w:val="24"/>
          <w:szCs w:val="24"/>
        </w:rPr>
        <w:t xml:space="preserve">9.7.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9.8.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El seguro de defensa jurídica como garantía autónoma</w:t>
            </w:r>
          </w:p>
          <w:p>
            <w:pPr>
              <w:spacing w:after="40" w:line="260"/>
            </w:pPr>
            <w:r>
              <w:rPr>
                <w:rFonts w:ascii="Archivo" w:cs="Archivo" w:eastAsia="Archivo" w:hAnsi="Archivo"/>
                <w:sz w:val="18"/>
                <w:szCs w:val="18"/>
              </w:rPr>
              <w:t xml:space="preserve">10.2. El derecho de libre elección de abogado y procurador</w:t>
            </w:r>
          </w:p>
          <w:p>
            <w:pPr>
              <w:spacing w:after="40" w:line="260"/>
            </w:pPr>
            <w:r>
              <w:rPr>
                <w:rFonts w:ascii="Archivo" w:cs="Archivo" w:eastAsia="Archivo" w:hAnsi="Archivo"/>
                <w:sz w:val="18"/>
                <w:szCs w:val="18"/>
              </w:rPr>
              <w:t xml:space="preserve">10.3. Los límites cuantitativos a la libre elección: delimitadores, limitativos o lesivos</w:t>
            </w:r>
          </w:p>
          <w:p>
            <w:pPr>
              <w:spacing w:after="40" w:line="260"/>
            </w:pPr>
            <w:r>
              <w:rPr>
                <w:rFonts w:ascii="Archivo" w:cs="Archivo" w:eastAsia="Archivo" w:hAnsi="Archivo"/>
                <w:sz w:val="18"/>
                <w:szCs w:val="18"/>
              </w:rPr>
              <w:t xml:space="preserve">10.4. Conflicto de intereses y defensa independiente en la garantía de responsabilidad civil</w:t>
            </w:r>
          </w:p>
          <w:p>
            <w:pPr>
              <w:spacing w:after="40" w:line="260"/>
            </w:pPr>
            <w:r>
              <w:rPr>
                <w:rFonts w:ascii="Archivo" w:cs="Archivo" w:eastAsia="Archivo" w:hAnsi="Archivo"/>
                <w:sz w:val="18"/>
                <w:szCs w:val="18"/>
              </w:rPr>
              <w:t xml:space="preserve">10.5. La garantía de asistencia en el hogar</w:t>
            </w:r>
          </w:p>
          <w:p>
            <w:pPr>
              <w:spacing w:after="40" w:line="260"/>
            </w:pPr>
            <w:r>
              <w:rPr>
                <w:rFonts w:ascii="Archivo" w:cs="Archivo" w:eastAsia="Archivo" w:hAnsi="Archivo"/>
                <w:sz w:val="18"/>
                <w:szCs w:val="18"/>
              </w:rPr>
              <w:t xml:space="preserve">10.6. Ficha para el profesional</w:t>
            </w:r>
          </w:p>
          <w:p>
            <w:pPr>
              <w:spacing w:after="40" w:line="260"/>
            </w:pPr>
            <w:r>
              <w:rPr>
                <w:rFonts w:ascii="Archivo" w:cs="Archivo" w:eastAsia="Archivo" w:hAnsi="Archivo"/>
                <w:sz w:val="18"/>
                <w:szCs w:val="18"/>
              </w:rPr>
              <w:t xml:space="preserve">10.7. Ficha para el asegurado</w:t>
            </w:r>
          </w:p>
          <w:p>
            <w:pPr>
              <w:spacing w:after="40" w:line="260"/>
            </w:pPr>
            <w:r>
              <w:rPr>
                <w:rFonts w:ascii="Archivo" w:cs="Archivo" w:eastAsia="Archivo" w:hAnsi="Archivo"/>
                <w:sz w:val="18"/>
                <w:szCs w:val="18"/>
              </w:rPr>
              <w:t xml:space="preserve">10.8.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10.1.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22"/>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9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10.2.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23"/>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2"/>
        <w:spacing w:after="160" w:before="400"/>
      </w:pPr>
      <w:r>
        <w:rPr>
          <w:rFonts w:ascii="Fraunces" w:cs="Fraunces" w:eastAsia="Fraunces" w:hAnsi="Fraunces"/>
          <w:b/>
          <w:bCs/>
          <w:color w:val="0A2540"/>
          <w:sz w:val="24"/>
          <w:szCs w:val="24"/>
        </w:rPr>
        <w:t xml:space="preserve">10.3.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10.4.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9,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10.5.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4,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10.8.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El régimen de sublímites en el seguro de hogar</w:t>
            </w:r>
          </w:p>
          <w:p>
            <w:pPr>
              <w:spacing w:after="40" w:line="260"/>
            </w:pPr>
            <w:r>
              <w:rPr>
                <w:rFonts w:ascii="Archivo" w:cs="Archivo" w:eastAsia="Archivo" w:hAnsi="Archivo"/>
                <w:sz w:val="18"/>
                <w:szCs w:val="18"/>
              </w:rPr>
              <w:t xml:space="preserve">11.2. Joyas y objetos de valor</w:t>
            </w:r>
          </w:p>
          <w:p>
            <w:pPr>
              <w:spacing w:after="40" w:line="260"/>
            </w:pPr>
            <w:r>
              <w:rPr>
                <w:rFonts w:ascii="Archivo" w:cs="Archivo" w:eastAsia="Archivo" w:hAnsi="Archivo"/>
                <w:sz w:val="18"/>
                <w:szCs w:val="18"/>
              </w:rPr>
              <w:t xml:space="preserve">11.3. Equipos electrónicos, informáticos y de telefonía</w:t>
            </w:r>
          </w:p>
          <w:p>
            <w:pPr>
              <w:spacing w:after="40" w:line="260"/>
            </w:pPr>
            <w:r>
              <w:rPr>
                <w:rFonts w:ascii="Archivo" w:cs="Archivo" w:eastAsia="Archivo" w:hAnsi="Archivo"/>
                <w:sz w:val="18"/>
                <w:szCs w:val="18"/>
              </w:rPr>
              <w:t xml:space="preserve">11.4. Obras de arte y colecciones</w:t>
            </w:r>
          </w:p>
          <w:p>
            <w:pPr>
              <w:spacing w:after="40" w:line="260"/>
            </w:pPr>
            <w:r>
              <w:rPr>
                <w:rFonts w:ascii="Archivo" w:cs="Archivo" w:eastAsia="Archivo" w:hAnsi="Archivo"/>
                <w:sz w:val="18"/>
                <w:szCs w:val="18"/>
              </w:rPr>
              <w:t xml:space="preserve">11.5. El seguro de la comunidad de propietarios y su interacción con la póliza individual</w:t>
            </w:r>
          </w:p>
          <w:p>
            <w:pPr>
              <w:spacing w:after="40" w:line="260"/>
            </w:pPr>
            <w:r>
              <w:rPr>
                <w:rFonts w:ascii="Archivo" w:cs="Archivo" w:eastAsia="Archivo" w:hAnsi="Archivo"/>
                <w:sz w:val="18"/>
                <w:szCs w:val="18"/>
              </w:rPr>
              <w:t xml:space="preserve">11.6. Ficha para el profesional</w:t>
            </w:r>
          </w:p>
          <w:p>
            <w:pPr>
              <w:spacing w:after="40" w:line="260"/>
            </w:pPr>
            <w:r>
              <w:rPr>
                <w:rFonts w:ascii="Archivo" w:cs="Archivo" w:eastAsia="Archivo" w:hAnsi="Archivo"/>
                <w:sz w:val="18"/>
                <w:szCs w:val="18"/>
              </w:rPr>
              <w:t xml:space="preserve">11.7. Ficha para el asegurado</w:t>
            </w:r>
          </w:p>
          <w:p>
            <w:pPr>
              <w:spacing w:after="40" w:line="260"/>
            </w:pPr>
            <w:r>
              <w:rPr>
                <w:rFonts w:ascii="Archivo" w:cs="Archivo" w:eastAsia="Archivo" w:hAnsi="Archivo"/>
                <w:sz w:val="18"/>
                <w:szCs w:val="18"/>
              </w:rPr>
              <w:t xml:space="preserve">11.8.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4.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11.1.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24"/>
      </w:r>
      <w:r>
        <w:rPr>
          <w:rFonts w:ascii="Archivo" w:cs="Archivo" w:eastAsia="Archivo" w:hAnsi="Archivo"/>
          <w:sz w:val="21"/>
          <w:szCs w:val="21"/>
        </w:rPr>
        <w:t xml:space="preserve">, conforme a la metodología de análisis fijada en el capítulo 4.</w:t>
      </w:r>
    </w:p>
    <w:p>
      <w:pPr>
        <w:pStyle w:val="Heading2"/>
        <w:spacing w:after="160" w:before="400"/>
      </w:pPr>
      <w:r>
        <w:rPr>
          <w:rFonts w:ascii="Fraunces" w:cs="Fraunces" w:eastAsia="Fraunces" w:hAnsi="Fraunces"/>
          <w:b/>
          <w:bCs/>
          <w:color w:val="0A2540"/>
          <w:sz w:val="24"/>
          <w:szCs w:val="24"/>
        </w:rPr>
        <w:t xml:space="preserve">11.2. Joyas y objetos de valor</w:t>
      </w:r>
    </w:p>
    <w:p>
      <w:pPr>
        <w:spacing w:after="180" w:line="300"/>
        <w:jc w:val="both"/>
      </w:pPr>
      <w:r>
        <w:rPr>
          <w:rFonts w:ascii="Archivo" w:cs="Archivo" w:eastAsia="Archivo" w:hAnsi="Archivo"/>
          <w:sz w:val="21"/>
          <w:szCs w:val="21"/>
        </w:rPr>
        <w:t xml:space="preserve">El artículo 46 LCS, estudiado en el capítulo 5,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4.</w:t>
      </w:r>
    </w:p>
    <w:p>
      <w:pPr>
        <w:pStyle w:val="Heading2"/>
        <w:spacing w:after="160" w:before="400"/>
      </w:pPr>
      <w:r>
        <w:rPr>
          <w:rFonts w:ascii="Fraunces" w:cs="Fraunces" w:eastAsia="Fraunces" w:hAnsi="Fraunces"/>
          <w:b/>
          <w:bCs/>
          <w:color w:val="0A2540"/>
          <w:sz w:val="24"/>
          <w:szCs w:val="24"/>
        </w:rPr>
        <w:t xml:space="preserve">11.3.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11.4.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15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11.5.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2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6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pStyle w:val="Heading2"/>
        <w:spacing w:after="160" w:before="400"/>
      </w:pPr>
      <w:r>
        <w:rPr>
          <w:rFonts w:ascii="Fraunces" w:cs="Fraunces" w:eastAsia="Fraunces" w:hAnsi="Fraunces"/>
          <w:b/>
          <w:bCs/>
          <w:color w:val="0A2540"/>
          <w:sz w:val="24"/>
          <w:szCs w:val="24"/>
        </w:rPr>
        <w:t xml:space="preserve">11.6.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4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tc>
      </w:tr>
    </w:tbl>
    <w:p>
      <w:pPr>
        <w:pStyle w:val="Heading2"/>
        <w:spacing w:after="160" w:before="400"/>
      </w:pPr>
      <w:r>
        <w:rPr>
          <w:rFonts w:ascii="Fraunces" w:cs="Fraunces" w:eastAsia="Fraunces" w:hAnsi="Fraunces"/>
          <w:b/>
          <w:bCs/>
          <w:color w:val="0A2540"/>
          <w:sz w:val="24"/>
          <w:szCs w:val="24"/>
        </w:rPr>
        <w:t xml:space="preserve">11.7.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tc>
      </w:tr>
    </w:tbl>
    <w:p>
      <w:pPr>
        <w:pStyle w:val="Heading2"/>
        <w:spacing w:after="160" w:before="400"/>
      </w:pPr>
      <w:r>
        <w:rPr>
          <w:rFonts w:ascii="Fraunces" w:cs="Fraunces" w:eastAsia="Fraunces" w:hAnsi="Fraunces"/>
          <w:b/>
          <w:bCs/>
          <w:color w:val="0A2540"/>
          <w:sz w:val="24"/>
          <w:szCs w:val="24"/>
        </w:rPr>
        <w:t xml:space="preserve">11.8.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Sistemática de las exclusiones en el seguro de hogar</w:t>
            </w:r>
          </w:p>
          <w:p>
            <w:pPr>
              <w:spacing w:after="40" w:line="260"/>
            </w:pPr>
            <w:r>
              <w:rPr>
                <w:rFonts w:ascii="Archivo" w:cs="Archivo" w:eastAsia="Archivo" w:hAnsi="Archivo"/>
                <w:sz w:val="18"/>
                <w:szCs w:val="18"/>
              </w:rPr>
              <w:t xml:space="preserve">12.2. Exclusiones legales de orden público: dolo y mala fe (art. 19 LCS)</w:t>
            </w:r>
          </w:p>
          <w:p>
            <w:pPr>
              <w:spacing w:after="40" w:line="260"/>
            </w:pPr>
            <w:r>
              <w:rPr>
                <w:rFonts w:ascii="Archivo" w:cs="Archivo" w:eastAsia="Archivo" w:hAnsi="Archivo"/>
                <w:sz w:val="18"/>
                <w:szCs w:val="18"/>
              </w:rPr>
              <w:t xml:space="preserve">12.3. Exclusiones típicas de riesgos catastróficos y bélicos</w:t>
            </w:r>
          </w:p>
          <w:p>
            <w:pPr>
              <w:spacing w:after="40" w:line="260"/>
            </w:pPr>
            <w:r>
              <w:rPr>
                <w:rFonts w:ascii="Archivo" w:cs="Archivo" w:eastAsia="Archivo" w:hAnsi="Archivo"/>
                <w:sz w:val="18"/>
                <w:szCs w:val="18"/>
              </w:rPr>
              <w:t xml:space="preserve">12.4. Exclusiones por vicio propio, desgaste y falta de mantenimiento</w:t>
            </w:r>
          </w:p>
          <w:p>
            <w:pPr>
              <w:spacing w:after="40" w:line="260"/>
            </w:pPr>
            <w:r>
              <w:rPr>
                <w:rFonts w:ascii="Archivo" w:cs="Archivo" w:eastAsia="Archivo" w:hAnsi="Archivo"/>
                <w:sz w:val="18"/>
                <w:szCs w:val="18"/>
              </w:rPr>
              <w:t xml:space="preserve">12.5. Exclusiones por desocupación prolongada de la vivienda</w:t>
            </w:r>
          </w:p>
          <w:p>
            <w:pPr>
              <w:spacing w:after="40" w:line="260"/>
            </w:pPr>
            <w:r>
              <w:rPr>
                <w:rFonts w:ascii="Archivo" w:cs="Archivo" w:eastAsia="Archivo" w:hAnsi="Archivo"/>
                <w:sz w:val="18"/>
                <w:szCs w:val="18"/>
              </w:rPr>
              <w:t xml:space="preserve">12.6. El control de las exclusiones conforme al art. 3 LCS: síntesis metodológica</w:t>
            </w:r>
          </w:p>
          <w:p>
            <w:pPr>
              <w:spacing w:after="40" w:line="260"/>
            </w:pPr>
            <w:r>
              <w:rPr>
                <w:rFonts w:ascii="Archivo" w:cs="Archivo" w:eastAsia="Archivo" w:hAnsi="Archivo"/>
                <w:sz w:val="18"/>
                <w:szCs w:val="18"/>
              </w:rPr>
              <w:t xml:space="preserve">12.7. Ficha para el profesional</w:t>
            </w:r>
          </w:p>
          <w:p>
            <w:pPr>
              <w:spacing w:after="40" w:line="260"/>
            </w:pPr>
            <w:r>
              <w:rPr>
                <w:rFonts w:ascii="Archivo" w:cs="Archivo" w:eastAsia="Archivo" w:hAnsi="Archivo"/>
                <w:sz w:val="18"/>
                <w:szCs w:val="18"/>
              </w:rPr>
              <w:t xml:space="preserve">12.8. Ficha para el asegurado</w:t>
            </w:r>
          </w:p>
          <w:p>
            <w:pPr>
              <w:spacing w:after="40" w:line="260"/>
            </w:pPr>
            <w:r>
              <w:rPr>
                <w:rFonts w:ascii="Archivo" w:cs="Archivo" w:eastAsia="Archivo" w:hAnsi="Archivo"/>
                <w:sz w:val="18"/>
                <w:szCs w:val="18"/>
              </w:rPr>
              <w:t xml:space="preserve">12.9.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4.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12.1.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26"/>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4 (arts. 3 LCS, 5 y 7 LCGC, 1288 CC).</w:t>
      </w:r>
    </w:p>
    <w:p>
      <w:pPr>
        <w:pStyle w:val="Heading2"/>
        <w:spacing w:after="160" w:before="400"/>
      </w:pPr>
      <w:r>
        <w:rPr>
          <w:rFonts w:ascii="Fraunces" w:cs="Fraunces" w:eastAsia="Fraunces" w:hAnsi="Fraunces"/>
          <w:b/>
          <w:bCs/>
          <w:color w:val="0A2540"/>
          <w:sz w:val="24"/>
          <w:szCs w:val="24"/>
        </w:rPr>
        <w:t xml:space="preserve">12.2.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17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12.3.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8,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12.4.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6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6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12.5.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27"/>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12.6.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4, 6 y 12:</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4).</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4).</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21).</w:t>
      </w:r>
    </w:p>
    <w:p>
      <w:pPr>
        <w:pStyle w:val="Heading2"/>
        <w:spacing w:after="160" w:before="400"/>
      </w:pPr>
      <w:r>
        <w:rPr>
          <w:rFonts w:ascii="Fraunces" w:cs="Fraunces" w:eastAsia="Fraunces" w:hAnsi="Fraunces"/>
          <w:b/>
          <w:bCs/>
          <w:color w:val="0A2540"/>
          <w:sz w:val="24"/>
          <w:szCs w:val="24"/>
        </w:rPr>
        <w:t xml:space="preserve">12.7.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12.6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12.8.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12.9.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deber de comunicación del siniestro (art. 16 LCS)</w:t>
            </w:r>
          </w:p>
          <w:p>
            <w:pPr>
              <w:spacing w:after="40" w:line="260"/>
            </w:pPr>
            <w:r>
              <w:rPr>
                <w:rFonts w:ascii="Archivo" w:cs="Archivo" w:eastAsia="Archivo" w:hAnsi="Archivo"/>
                <w:sz w:val="18"/>
                <w:szCs w:val="18"/>
              </w:rPr>
              <w:t xml:space="preserve">13.2. Plazo y consecuencias del incumplimiento</w:t>
            </w:r>
          </w:p>
          <w:p>
            <w:pPr>
              <w:spacing w:after="40" w:line="260"/>
            </w:pPr>
            <w:r>
              <w:rPr>
                <w:rFonts w:ascii="Archivo" w:cs="Archivo" w:eastAsia="Archivo" w:hAnsi="Archivo"/>
                <w:sz w:val="18"/>
                <w:szCs w:val="18"/>
              </w:rPr>
              <w:t xml:space="preserve">13.3. El deber de información sobre las circunstancias del siniestro</w:t>
            </w:r>
          </w:p>
          <w:p>
            <w:pPr>
              <w:spacing w:after="40" w:line="260"/>
            </w:pPr>
            <w:r>
              <w:rPr>
                <w:rFonts w:ascii="Archivo" w:cs="Archivo" w:eastAsia="Archivo" w:hAnsi="Archivo"/>
                <w:sz w:val="18"/>
                <w:szCs w:val="18"/>
              </w:rPr>
              <w:t xml:space="preserve">13.4. La prueba del conocimiento del siniestro por otro medio</w:t>
            </w:r>
          </w:p>
          <w:p>
            <w:pPr>
              <w:spacing w:after="40" w:line="260"/>
            </w:pPr>
            <w:r>
              <w:rPr>
                <w:rFonts w:ascii="Archivo" w:cs="Archivo" w:eastAsia="Archivo" w:hAnsi="Archivo"/>
                <w:sz w:val="18"/>
                <w:szCs w:val="18"/>
              </w:rPr>
              <w:t xml:space="preserve">13.5. Ficha para el profesional</w:t>
            </w:r>
          </w:p>
          <w:p>
            <w:pPr>
              <w:spacing w:after="40" w:line="260"/>
            </w:pPr>
            <w:r>
              <w:rPr>
                <w:rFonts w:ascii="Archivo" w:cs="Archivo" w:eastAsia="Archivo" w:hAnsi="Archivo"/>
                <w:sz w:val="18"/>
                <w:szCs w:val="18"/>
              </w:rPr>
              <w:t xml:space="preserve">13.6. Ficha para el asegurado</w:t>
            </w:r>
          </w:p>
          <w:p>
            <w:pPr>
              <w:spacing w:after="40" w:line="260"/>
            </w:pPr>
            <w:r>
              <w:rPr>
                <w:rFonts w:ascii="Archivo" w:cs="Archivo" w:eastAsia="Archivo" w:hAnsi="Archivo"/>
                <w:sz w:val="18"/>
                <w:szCs w:val="18"/>
              </w:rPr>
              <w:t xml:space="preserve">13.7.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3.</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13.1.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3, como revela la comparación de sus respectivos regímenes de consecuencias</w:t>
      </w:r>
      <w:r>
        <w:rPr>
          <w:rStyle w:val="FootnoteReference"/>
        </w:rPr>
        <w:footnoteReference w:id="2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13.2.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13.3.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13.4.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6):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13.7.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procedimiento pericial del art. 38 LCS: naturaleza y función</w:t>
            </w:r>
          </w:p>
          <w:p>
            <w:pPr>
              <w:spacing w:after="40" w:line="260"/>
            </w:pPr>
            <w:r>
              <w:rPr>
                <w:rFonts w:ascii="Archivo" w:cs="Archivo" w:eastAsia="Archivo" w:hAnsi="Archivo"/>
                <w:sz w:val="18"/>
                <w:szCs w:val="18"/>
              </w:rPr>
              <w:t xml:space="preserve">14.2. Fases del procedimiento: designación, acuerdo y tercer perito</w:t>
            </w:r>
          </w:p>
          <w:p>
            <w:pPr>
              <w:spacing w:after="40" w:line="260"/>
            </w:pPr>
            <w:r>
              <w:rPr>
                <w:rFonts w:ascii="Archivo" w:cs="Archivo" w:eastAsia="Archivo" w:hAnsi="Archivo"/>
                <w:sz w:val="18"/>
                <w:szCs w:val="18"/>
              </w:rPr>
              <w:t xml:space="preserve">14.3.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14.4. La impugnación judicial del dictamen: plazos y requisitos</w:t>
            </w:r>
          </w:p>
          <w:p>
            <w:pPr>
              <w:spacing w:after="40" w:line="260"/>
            </w:pPr>
            <w:r>
              <w:rPr>
                <w:rFonts w:ascii="Archivo" w:cs="Archivo" w:eastAsia="Archivo" w:hAnsi="Archivo"/>
                <w:sz w:val="18"/>
                <w:szCs w:val="18"/>
              </w:rPr>
              <w:t xml:space="preserve">14.5. Retraso del asegurado en la iniciación del expediente y sus consecuencias sobre los intereses</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w:t>
            </w:r>
          </w:p>
          <w:p>
            <w:pPr>
              <w:spacing w:after="160"/>
            </w:pPr>
            <w:r>
              <w:rPr>
                <w:rFonts w:ascii="Archivo" w:cs="Archivo" w:eastAsia="Archivo" w:hAnsi="Archivo"/>
                <w:b/>
                <w:bCs/>
                <w:sz w:val="17"/>
                <w:szCs w:val="17"/>
              </w:rPr>
              <w:t xml:space="preserve">Palabras clave: peritación, art. 38 LCS, tercer perito, dictamen vinculante, interpretación del contrato.</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14.1.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2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14.2.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14.3.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30"/>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2"/>
        <w:spacing w:after="160" w:before="400"/>
      </w:pPr>
      <w:r>
        <w:rPr>
          <w:rFonts w:ascii="Fraunces" w:cs="Fraunces" w:eastAsia="Fraunces" w:hAnsi="Fraunces"/>
          <w:b/>
          <w:bCs/>
          <w:color w:val="0A2540"/>
          <w:sz w:val="24"/>
          <w:szCs w:val="24"/>
        </w:rPr>
        <w:t xml:space="preserve">14.4.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14.5.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16,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plantear directamente la cuestión jurídica de interpretación del contrato ante los tribunales.</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14.8.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2.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3.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4.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5.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6.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principio indemnizatorio como fundamento de la regla proporcional</w:t>
            </w:r>
          </w:p>
          <w:p>
            <w:pPr>
              <w:spacing w:after="40" w:line="260"/>
            </w:pPr>
            <w:r>
              <w:rPr>
                <w:rFonts w:ascii="Archivo" w:cs="Archivo" w:eastAsia="Archivo" w:hAnsi="Archivo"/>
                <w:sz w:val="18"/>
                <w:szCs w:val="18"/>
              </w:rPr>
              <w:t xml:space="preserve">15.2. El infraseguro y la regla proporcional del art. 30 LCS</w:t>
            </w:r>
          </w:p>
          <w:p>
            <w:pPr>
              <w:spacing w:after="40" w:line="260"/>
            </w:pPr>
            <w:r>
              <w:rPr>
                <w:rFonts w:ascii="Archivo" w:cs="Archivo" w:eastAsia="Archivo" w:hAnsi="Archivo"/>
                <w:sz w:val="18"/>
                <w:szCs w:val="18"/>
              </w:rPr>
              <w:t xml:space="preserve">15.3. La exclusión pactada de la regla proporcional</w:t>
            </w:r>
          </w:p>
          <w:p>
            <w:pPr>
              <w:spacing w:after="40" w:line="260"/>
            </w:pPr>
            <w:r>
              <w:rPr>
                <w:rFonts w:ascii="Archivo" w:cs="Archivo" w:eastAsia="Archivo" w:hAnsi="Archivo"/>
                <w:sz w:val="18"/>
                <w:szCs w:val="18"/>
              </w:rPr>
              <w:t xml:space="preserve">15.4. El sobreseguro (art. 27 LCS)</w:t>
            </w:r>
          </w:p>
          <w:p>
            <w:pPr>
              <w:spacing w:after="40" w:line="260"/>
            </w:pPr>
            <w:r>
              <w:rPr>
                <w:rFonts w:ascii="Archivo" w:cs="Archivo" w:eastAsia="Archivo" w:hAnsi="Archivo"/>
                <w:sz w:val="18"/>
                <w:szCs w:val="18"/>
              </w:rPr>
              <w:t xml:space="preserve">15.5. Infraseguro y concurrencia de seguros: dos figuras que no deben confundirse</w:t>
            </w:r>
          </w:p>
          <w:p>
            <w:pPr>
              <w:spacing w:after="40" w:line="260"/>
            </w:pPr>
            <w:r>
              <w:rPr>
                <w:rFonts w:ascii="Archivo" w:cs="Archivo" w:eastAsia="Archivo" w:hAnsi="Archivo"/>
                <w:sz w:val="18"/>
                <w:szCs w:val="18"/>
              </w:rPr>
              <w:t xml:space="preserve">15.6. Partidas excluidas de la regla proporcional por pacto expreso</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31"/>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15.2.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15.3.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15.4.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15.5.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6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15.6.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tc>
      </w:tr>
    </w:tbl>
    <w:p>
      <w:pPr>
        <w:pStyle w:val="Heading2"/>
        <w:spacing w:after="160" w:before="400"/>
      </w:pPr>
      <w:r>
        <w:rPr>
          <w:rFonts w:ascii="Fraunces" w:cs="Fraunces" w:eastAsia="Fraunces" w:hAnsi="Fraunces"/>
          <w:b/>
          <w:bCs/>
          <w:color w:val="0A2540"/>
          <w:sz w:val="24"/>
          <w:szCs w:val="24"/>
        </w:rPr>
        <w:t xml:space="preserve">15.9.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El pago del importe mínimo (art. 18 LCS)</w:t>
            </w:r>
          </w:p>
          <w:p>
            <w:pPr>
              <w:spacing w:after="40" w:line="260"/>
            </w:pPr>
            <w:r>
              <w:rPr>
                <w:rFonts w:ascii="Archivo" w:cs="Archivo" w:eastAsia="Archivo" w:hAnsi="Archivo"/>
                <w:sz w:val="18"/>
                <w:szCs w:val="18"/>
              </w:rPr>
              <w:t xml:space="preserve">16.2. La mora del asegurador y su régimen especial (art. 20 LCS)</w:t>
            </w:r>
          </w:p>
          <w:p>
            <w:pPr>
              <w:spacing w:after="40" w:line="260"/>
            </w:pPr>
            <w:r>
              <w:rPr>
                <w:rFonts w:ascii="Archivo" w:cs="Archivo" w:eastAsia="Archivo" w:hAnsi="Archivo"/>
                <w:sz w:val="18"/>
                <w:szCs w:val="18"/>
              </w:rPr>
              <w:t xml:space="preserve">16.3. Cálculo de los intereses de demora</w:t>
            </w:r>
          </w:p>
          <w:p>
            <w:pPr>
              <w:spacing w:after="40" w:line="260"/>
            </w:pPr>
            <w:r>
              <w:rPr>
                <w:rFonts w:ascii="Archivo" w:cs="Archivo" w:eastAsia="Archivo" w:hAnsi="Archivo"/>
                <w:sz w:val="18"/>
                <w:szCs w:val="18"/>
              </w:rPr>
              <w:t xml:space="preserve">16.4. La causa justificada de exoneración: doctrina restrictiva del Tribunal Supremo</w:t>
            </w:r>
          </w:p>
          <w:p>
            <w:pPr>
              <w:spacing w:after="40" w:line="260"/>
            </w:pPr>
            <w:r>
              <w:rPr>
                <w:rFonts w:ascii="Archivo" w:cs="Archivo" w:eastAsia="Archivo" w:hAnsi="Archivo"/>
                <w:sz w:val="18"/>
                <w:szCs w:val="18"/>
              </w:rPr>
              <w:t xml:space="preserve">16.5. La pendencia de un proceso judicial como (in)suficiente causa justificada</w:t>
            </w:r>
          </w:p>
          <w:p>
            <w:pPr>
              <w:spacing w:after="40" w:line="260"/>
            </w:pPr>
            <w:r>
              <w:rPr>
                <w:rFonts w:ascii="Archivo" w:cs="Archivo" w:eastAsia="Archivo" w:hAnsi="Archivo"/>
                <w:sz w:val="18"/>
                <w:szCs w:val="18"/>
              </w:rPr>
              <w:t xml:space="preserve">16.6. Ficha para el profesional</w:t>
            </w:r>
          </w:p>
          <w:p>
            <w:pPr>
              <w:spacing w:after="40" w:line="260"/>
            </w:pPr>
            <w:r>
              <w:rPr>
                <w:rFonts w:ascii="Archivo" w:cs="Archivo" w:eastAsia="Archivo" w:hAnsi="Archivo"/>
                <w:sz w:val="18"/>
                <w:szCs w:val="18"/>
              </w:rPr>
              <w:t xml:space="preserve">16.7. Ficha para el asegurado</w:t>
            </w:r>
          </w:p>
          <w:p>
            <w:pPr>
              <w:spacing w:after="40" w:line="260"/>
            </w:pPr>
            <w:r>
              <w:rPr>
                <w:rFonts w:ascii="Archivo" w:cs="Archivo" w:eastAsia="Archivo" w:hAnsi="Archivo"/>
                <w:sz w:val="18"/>
                <w:szCs w:val="18"/>
              </w:rPr>
              <w:t xml:space="preserve">16.8.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16.1.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16.2.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32"/>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13).</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16.3.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16.4.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16.5.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16.6.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13).</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16.7.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16.8.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Sistemática general: dolo, mala fe y culpa grave en la LCS</w:t>
            </w:r>
          </w:p>
          <w:p>
            <w:pPr>
              <w:spacing w:after="40" w:line="260"/>
            </w:pPr>
            <w:r>
              <w:rPr>
                <w:rFonts w:ascii="Archivo" w:cs="Archivo" w:eastAsia="Archivo" w:hAnsi="Archivo"/>
                <w:sz w:val="18"/>
                <w:szCs w:val="18"/>
              </w:rPr>
              <w:t xml:space="preserve">17.2. El estándar probatorio: la carga de la prueba corresponde al asegurador</w:t>
            </w:r>
          </w:p>
          <w:p>
            <w:pPr>
              <w:spacing w:after="40" w:line="260"/>
            </w:pPr>
            <w:r>
              <w:rPr>
                <w:rFonts w:ascii="Archivo" w:cs="Archivo" w:eastAsia="Archivo" w:hAnsi="Archivo"/>
                <w:sz w:val="18"/>
                <w:szCs w:val="18"/>
              </w:rPr>
              <w:t xml:space="preserve">17.3. La exigencia de nexo causal entre el dolo y el siniestro</w:t>
            </w:r>
          </w:p>
          <w:p>
            <w:pPr>
              <w:spacing w:after="40" w:line="260"/>
            </w:pPr>
            <w:r>
              <w:rPr>
                <w:rFonts w:ascii="Archivo" w:cs="Archivo" w:eastAsia="Archivo" w:hAnsi="Archivo"/>
                <w:sz w:val="18"/>
                <w:szCs w:val="18"/>
              </w:rPr>
              <w:t xml:space="preserve">17.4. El umbral de la culpa grave frente a la negligencia simple</w:t>
            </w:r>
          </w:p>
          <w:p>
            <w:pPr>
              <w:spacing w:after="40" w:line="260"/>
            </w:pPr>
            <w:r>
              <w:rPr>
                <w:rFonts w:ascii="Archivo" w:cs="Archivo" w:eastAsia="Archivo" w:hAnsi="Archivo"/>
                <w:sz w:val="18"/>
                <w:szCs w:val="18"/>
              </w:rPr>
              <w:t xml:space="preserve">17.5. Proyección sobre las distintas coberturas del hogar</w:t>
            </w:r>
          </w:p>
          <w:p>
            <w:pPr>
              <w:spacing w:after="40" w:line="260"/>
            </w:pPr>
            <w:r>
              <w:rPr>
                <w:rFonts w:ascii="Archivo" w:cs="Archivo" w:eastAsia="Archivo" w:hAnsi="Archivo"/>
                <w:sz w:val="18"/>
                <w:szCs w:val="18"/>
              </w:rPr>
              <w:t xml:space="preserve">17.6. Ficha para el profesional</w:t>
            </w:r>
          </w:p>
          <w:p>
            <w:pPr>
              <w:spacing w:after="40" w:line="260"/>
            </w:pPr>
            <w:r>
              <w:rPr>
                <w:rFonts w:ascii="Archivo" w:cs="Archivo" w:eastAsia="Archivo" w:hAnsi="Archivo"/>
                <w:sz w:val="18"/>
                <w:szCs w:val="18"/>
              </w:rPr>
              <w:t xml:space="preserve">17.7. Ficha para el asegurado</w:t>
            </w:r>
          </w:p>
          <w:p>
            <w:pPr>
              <w:spacing w:after="40" w:line="260"/>
            </w:pPr>
            <w:r>
              <w:rPr>
                <w:rFonts w:ascii="Archivo" w:cs="Archivo" w:eastAsia="Archivo" w:hAnsi="Archivo"/>
                <w:sz w:val="18"/>
                <w:szCs w:val="18"/>
              </w:rPr>
              <w:t xml:space="preserve">17.8.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17.1.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3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17.4).</w:t>
      </w:r>
    </w:p>
    <w:p>
      <w:pPr>
        <w:pStyle w:val="Heading2"/>
        <w:spacing w:after="160" w:before="400"/>
      </w:pPr>
      <w:r>
        <w:rPr>
          <w:rFonts w:ascii="Fraunces" w:cs="Fraunces" w:eastAsia="Fraunces" w:hAnsi="Fraunces"/>
          <w:b/>
          <w:bCs/>
          <w:color w:val="0A2540"/>
          <w:sz w:val="24"/>
          <w:szCs w:val="24"/>
        </w:rPr>
        <w:t xml:space="preserve">17.2.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17.3. La exigencia de nexo causal entre el dolo y el siniestro</w:t>
      </w:r>
    </w:p>
    <w:p>
      <w:pPr>
        <w:spacing w:after="180" w:line="300"/>
        <w:jc w:val="both"/>
      </w:pPr>
      <w:r>
        <w:rPr>
          <w:rFonts w:ascii="Archivo" w:cs="Archivo" w:eastAsia="Archivo" w:hAnsi="Archivo"/>
          <w:sz w:val="21"/>
          <w:szCs w:val="21"/>
        </w:rPr>
        <w:t xml:space="preserve">Como se anticipó en el capítulo 9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pStyle w:val="Heading2"/>
        <w:spacing w:after="160" w:before="400"/>
      </w:pPr>
      <w:r>
        <w:rPr>
          <w:rFonts w:ascii="Fraunces" w:cs="Fraunces" w:eastAsia="Fraunces" w:hAnsi="Fraunces"/>
          <w:b/>
          <w:bCs/>
          <w:color w:val="0A2540"/>
          <w:sz w:val="24"/>
          <w:szCs w:val="24"/>
        </w:rPr>
        <w:t xml:space="preserve">17.4. El umbral de la culpa grave frente a la negligencia simple</w:t>
      </w:r>
    </w:p>
    <w:p>
      <w:pPr>
        <w:spacing w:after="180" w:line="300"/>
        <w:jc w:val="both"/>
      </w:pPr>
      <w:r>
        <w:rPr>
          <w:rFonts w:ascii="Archivo" w:cs="Archivo" w:eastAsia="Archivo" w:hAnsi="Archivo"/>
          <w:sz w:val="21"/>
          <w:szCs w:val="21"/>
        </w:rPr>
        <w:t xml:space="preserve">Como se estudió en los capítulos 5 y 7,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3).</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17.5.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5 desarrolla su aplicación al incendio (con la doctrina de la «malquerencia de extraños»), el capítulo 7 su aplicación al robo, y el capítulo 9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17.6.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9),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17.7.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17.8.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plazo de dos años del art. 23 LCS</w:t>
            </w:r>
          </w:p>
          <w:p>
            <w:pPr>
              <w:spacing w:after="40" w:line="260"/>
            </w:pPr>
            <w:r>
              <w:rPr>
                <w:rFonts w:ascii="Archivo" w:cs="Archivo" w:eastAsia="Archivo" w:hAnsi="Archivo"/>
                <w:sz w:val="18"/>
                <w:szCs w:val="18"/>
              </w:rPr>
              <w:t xml:space="preserve">18.2. La interrupción de la prescripción (art. 1973 CC)</w:t>
            </w:r>
          </w:p>
          <w:p>
            <w:pPr>
              <w:spacing w:after="40" w:line="260"/>
            </w:pPr>
            <w:r>
              <w:rPr>
                <w:rFonts w:ascii="Archivo" w:cs="Archivo" w:eastAsia="Archivo" w:hAnsi="Archivo"/>
                <w:sz w:val="18"/>
                <w:szCs w:val="18"/>
              </w:rPr>
              <w:t xml:space="preserve">18.3. El dies a quo: la regla de la actio nata</w:t>
            </w:r>
          </w:p>
          <w:p>
            <w:pPr>
              <w:spacing w:after="40" w:line="260"/>
            </w:pPr>
            <w:r>
              <w:rPr>
                <w:rFonts w:ascii="Archivo" w:cs="Archivo" w:eastAsia="Archivo" w:hAnsi="Archivo"/>
                <w:sz w:val="18"/>
                <w:szCs w:val="18"/>
              </w:rPr>
              <w:t xml:space="preserve">18.4. Incidencia de un proceso penal previo sobre el cómputo</w:t>
            </w:r>
          </w:p>
          <w:p>
            <w:pPr>
              <w:spacing w:after="40" w:line="260"/>
            </w:pPr>
            <w:r>
              <w:rPr>
                <w:rFonts w:ascii="Archivo" w:cs="Archivo" w:eastAsia="Archivo" w:hAnsi="Archivo"/>
                <w:sz w:val="18"/>
                <w:szCs w:val="18"/>
              </w:rPr>
              <w:t xml:space="preserve">18.5. Prescripción de la acción de subrogación (art. 43 LCS)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18.1.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34"/>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18.2.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18.3.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18.4.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18.5.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6,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6.</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18.8.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1">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2">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21 de esta obra.</w:t>
      </w:r>
    </w:p>
  </w:footnote>
  <w:footnote w:id="13">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4">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5">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16">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4; cfr. BATALLER GRAU, J. et al., op. cit., epígrafe introductorio al comentario de las coberturas atípicas del seguro multirriesgo.</w:t>
      </w:r>
    </w:p>
  </w:footnote>
  <w:footnote w:id="17">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18">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19">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0">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21">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22">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w:t>
      </w:r>
    </w:p>
  </w:footnote>
  <w:footnote w:id="23">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24">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25">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26">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27">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3, en la medida en que un cambio duradero en el patrón de ocupación de la vivienda puede constituir, en sí mismo, una circunstancia agravante sujeta a dicho deber si fue objeto de pregunta en el cuestionario inicial; cfr. capítulo 3, epígrafe 3.3.1.</w:t>
      </w:r>
    </w:p>
  </w:footnote>
  <w:footnote w:id="28">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29">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30">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31">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3: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32">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w:t>
      </w:r>
    </w:p>
  </w:footnote>
  <w:footnote w:id="33">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34">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2026-08-10T13:19:06.651Z</dcterms:created>
  <dcterms:modified xsi:type="dcterms:W3CDTF">2026-08-10T13:19:06.653Z</dcterms:modified>
</cp:coreProperties>
</file>

<file path=docProps/custom.xml><?xml version="1.0" encoding="utf-8"?>
<Properties xmlns="http://schemas.openxmlformats.org/officeDocument/2006/custom-properties" xmlns:vt="http://schemas.openxmlformats.org/officeDocument/2006/docPropsVTypes"/>
</file>