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Fraunces" w:cs="Fraunces" w:eastAsia="Fraunces" w:hAnsi="Fraunces"/>
          <w:b/>
          <w:bCs/>
          <w:color w:val="0A2540"/>
          <w:sz w:val="56"/>
          <w:szCs w:val="56"/>
        </w:rPr>
        <w:t xml:space="preserve">DERECHO DE SEGUROS DE HOGAR</w:t>
      </w:r>
    </w:p>
    <w:p>
      <w:pPr>
        <w:spacing w:after="500"/>
        <w:jc w:val="center"/>
      </w:pPr>
      <w:r>
        <w:rPr>
          <w:rFonts w:ascii="Archivo" w:cs="Archivo" w:eastAsia="Archivo" w:hAnsi="Archivo"/>
          <w:color w:val="1B6DF0"/>
          <w:sz w:val="26"/>
          <w:szCs w:val="26"/>
        </w:rPr>
        <w:t xml:space="preserve">Manual práctico para profesionales y asegurados</w:t>
      </w:r>
    </w:p>
    <w:p>
      <w:pPr>
        <w:spacing w:after="60"/>
        <w:jc w:val="center"/>
      </w:pPr>
      <w:r>
        <w:rPr>
          <w:rFonts w:ascii="Archivo" w:cs="Archivo" w:eastAsia="Archivo" w:hAnsi="Archivo"/>
          <w:i/>
          <w:iCs/>
          <w:color w:val="6B7A8F"/>
          <w:sz w:val="21"/>
          <w:szCs w:val="21"/>
        </w:rPr>
        <w:t xml:space="preserve">Coberturas, siniestros y reclamación con doctrina y jurisprudencia del Tribunal Supremo</w:t>
      </w:r>
    </w:p>
    <w:p>
      <w:pPr>
        <w:spacing w:before="3200"/>
        <w:jc w:val="center"/>
      </w:pPr>
      <w:r>
        <w:rPr>
          <w:rFonts w:ascii="Archivo" w:cs="Archivo" w:eastAsia="Archivo" w:hAnsi="Archivo"/>
          <w:b/>
          <w:bCs/>
          <w:color w:val="0A2540"/>
          <w:sz w:val="24"/>
          <w:szCs w:val="24"/>
        </w:rPr>
        <w:t xml:space="preserve">Fresno Abogados</w:t>
      </w:r>
    </w:p>
    <w:p>
      <w:pPr>
        <w:jc w:val="center"/>
      </w:pPr>
      <w:r>
        <w:rPr>
          <w:rFonts w:ascii="Archivo" w:cs="Archivo" w:eastAsia="Archivo" w:hAnsi="Archivo"/>
          <w:color w:val="6B7A8F"/>
          <w:sz w:val="20"/>
          <w:szCs w:val="20"/>
        </w:rPr>
        <w:t xml:space="preserve">Agosto de 2026</w:t>
      </w:r>
    </w:p>
    <w:p>
      <w:pPr>
        <w:pageBreakBefore/>
        <w:spacing w:after="200" w:before="3000"/>
      </w:pPr>
      <w:r>
        <w:rPr>
          <w:rFonts w:ascii="Archivo" w:cs="Archivo" w:eastAsia="Archivo" w:hAnsi="Archivo"/>
          <w:sz w:val="19"/>
          <w:szCs w:val="19"/>
        </w:rPr>
        <w:t xml:space="preserve">Derecho de Seguros de Hogar. Manual práctico para profesionales y asegurados</w:t>
      </w:r>
    </w:p>
    <w:p>
      <w:pPr>
        <w:spacing w:after="200"/>
      </w:pPr>
      <w:r>
        <w:rPr>
          <w:rFonts w:ascii="Archivo" w:cs="Archivo" w:eastAsia="Archivo" w:hAnsi="Archivo"/>
          <w:sz w:val="19"/>
          <w:szCs w:val="19"/>
        </w:rPr>
        <w:t xml:space="preserve">© Fresno Abogados, Agosto de 2026</w:t>
      </w:r>
    </w:p>
    <w:p>
      <w:pPr>
        <w:spacing w:after="200"/>
      </w:pPr>
      <w:r>
        <w:rPr>
          <w:rFonts w:ascii="Archivo" w:cs="Archivo" w:eastAsia="Archivo" w:hAnsi="Archivo"/>
          <w:color w:val="6B7A8F"/>
          <w:sz w:val="18"/>
          <w:szCs w:val="18"/>
        </w:rPr>
        <w:t xml:space="preserve">Edición de trabajo en curso de redacción. Las citas legales reproducen el texto consolidado publicado en el Boletín Oficial del Estado (BOE) y las citas jurisprudenciales reproducen resoluciones oficiales del Tribunal Supremo (CENDOJ), verificadas en la fecha de cierre de cada capítulo. Esta obra tiene finalidad divulgativa y de apoyo profesional y no sustituye el asesoramiento jurídico individualizado sobre un caso concreto.</w:t>
      </w:r>
    </w:p>
    <w:p>
      <w:pPr>
        <w:pStyle w:val="Heading1"/>
        <w:pageBreakBefore/>
        <w:spacing w:after="300"/>
      </w:pPr>
      <w:r>
        <w:rPr>
          <w:rFonts w:ascii="Fraunces" w:cs="Fraunces" w:eastAsia="Fraunces" w:hAnsi="Fraunces"/>
          <w:b/>
          <w:bCs/>
          <w:color w:val="0A2540"/>
          <w:sz w:val="30"/>
          <w:szCs w:val="30"/>
        </w:rPr>
        <w:t xml:space="preserve">Presentación</w:t>
      </w:r>
    </w:p>
    <w:p>
      <w:pPr>
        <w:spacing w:after="180" w:line="300"/>
        <w:jc w:val="both"/>
      </w:pPr>
      <w:r>
        <w:rPr>
          <w:rFonts w:ascii="Archivo" w:cs="Archivo" w:eastAsia="Archivo" w:hAnsi="Archivo"/>
          <w:sz w:val="21"/>
          <w:szCs w:val="21"/>
        </w:rPr>
        <w:t xml:space="preserve">El seguro de hogar acompaña, casi sin excepción, a cualquier propietario o inquilino en España. Su contratación es en muchos casos obligatoria de facto —la exige la entidad que concede el préstamo hipotecario— y su gestión, sin embargo, sigue generando cada año miles de reclamaciones ante los servicios de atención al cliente de las aseguradoras, ante el Defensor del Asegurado, ante la Dirección General de Seguros y Fondos de Pensiones y, en última instancia, ante los juzgados de primera instancia de toda España.</w:t>
      </w:r>
    </w:p>
    <w:p>
      <w:pPr>
        <w:spacing w:after="180" w:line="300"/>
        <w:jc w:val="both"/>
      </w:pPr>
      <w:r>
        <w:rPr>
          <w:rFonts w:ascii="Archivo" w:cs="Archivo" w:eastAsia="Archivo" w:hAnsi="Archivo"/>
          <w:sz w:val="21"/>
          <w:szCs w:val="21"/>
        </w:rPr>
        <w:t xml:space="preserve">Esta obra nace con una vocación doble. Para el profesional del Derecho —abogado, procurador, perito, mediador de seguros o gestor de siniestros— pretende ser un manual de consulta rápida que, capítulo a capítulo, sitúe la norma aplicable, la sistematice con la doctrina jurisprudencial más reciente del Tribunal Supremo y la traduzca en pautas de actuación verificables. Para el asegurado, pretende ser una guía que le permita entender qué ha firmado, qué puede exigir y cómo debe actuar ante un siniestro, sin necesidad de conocimientos jurídicos previos.</w:t>
      </w:r>
    </w:p>
    <w:p>
      <w:pPr>
        <w:spacing w:after="180" w:line="300"/>
        <w:jc w:val="both"/>
      </w:pPr>
      <w:r>
        <w:rPr>
          <w:rFonts w:ascii="Archivo" w:cs="Archivo" w:eastAsia="Archivo" w:hAnsi="Archivo"/>
          <w:sz w:val="21"/>
          <w:szCs w:val="21"/>
        </w:rPr>
        <w:t xml:space="preserve">Cada capítulo combina tres planos de lectura: el texto legal vigente, reproducido literalmente y con indicación de su fuente oficial; la doctrina jurisprudencial aplicable, con cita completa (número de resolución, fecha, ECLI y ponente) para que pueda verificarse y citarse en cualquier escrito profesional; y una traducción práctica, en forma de fichas y checklists, dirigida respectivamente al profesional y al asegurado.</w:t>
      </w:r>
    </w:p>
    <w:p>
      <w:pPr>
        <w:spacing w:after="180" w:line="300"/>
        <w:jc w:val="both"/>
      </w:pPr>
      <w:r>
        <w:rPr>
          <w:rFonts w:ascii="Archivo" w:cs="Archivo" w:eastAsia="Archivo" w:hAnsi="Archivo"/>
          <w:sz w:val="21"/>
          <w:szCs w:val="21"/>
        </w:rPr>
        <w:t xml:space="preserve">El resultado es un libro pensado para leerse de principio a fin, pero también, y sobre todo, para consultarse por capítulos sueltos cuando surge un problema concreto: una gotera que discute la aseguradora, un robo cuya indemnización se demora, una cláusula que nadie explicó con claridad antes de firmar.</w:t>
      </w:r>
    </w:p>
    <w:p>
      <w:pPr>
        <w:pStyle w:val="Heading1"/>
        <w:pageBreakBefore/>
        <w:spacing w:after="300"/>
      </w:pPr>
      <w:r>
        <w:rPr>
          <w:rFonts w:ascii="Fraunces" w:cs="Fraunces" w:eastAsia="Fraunces" w:hAnsi="Fraunces"/>
          <w:b/>
          <w:bCs/>
          <w:color w:val="0A2540"/>
          <w:sz w:val="30"/>
          <w:szCs w:val="30"/>
        </w:rPr>
        <w:t xml:space="preserve">Cómo usar este libro</w:t>
      </w:r>
    </w:p>
    <w:p>
      <w:pPr>
        <w:spacing w:after="180" w:line="300"/>
        <w:jc w:val="both"/>
      </w:pPr>
      <w:r>
        <w:rPr>
          <w:rFonts w:ascii="Archivo" w:cs="Archivo" w:eastAsia="Archivo" w:hAnsi="Archivo"/>
          <w:sz w:val="21"/>
          <w:szCs w:val="21"/>
        </w:rPr>
        <w:t xml:space="preserve">A lo largo de la obra se emplean tres recursos gráficos recurrentes que conviene identificar desde el principio: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w:t>
            </w:r>
          </w:p>
          <w:p>
            <w:pPr>
              <w:spacing w:after="180" w:line="300"/>
              <w:jc w:val="both"/>
            </w:pPr>
            <w:r>
              <w:rPr>
                <w:rFonts w:ascii="Archivo" w:cs="Archivo" w:eastAsia="Archivo" w:hAnsi="Archivo"/>
                <w:sz w:val="21"/>
                <w:szCs w:val="21"/>
              </w:rPr>
              <w:t xml:space="preserve">Los recuadros con este encabezado reproducen el texto legal vigente en la fecha de redacción del capítulo, con indicación de la norma y del artículo citados. El profesional debe verificar siempre, antes de invocarlo en un escrito, que no se ha producido una modificación posterior consultando el BOE consolidado.</w:t>
            </w:r>
          </w:p>
        </w:tc>
      </w:tr>
    </w:tbl>
    <w:p>
      <w:pPr>
        <w:spacing w:after="120"/>
      </w:pP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w:t>
            </w:r>
          </w:p>
          <w:p>
            <w:pPr>
              <w:spacing w:after="180" w:line="300"/>
              <w:jc w:val="both"/>
            </w:pPr>
            <w:r>
              <w:rPr>
                <w:rFonts w:ascii="Archivo" w:cs="Archivo" w:eastAsia="Archivo" w:hAnsi="Archivo"/>
                <w:sz w:val="21"/>
                <w:szCs w:val="21"/>
              </w:rPr>
              <w:t xml:space="preserve">Los recuadros con este encabezado reproducen pasajes literales de sentencias del Tribunal Supremo, identificadas por número de resolución, fecha y ECLI (código europeo de identificación de jurisprudencia), lo que permite su localización y verificación directa en el buscador del Centro de Documentación Judicial (CENDOJ).</w:t>
            </w:r>
          </w:p>
        </w:tc>
      </w:tr>
    </w:tbl>
    <w:p>
      <w:pPr>
        <w:spacing w:after="12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Ficha práctica</w:t>
            </w:r>
          </w:p>
          <w:p>
            <w:pPr>
              <w:pStyle w:val="ListParagraph"/>
              <w:numPr>
                <w:ilvl w:val="0"/>
                <w:numId w:val="2"/>
              </w:numPr>
              <w:spacing w:after="80" w:line="280"/>
            </w:pPr>
            <w:r>
              <w:rPr>
                <w:rFonts w:ascii="Archivo" w:cs="Archivo" w:eastAsia="Archivo" w:hAnsi="Archivo"/>
                <w:sz w:val="19"/>
                <w:szCs w:val="19"/>
              </w:rPr>
              <w:t xml:space="preserve">Los recuadros de ficha traducen el contenido del capítulo en pautas de actuación concretas, diferenciadas según se dirijan al profesional o al asegurado.</w:t>
            </w:r>
          </w:p>
        </w:tc>
      </w:tr>
    </w:tbl>
    <w:p>
      <w:pPr>
        <w:spacing w:after="180" w:line="300"/>
        <w:jc w:val="both"/>
      </w:pPr>
      <w:r>
        <w:rPr>
          <w:rFonts w:ascii="Archivo" w:cs="Archivo" w:eastAsia="Archivo" w:hAnsi="Archivo"/>
          <w:sz w:val="21"/>
          <w:szCs w:val="21"/>
        </w:rPr>
        <w:t xml:space="preserve">Al final de la obra se incluyen anexos con un glosario de términos, un índice de la legislación citada, un índice de la jurisprudencia citada con enlace a su ECLI, modelos de escritos de reclamación y una tabla resumen de plazos, pensada como referencia de consulta inmediata.</w:t>
      </w:r>
    </w:p>
    <w:p>
      <w:pPr>
        <w:pStyle w:val="Heading1"/>
        <w:pageBreakBefore/>
        <w:spacing w:after="300"/>
      </w:pPr>
      <w:r>
        <w:rPr>
          <w:rFonts w:ascii="Fraunces" w:cs="Fraunces" w:eastAsia="Fraunces" w:hAnsi="Fraunces"/>
          <w:b/>
          <w:bCs/>
          <w:color w:val="0A2540"/>
          <w:sz w:val="30"/>
          <w:szCs w:val="30"/>
        </w:rPr>
        <w:t xml:space="preserve">Índice</w:t>
      </w:r>
    </w:p>
    <w:p>
      <w:pPr>
        <w:tabs>
          <w:tab w:val="right" w:pos="9026" w:leader="dot"/>
        </w:tabs>
        <w:spacing w:after="90" w:before="0"/>
      </w:pPr>
      <w:r>
        <w:rPr>
          <w:rFonts w:ascii="Archivo" w:cs="Archivo" w:eastAsia="Archivo" w:hAnsi="Archivo"/>
          <w:b w:val="false"/>
          <w:bCs w:val="false"/>
          <w:caps w:val="false"/>
          <w:color w:val="0A2540"/>
          <w:sz w:val="21"/>
          <w:szCs w:val="21"/>
        </w:rPr>
        <w:t xml:space="preserve">Presentación</w:t>
      </w:r>
    </w:p>
    <w:p>
      <w:pPr>
        <w:tabs>
          <w:tab w:val="right" w:pos="9026" w:leader="dot"/>
        </w:tabs>
        <w:spacing w:after="90" w:before="0"/>
      </w:pPr>
      <w:r>
        <w:rPr>
          <w:rFonts w:ascii="Archivo" w:cs="Archivo" w:eastAsia="Archivo" w:hAnsi="Archivo"/>
          <w:b w:val="false"/>
          <w:bCs w:val="false"/>
          <w:caps w:val="false"/>
          <w:color w:val="0A2540"/>
          <w:sz w:val="21"/>
          <w:szCs w:val="21"/>
        </w:rPr>
        <w:t xml:space="preserve">Cómo usar este libro</w:t>
      </w:r>
    </w:p>
    <w:p>
      <w:pPr>
        <w:tabs>
          <w:tab w:val="right" w:pos="9026" w:leader="dot"/>
        </w:tabs>
        <w:spacing w:after="160" w:before="260"/>
      </w:pPr>
      <w:r>
        <w:rPr>
          <w:rFonts w:ascii="Archivo" w:cs="Archivo" w:eastAsia="Archivo" w:hAnsi="Archivo"/>
          <w:b/>
          <w:bCs/>
          <w:caps/>
          <w:color w:val="1B6DF0"/>
          <w:sz w:val="20"/>
          <w:szCs w:val="20"/>
        </w:rPr>
        <w:t xml:space="preserve">PARTE I. FUNDAMENTOS DEL SEGURO DE HOGAR</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 El contrato de seguro de hogar: concepto, fuentes y principios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 Sujetos y objeto del contrato: tomador, asegurado, beneficiario, continente y contenido</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3. Fase precontractual y distribución de seguros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4. Formación del contrato y deber de declaración del riesgo (art. 10 LCS)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5. Condiciones generales, particulares y especiales: profundización práctica</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6. Interpretación contractual en el seguro de hogar</w:t>
      </w:r>
    </w:p>
    <w:p>
      <w:pPr>
        <w:tabs>
          <w:tab w:val="right" w:pos="9026" w:leader="dot"/>
        </w:tabs>
        <w:spacing w:after="160" w:before="260"/>
      </w:pPr>
      <w:r>
        <w:rPr>
          <w:rFonts w:ascii="Archivo" w:cs="Archivo" w:eastAsia="Archivo" w:hAnsi="Archivo"/>
          <w:b/>
          <w:bCs/>
          <w:caps/>
          <w:color w:val="1B6DF0"/>
          <w:sz w:val="20"/>
          <w:szCs w:val="20"/>
        </w:rPr>
        <w:t xml:space="preserve">PARTE II. LAS COBERTURAS DEL SEGURO MULTIRRIESGO DE HOGAR</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7. Incendio, explosión y fenómenos eléctricos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8. Daños por agua</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9. Robo, expoliación y hurto</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10. Fenómenos atmosféricos y riesgos extraordinarios: el Consorcio de Compensación de Seguros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11. Rotura de cristales, sanitarios y elementos fijos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12. Daños estéticos, inhabitabilidad y pérdida de alquileres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13. Responsabilidad civil de la vida privada y del cabeza de familia</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14. Defensa jurídica y asistencia en el hogar</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15. Coberturas especiales: joyas, objetos de valor, equipos electrónicos y comunidades de propietarios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16. Exclusiones generales y particulares</w:t>
      </w:r>
    </w:p>
    <w:p>
      <w:pPr>
        <w:tabs>
          <w:tab w:val="right" w:pos="9026" w:leader="dot"/>
        </w:tabs>
        <w:spacing w:after="160" w:before="260"/>
      </w:pPr>
      <w:r>
        <w:rPr>
          <w:rFonts w:ascii="Archivo" w:cs="Archivo" w:eastAsia="Archivo" w:hAnsi="Archivo"/>
          <w:b/>
          <w:bCs/>
          <w:caps/>
          <w:color w:val="1B6DF0"/>
          <w:sz w:val="20"/>
          <w:szCs w:val="20"/>
        </w:rPr>
        <w:t xml:space="preserve">PARTE III. LA GESTIÓN DEL SINIESTRO</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17. Declaración y comunicación del siniestro (art. 16 LCS)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18. Peritación: designación, procedimiento y tercer perito (art. 38 LCS)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19. Infraseguro, sobreseguro y regla proporcional (arts. 26 y 30 LCS)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20. Pago de la indemnización, mora del asegurador e intereses (art. 20 LCS)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21. Dolo y culpa grave: causas de exoneración del asegurador</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22. Prescripción de acciones (art. 23 LCS)</w:t>
      </w:r>
    </w:p>
    <w:p>
      <w:pPr>
        <w:tabs>
          <w:tab w:val="right" w:pos="9026" w:leader="dot"/>
        </w:tabs>
        <w:spacing w:after="160" w:before="260"/>
      </w:pPr>
      <w:r>
        <w:rPr>
          <w:rFonts w:ascii="Archivo" w:cs="Archivo" w:eastAsia="Archivo" w:hAnsi="Archivo"/>
          <w:b/>
          <w:bCs/>
          <w:caps/>
          <w:color w:val="1B6DF0"/>
          <w:sz w:val="20"/>
          <w:szCs w:val="20"/>
        </w:rPr>
        <w:t xml:space="preserve">PARTE IV. CONFLICTOS Y VÍAS DE RECLAMACIÓN</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23. Reclamación extrajudicial: servicio de atención al cliente, Defensor del Asegurado y DGSFP</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24. Vía judicial: competencia, procedimiento y costas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25. Cláusulas abusivas y protección de los consumidores</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26. Jurisprudencia sistematizada: líneas jurisprudenciales por materia</w:t>
      </w:r>
    </w:p>
    <w:p>
      <w:pPr>
        <w:tabs>
          <w:tab w:val="right" w:pos="9026" w:leader="dot"/>
        </w:tabs>
        <w:spacing w:after="90" w:before="0"/>
      </w:pPr>
      <w:r>
        <w:rPr>
          <w:rFonts w:ascii="Archivo" w:cs="Archivo" w:eastAsia="Archivo" w:hAnsi="Archivo"/>
          <w:b w:val="false"/>
          <w:bCs w:val="false"/>
          <w:caps w:val="false"/>
          <w:color w:val="0A2540"/>
          <w:sz w:val="21"/>
          <w:szCs w:val="21"/>
        </w:rPr>
        <w:t xml:space="preserve">Capítulo 27. Casos prácticos resueltos</w:t>
      </w:r>
    </w:p>
    <w:p>
      <w:pPr>
        <w:tabs>
          <w:tab w:val="right" w:pos="9026" w:leader="dot"/>
        </w:tabs>
        <w:spacing w:after="160" w:before="260"/>
      </w:pPr>
      <w:r>
        <w:rPr>
          <w:rFonts w:ascii="Archivo" w:cs="Archivo" w:eastAsia="Archivo" w:hAnsi="Archivo"/>
          <w:b/>
          <w:bCs/>
          <w:caps/>
          <w:color w:val="1B6DF0"/>
          <w:sz w:val="20"/>
          <w:szCs w:val="20"/>
        </w:rPr>
        <w:t xml:space="preserve">PARTE V. ANEXOS PRÁCTICOS</w:t>
      </w:r>
    </w:p>
    <w:p>
      <w:pPr>
        <w:tabs>
          <w:tab w:val="right" w:pos="9026" w:leader="dot"/>
        </w:tabs>
        <w:spacing w:after="90" w:before="0"/>
      </w:pPr>
      <w:r>
        <w:rPr>
          <w:rFonts w:ascii="Archivo" w:cs="Archivo" w:eastAsia="Archivo" w:hAnsi="Archivo"/>
          <w:b w:val="false"/>
          <w:bCs w:val="false"/>
          <w:caps w:val="false"/>
          <w:color w:val="0A2540"/>
          <w:sz w:val="21"/>
          <w:szCs w:val="21"/>
        </w:rPr>
        <w:t xml:space="preserve">Anexo I. Glosario de términos</w:t>
      </w:r>
    </w:p>
    <w:p>
      <w:pPr>
        <w:tabs>
          <w:tab w:val="right" w:pos="9026" w:leader="dot"/>
        </w:tabs>
        <w:spacing w:after="90" w:before="0"/>
      </w:pPr>
      <w:r>
        <w:rPr>
          <w:rFonts w:ascii="Archivo" w:cs="Archivo" w:eastAsia="Archivo" w:hAnsi="Archivo"/>
          <w:b w:val="false"/>
          <w:bCs w:val="false"/>
          <w:caps w:val="false"/>
          <w:color w:val="0A2540"/>
          <w:sz w:val="21"/>
          <w:szCs w:val="21"/>
        </w:rPr>
        <w:t xml:space="preserve">Anexo II. Índice de legislación citada</w:t>
      </w:r>
    </w:p>
    <w:p>
      <w:pPr>
        <w:tabs>
          <w:tab w:val="right" w:pos="9026" w:leader="dot"/>
        </w:tabs>
        <w:spacing w:after="90" w:before="0"/>
      </w:pPr>
      <w:r>
        <w:rPr>
          <w:rFonts w:ascii="Archivo" w:cs="Archivo" w:eastAsia="Archivo" w:hAnsi="Archivo"/>
          <w:b w:val="false"/>
          <w:bCs w:val="false"/>
          <w:caps w:val="false"/>
          <w:color w:val="0A2540"/>
          <w:sz w:val="21"/>
          <w:szCs w:val="21"/>
        </w:rPr>
        <w:t xml:space="preserve">Anexo III. Índice de jurisprudencia citada</w:t>
      </w:r>
    </w:p>
    <w:p>
      <w:pPr>
        <w:tabs>
          <w:tab w:val="right" w:pos="9026" w:leader="dot"/>
        </w:tabs>
        <w:spacing w:after="90" w:before="0"/>
      </w:pPr>
      <w:r>
        <w:rPr>
          <w:rFonts w:ascii="Archivo" w:cs="Archivo" w:eastAsia="Archivo" w:hAnsi="Archivo"/>
          <w:b w:val="false"/>
          <w:bCs w:val="false"/>
          <w:caps w:val="false"/>
          <w:color w:val="0A2540"/>
          <w:sz w:val="21"/>
          <w:szCs w:val="21"/>
        </w:rPr>
        <w:t xml:space="preserve">Anexo IV. Modelos y formularios de reclamación</w:t>
      </w:r>
    </w:p>
    <w:p>
      <w:pPr>
        <w:tabs>
          <w:tab w:val="right" w:pos="9026" w:leader="dot"/>
        </w:tabs>
        <w:spacing w:after="90" w:before="0"/>
      </w:pPr>
      <w:r>
        <w:rPr>
          <w:rFonts w:ascii="Archivo" w:cs="Archivo" w:eastAsia="Archivo" w:hAnsi="Archivo"/>
          <w:b w:val="false"/>
          <w:bCs w:val="false"/>
          <w:caps w:val="false"/>
          <w:color w:val="0A2540"/>
          <w:sz w:val="21"/>
          <w:szCs w:val="21"/>
        </w:rPr>
        <w:t xml:space="preserve">Anexo V. Tabla resumen de plazos</w:t>
      </w:r>
    </w:p>
    <w:p>
      <w:pPr>
        <w:pageBreakBefore/>
        <w:spacing w:after="200" w:before="2000"/>
      </w:pPr>
      <w:r>
        <w:rPr>
          <w:rFonts w:ascii="Archivo" w:cs="Archivo" w:eastAsia="Archivo" w:hAnsi="Archivo"/>
          <w:b/>
          <w:bCs/>
          <w:color w:val="1B6DF0"/>
          <w:sz w:val="28"/>
          <w:szCs w:val="28"/>
        </w:rPr>
        <w:t xml:space="preserve">PARTE I</w:t>
      </w:r>
    </w:p>
    <w:p>
      <w:pPr>
        <w:pBdr>
          <w:bottom w:val="single" w:color="CBD5E1" w:sz="6" w:space="12"/>
        </w:pBdr>
        <w:spacing w:after="600"/>
      </w:pPr>
      <w:r>
        <w:rPr>
          <w:rFonts w:ascii="Fraunces" w:cs="Fraunces" w:eastAsia="Fraunces" w:hAnsi="Fraunces"/>
          <w:b/>
          <w:bCs/>
          <w:color w:val="0A2540"/>
          <w:sz w:val="44"/>
          <w:szCs w:val="44"/>
        </w:rPr>
        <w:t xml:space="preserve">Fundamentos del seguro de hogar</w:t>
      </w:r>
    </w:p>
    <w:p>
      <w:pPr>
        <w:pStyle w:val="Heading1"/>
        <w:pageBreakBefore/>
        <w:spacing w:after="300" w:before="200"/>
      </w:pPr>
      <w:r>
        <w:rPr>
          <w:rFonts w:ascii="Archivo" w:cs="Archivo" w:eastAsia="Archivo" w:hAnsi="Archivo"/>
          <w:b/>
          <w:bCs/>
          <w:color w:val="1B6DF0"/>
          <w:sz w:val="22"/>
          <w:szCs w:val="22"/>
        </w:rPr>
        <w:t xml:space="preserve">Capítulo 1. </w:t>
      </w:r>
      <w:r>
        <w:rPr>
          <w:rFonts w:ascii="Fraunces" w:cs="Fraunces" w:eastAsia="Fraunces" w:hAnsi="Fraunces"/>
          <w:b/>
          <w:bCs/>
          <w:color w:val="0A2540"/>
          <w:sz w:val="30"/>
          <w:szCs w:val="30"/>
        </w:rPr>
        <w:t xml:space="preserve">El contrato de seguro de hogar: concepto, fuentes y principios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1.1. Concepto legal del contrato de seguro</w:t>
            </w:r>
          </w:p>
          <w:p>
            <w:pPr>
              <w:spacing w:after="40" w:line="260"/>
            </w:pPr>
            <w:r>
              <w:rPr>
                <w:rFonts w:ascii="Archivo" w:cs="Archivo" w:eastAsia="Archivo" w:hAnsi="Archivo"/>
                <w:sz w:val="18"/>
                <w:szCs w:val="18"/>
              </w:rPr>
              <w:t xml:space="preserve">1.2. Fuentes del régimen jurídico aplicable</w:t>
            </w:r>
          </w:p>
          <w:p>
            <w:pPr>
              <w:spacing w:after="40" w:line="260"/>
            </w:pPr>
            <w:r>
              <w:rPr>
                <w:rFonts w:ascii="Archivo" w:cs="Archivo" w:eastAsia="Archivo" w:hAnsi="Archivo"/>
                <w:sz w:val="18"/>
                <w:szCs w:val="18"/>
              </w:rPr>
              <w:t xml:space="preserve">1.3. Caracteres jurídicos del contrato de seguro de hogar</w:t>
            </w:r>
          </w:p>
          <w:p>
            <w:pPr>
              <w:spacing w:after="40" w:line="260"/>
            </w:pPr>
            <w:r>
              <w:rPr>
                <w:rFonts w:ascii="Archivo" w:cs="Archivo" w:eastAsia="Archivo" w:hAnsi="Archivo"/>
                <w:sz w:val="18"/>
                <w:szCs w:val="18"/>
              </w:rPr>
              <w:t xml:space="preserve">1.4. El seguro multirriesgo del hogar: continente y contenido</w:t>
            </w:r>
          </w:p>
          <w:p>
            <w:pPr>
              <w:spacing w:after="40" w:line="260"/>
            </w:pPr>
            <w:r>
              <w:rPr>
                <w:rFonts w:ascii="Archivo" w:cs="Archivo" w:eastAsia="Archivo" w:hAnsi="Archivo"/>
                <w:sz w:val="18"/>
                <w:szCs w:val="18"/>
              </w:rPr>
              <w:t xml:space="preserve">1.5. Condiciones generales, particulares y especiales: cláusulas delimitadoras y limitativas</w:t>
            </w:r>
          </w:p>
          <w:p>
            <w:pPr>
              <w:spacing w:after="40" w:line="260"/>
            </w:pPr>
            <w:r>
              <w:rPr>
                <w:rFonts w:ascii="Archivo" w:cs="Archivo" w:eastAsia="Archivo" w:hAnsi="Archivo"/>
                <w:sz w:val="18"/>
                <w:szCs w:val="18"/>
              </w:rPr>
              <w:t xml:space="preserve">1.5.1. El principio de transparencia como fundamento común</w:t>
            </w:r>
          </w:p>
          <w:p>
            <w:pPr>
              <w:spacing w:after="40" w:line="260"/>
            </w:pPr>
            <w:r>
              <w:rPr>
                <w:rFonts w:ascii="Archivo" w:cs="Archivo" w:eastAsia="Archivo" w:hAnsi="Archivo"/>
                <w:sz w:val="18"/>
                <w:szCs w:val="18"/>
              </w:rPr>
              <w:t xml:space="preserve">1.6. Las cláusulas lesivas: la frontera de la nulidad</w:t>
            </w:r>
          </w:p>
          <w:p>
            <w:pPr>
              <w:spacing w:after="40" w:line="260"/>
            </w:pPr>
            <w:r>
              <w:rPr>
                <w:rFonts w:ascii="Archivo" w:cs="Archivo" w:eastAsia="Archivo" w:hAnsi="Archivo"/>
                <w:sz w:val="18"/>
                <w:szCs w:val="18"/>
              </w:rPr>
              <w:t xml:space="preserve">1.7. Ficha para el profesional</w:t>
            </w:r>
          </w:p>
          <w:p>
            <w:pPr>
              <w:spacing w:after="40" w:line="260"/>
            </w:pPr>
            <w:r>
              <w:rPr>
                <w:rFonts w:ascii="Archivo" w:cs="Archivo" w:eastAsia="Archivo" w:hAnsi="Archivo"/>
                <w:sz w:val="18"/>
                <w:szCs w:val="18"/>
              </w:rPr>
              <w:t xml:space="preserve">1.8. Ficha para el asegurado</w:t>
            </w:r>
          </w:p>
          <w:p>
            <w:pPr>
              <w:spacing w:after="40" w:line="260"/>
            </w:pPr>
            <w:r>
              <w:rPr>
                <w:rFonts w:ascii="Archivo" w:cs="Archivo" w:eastAsia="Archivo" w:hAnsi="Archivo"/>
                <w:sz w:val="18"/>
                <w:szCs w:val="18"/>
              </w:rPr>
              <w:t xml:space="preserve">1.9. Checklist: cómo leer una póliza de hogar en diez puntos</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presente capítulo analiza el encaje dogmático del seguro multirriesgo del hogar en el sistema de la Ley 50/1980, de Contrato de Seguro, con particular atención a la summa divisio entre condiciones delimitadoras del riesgo y cláusulas limitativas de los derechos del asegurado del art. 3 LCS, cuya correcta calificación —según reiterada jurisprudencia de la Sala Primera del Tribunal Supremo— determina el régimen de oponibilidad de la cláusula controvertida frente al asegurado.</w:t>
            </w:r>
          </w:p>
          <w:p>
            <w:pPr>
              <w:spacing w:after="160"/>
            </w:pPr>
            <w:r>
              <w:rPr>
                <w:rFonts w:ascii="Archivo" w:cs="Archivo" w:eastAsia="Archivo" w:hAnsi="Archivo"/>
                <w:b/>
                <w:bCs/>
                <w:sz w:val="17"/>
                <w:szCs w:val="17"/>
              </w:rPr>
              <w:t xml:space="preserve">Palabras clave: seguro de hogar, contrato de seguro, cláusulas delimitadoras, cláusulas limitativas, art. 3 LCS, transparencia, buena fe contractual.</w:t>
            </w:r>
          </w:p>
          <w:p>
            <w:pPr>
              <w:spacing w:after="100"/>
              <w:jc w:val="both"/>
            </w:pPr>
            <w:r>
              <w:rPr>
                <w:rFonts w:ascii="Archivo" w:cs="Archivo" w:eastAsia="Archivo" w:hAnsi="Archivo"/>
                <w:i/>
                <w:iCs/>
                <w:sz w:val="18"/>
                <w:szCs w:val="18"/>
              </w:rPr>
              <w:t xml:space="preserve">This chapter examines the dogmatic construction of the Spanish homeowners' multi-risk insurance contract within Act 50/1980 on Insurance Contracts, focusing on the distinction between risk-delimiting clauses and clauses limiting the policyholder's rights under Article 3, whose correct qualification —pursuant to the consolidated case law of the Civil Chamber of the Supreme Court— determines whether the clause is enforceable against the insured.</w:t>
            </w:r>
          </w:p>
          <w:p>
            <w:pPr>
              <w:spacing w:after="0"/>
            </w:pPr>
            <w:r>
              <w:rPr>
                <w:rFonts w:ascii="Archivo" w:cs="Archivo" w:eastAsia="Archivo" w:hAnsi="Archivo"/>
                <w:b/>
                <w:bCs/>
                <w:sz w:val="17"/>
                <w:szCs w:val="17"/>
              </w:rPr>
              <w:t xml:space="preserve">Keywords: homeowners insurance, insurance contract, risk-delimiting clauses, limiting clauses, transparency, good faith.</w:t>
            </w:r>
          </w:p>
        </w:tc>
      </w:tr>
    </w:tbl>
    <w:p>
      <w:pPr>
        <w:spacing w:after="200"/>
      </w:pPr>
    </w:p>
    <w:p>
      <w:pPr>
        <w:spacing w:after="180" w:line="300"/>
        <w:jc w:val="both"/>
      </w:pPr>
      <w:r>
        <w:rPr>
          <w:rFonts w:ascii="Archivo" w:cs="Archivo" w:eastAsia="Archivo" w:hAnsi="Archivo"/>
          <w:i/>
          <w:iCs/>
          <w:sz w:val="21"/>
          <w:szCs w:val="21"/>
        </w:rPr>
        <w:t xml:space="preserve">El seguro de hogar es, con diferencia, el ramo de daños más contratado en España y, a la vez, uno de los que genera mayor litigiosidad cotidiana: daños por agua, robos, incendios y reclamaciones de responsabilidad civil entre vecinos llenan cada año los juzgados de primera instancia y las mesas de los defensores del asegurado. Este primer capítulo sienta las bases dogmáticas y normativas sobre las que se construye el resto de la obra.</w:t>
      </w:r>
    </w:p>
    <w:p>
      <w:pPr>
        <w:pStyle w:val="Heading2"/>
        <w:spacing w:after="160" w:before="400"/>
      </w:pPr>
      <w:r>
        <w:rPr>
          <w:rFonts w:ascii="Fraunces" w:cs="Fraunces" w:eastAsia="Fraunces" w:hAnsi="Fraunces"/>
          <w:b/>
          <w:bCs/>
          <w:color w:val="0A2540"/>
          <w:sz w:val="24"/>
          <w:szCs w:val="24"/>
        </w:rPr>
        <w:t xml:space="preserve">1.1. Concepto legal del contrato de seguro</w:t>
      </w:r>
    </w:p>
    <w:p>
      <w:pPr>
        <w:spacing w:after="180" w:line="300"/>
        <w:jc w:val="both"/>
      </w:pPr>
      <w:r>
        <w:rPr>
          <w:rFonts w:ascii="Archivo" w:cs="Archivo" w:eastAsia="Archivo" w:hAnsi="Archivo"/>
          <w:sz w:val="21"/>
          <w:szCs w:val="21"/>
        </w:rPr>
        <w:t xml:space="preserve">El punto de partida dogmático es el artículo 1 de la Ley 50/1980, de 8 de octubre, de Contrato de Seguro (en adelante, LCS), que define la institución en términos que siguen plenamente vigentes</w:t>
      </w:r>
      <w:r>
        <w:rPr>
          <w:rStyle w:val="FootnoteReference"/>
        </w:rPr>
        <w:footnoteReference w:id="1"/>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 LCS</w:t>
            </w:r>
          </w:p>
          <w:p>
            <w:pPr>
              <w:spacing w:after="0" w:line="280"/>
              <w:jc w:val="both"/>
            </w:pPr>
            <w:r>
              <w:rPr>
                <w:rFonts w:ascii="IBM Plex Mono" w:cs="IBM Plex Mono" w:eastAsia="IBM Plex Mono" w:hAnsi="IBM Plex Mono"/>
                <w:i/>
                <w:iCs/>
                <w:color w:val="0A2540"/>
                <w:sz w:val="18"/>
                <w:szCs w:val="18"/>
              </w:rPr>
              <w:t xml:space="preserve">El contrato de seguro es aquel por el que el asegurador se obliga, mediante el cobro de una prima y para el caso de que se produzca el evento cuyo riesgo es objeto de cobertura, a indemnizar, dentro de los límites pactados, el daño producido al asegurado o a satisfacer un capital, una renta u otras prestaciones convenidas.</w:t>
            </w:r>
          </w:p>
        </w:tc>
      </w:tr>
    </w:tbl>
    <w:p>
      <w:pPr>
        <w:spacing w:after="180" w:line="300"/>
        <w:jc w:val="both"/>
      </w:pPr>
      <w:r>
        <w:rPr>
          <w:rFonts w:ascii="Archivo" w:cs="Archivo" w:eastAsia="Archivo" w:hAnsi="Archivo"/>
          <w:sz w:val="21"/>
          <w:szCs w:val="21"/>
        </w:rPr>
        <w:t xml:space="preserve">El seguro de hogar —también llamado seguro multirriesgo del hogar, categoría de creación técnico-aseguradora sin tipificación legal autónoma</w:t>
      </w:r>
      <w:r>
        <w:rPr>
          <w:rStyle w:val="FootnoteReference"/>
        </w:rPr>
        <w:footnoteReference w:id="2"/>
      </w:r>
      <w:r>
        <w:rPr>
          <w:rFonts w:ascii="Archivo" w:cs="Archivo" w:eastAsia="Archivo" w:hAnsi="Archivo"/>
          <w:sz w:val="21"/>
          <w:szCs w:val="21"/>
        </w:rPr>
        <w:t xml:space="preserve">— es un seguro contra daños en sentido técnico: protege un interés patrimonial lícito (la integridad de la vivienda y sus enseres) frente a la realización de riesgos tipificados (incendio, agua, robo, fenómenos atmosféricos, etc.) y, además, incorpora de forma prácticamente universal una cobertura de responsabilidad civil de cabeza de familia, que muta su naturaleza parcial hacia el seguro de responsabilidad civil regulado en los artículos 73 y siguientes de la LCS. Esta doble naturaleza —seguro de daños propios y seguro de responsabilidad civil frente a terceros conviviendo en una misma póliza— es la primera clave de lectura que debe manejar cualquier profesional: cada siniestro debe reconducirse primero a su cobertura antes de analizar su régimen jurídico, porque las reglas de uno y otro bloque no son idénticas.</w:t>
      </w:r>
    </w:p>
    <w:p>
      <w:pPr>
        <w:pStyle w:val="Heading2"/>
        <w:spacing w:after="160" w:before="400"/>
      </w:pPr>
      <w:r>
        <w:rPr>
          <w:rFonts w:ascii="Fraunces" w:cs="Fraunces" w:eastAsia="Fraunces" w:hAnsi="Fraunces"/>
          <w:b/>
          <w:bCs/>
          <w:color w:val="0A2540"/>
          <w:sz w:val="24"/>
          <w:szCs w:val="24"/>
        </w:rPr>
        <w:t xml:space="preserve">1.2. Fuentes del régimen jurídico aplicable</w:t>
      </w:r>
    </w:p>
    <w:p>
      <w:pPr>
        <w:spacing w:after="180" w:line="300"/>
        <w:jc w:val="both"/>
      </w:pPr>
      <w:r>
        <w:rPr>
          <w:rFonts w:ascii="Archivo" w:cs="Archivo" w:eastAsia="Archivo" w:hAnsi="Archivo"/>
          <w:sz w:val="21"/>
          <w:szCs w:val="21"/>
        </w:rPr>
        <w:t xml:space="preserve">El seguro de hogar no se rige por una ley única. El profesional debe manejar, en la práctica, un entramado de fuentes que se articulan del siguiente modo:</w:t>
      </w:r>
    </w:p>
    <w:p>
      <w:pPr>
        <w:pStyle w:val="ListParagraph"/>
        <w:numPr>
          <w:ilvl w:val="0"/>
          <w:numId w:val="2"/>
        </w:numPr>
        <w:spacing w:after="100" w:line="290"/>
      </w:pPr>
      <w:r>
        <w:rPr>
          <w:rFonts w:ascii="Archivo" w:cs="Archivo" w:eastAsia="Archivo" w:hAnsi="Archivo"/>
          <w:b/>
          <w:bCs/>
          <w:sz w:val="21"/>
          <w:szCs w:val="21"/>
        </w:rPr>
        <w:t xml:space="preserve">Ley 50/1980, de Contrato de Seguro (LCS). </w:t>
      </w:r>
      <w:r>
        <w:rPr>
          <w:rFonts w:ascii="Archivo" w:cs="Archivo" w:eastAsia="Archivo" w:hAnsi="Archivo"/>
          <w:sz w:val="21"/>
          <w:szCs w:val="21"/>
        </w:rPr>
        <w:t xml:space="preserve">Es la norma nuclear. Conforme a su artículo 2, sus preceptos tienen carácter imperativo salvo que la propia ley disponga otra cosa, si bien se admiten siempre las cláusulas contractuales más beneficiosas para el asegurado. Este carácter imperativo relativo —imperatividad a favor del asegurado— es una idea que reaparece constantemente en el resto del libro, por ejemplo al analizar la mora del asegurador (art. 20 LCS, capítulo 16) o el deber de declaración del riesgo (art. 10 LCS, capítulo 3).</w:t>
      </w:r>
    </w:p>
    <w:p>
      <w:pPr>
        <w:pStyle w:val="ListParagraph"/>
        <w:numPr>
          <w:ilvl w:val="0"/>
          <w:numId w:val="2"/>
        </w:numPr>
        <w:spacing w:after="100" w:line="290"/>
      </w:pPr>
      <w:r>
        <w:rPr>
          <w:rFonts w:ascii="Archivo" w:cs="Archivo" w:eastAsia="Archivo" w:hAnsi="Archivo"/>
          <w:b/>
          <w:bCs/>
          <w:sz w:val="21"/>
          <w:szCs w:val="21"/>
        </w:rPr>
        <w:t xml:space="preserve">Código Civil. </w:t>
      </w:r>
      <w:r>
        <w:rPr>
          <w:rFonts w:ascii="Archivo" w:cs="Archivo" w:eastAsia="Archivo" w:hAnsi="Archivo"/>
          <w:sz w:val="21"/>
          <w:szCs w:val="21"/>
        </w:rPr>
        <w:t xml:space="preserve">Rige con carácter supletorio las cuestiones generales de obligaciones y contratos (interpretación, nulidad, prescripción de acciones no específicamente reguladas, responsabilidad extracontractual del art. 1902 CC en su conexión con la cobertura de responsabilidad civil del hogar).</w:t>
      </w:r>
    </w:p>
    <w:p>
      <w:pPr>
        <w:pStyle w:val="ListParagraph"/>
        <w:numPr>
          <w:ilvl w:val="0"/>
          <w:numId w:val="2"/>
        </w:numPr>
        <w:spacing w:after="100" w:line="290"/>
      </w:pPr>
      <w:r>
        <w:rPr>
          <w:rFonts w:ascii="Archivo" w:cs="Archivo" w:eastAsia="Archivo" w:hAnsi="Archivo"/>
          <w:b/>
          <w:bCs/>
          <w:sz w:val="21"/>
          <w:szCs w:val="21"/>
        </w:rPr>
        <w:t xml:space="preserve">Texto Refundido de la Ley General para la Defensa de los Consumidores y Usuarios (Real Decreto Legislativo 1/2007, TRLGDCU) y Ley 7/1998, de Condiciones Generales de la Contratación (LCGC). </w:t>
      </w:r>
      <w:r>
        <w:rPr>
          <w:rFonts w:ascii="Archivo" w:cs="Archivo" w:eastAsia="Archivo" w:hAnsi="Archivo"/>
          <w:sz w:val="21"/>
          <w:szCs w:val="21"/>
        </w:rPr>
        <w:t xml:space="preserve">Aplicables porque el tomador de un seguro de hogar es, en la inmensa mayoría de los casos, un consumidor. Su régimen de cláusulas abusivas y control de incorporación se estudia en el capítulo 21, en diálogo permanente con el artículo 3 LCS que se aborda más adelante en este mismo capítulo.</w:t>
      </w:r>
    </w:p>
    <w:p>
      <w:pPr>
        <w:pStyle w:val="ListParagraph"/>
        <w:numPr>
          <w:ilvl w:val="0"/>
          <w:numId w:val="2"/>
        </w:numPr>
        <w:spacing w:after="100" w:line="290"/>
      </w:pPr>
      <w:r>
        <w:rPr>
          <w:rFonts w:ascii="Archivo" w:cs="Archivo" w:eastAsia="Archivo" w:hAnsi="Archivo"/>
          <w:b/>
          <w:bCs/>
          <w:sz w:val="21"/>
          <w:szCs w:val="21"/>
        </w:rPr>
        <w:t xml:space="preserve">Real Decreto Legislativo 6/2004, de Ordenación y Supervisión de los Seguros Privados y su normativa de desarrollo, y el Texto Refundido de la Ley de Ordenación, Supervisión y Solvencia de las Entidades Aseguradoras y Reaseguradoras (Ley 20/2015, LOSSEAR). </w:t>
      </w:r>
      <w:r>
        <w:rPr>
          <w:rFonts w:ascii="Archivo" w:cs="Archivo" w:eastAsia="Archivo" w:hAnsi="Archivo"/>
          <w:sz w:val="21"/>
          <w:szCs w:val="21"/>
        </w:rPr>
        <w:t xml:space="preserve">Regulan la solvencia y supervisión administrativa de las aseguradoras por la Dirección General de Seguros y Fondos de Pensiones (DGSFP), relevante para la vía de reclamación extrajudicial (capítulo 19).</w:t>
      </w:r>
    </w:p>
    <w:p>
      <w:pPr>
        <w:pStyle w:val="ListParagraph"/>
        <w:numPr>
          <w:ilvl w:val="0"/>
          <w:numId w:val="2"/>
        </w:numPr>
        <w:spacing w:after="100" w:line="290"/>
      </w:pPr>
      <w:r>
        <w:rPr>
          <w:rFonts w:ascii="Archivo" w:cs="Archivo" w:eastAsia="Archivo" w:hAnsi="Archivo"/>
          <w:b/>
          <w:bCs/>
          <w:sz w:val="21"/>
          <w:szCs w:val="21"/>
        </w:rPr>
        <w:t xml:space="preserve">Real Decreto 300/2004, por el que se aprueba el Reglamento del Consorcio de Compensación de Seguros, y su normativa reguladora. </w:t>
      </w:r>
      <w:r>
        <w:rPr>
          <w:rFonts w:ascii="Archivo" w:cs="Archivo" w:eastAsia="Archivo" w:hAnsi="Archivo"/>
          <w:sz w:val="21"/>
          <w:szCs w:val="21"/>
        </w:rPr>
        <w:t xml:space="preserve">Determinante en la cobertura de riesgos extraordinarios (inundaciones, terremotos, tempestad ciclónica atípica) que en la práctica excluyen las condiciones generales de las pólizas privadas y que asume el Consorcio con su propio baremo (capítulo 8).</w:t>
      </w:r>
    </w:p>
    <w:p>
      <w:pPr>
        <w:pStyle w:val="ListParagraph"/>
        <w:numPr>
          <w:ilvl w:val="0"/>
          <w:numId w:val="2"/>
        </w:numPr>
        <w:spacing w:after="100" w:line="290"/>
      </w:pPr>
      <w:r>
        <w:rPr>
          <w:rFonts w:ascii="Archivo" w:cs="Archivo" w:eastAsia="Archivo" w:hAnsi="Archivo"/>
          <w:b/>
          <w:bCs/>
          <w:sz w:val="21"/>
          <w:szCs w:val="21"/>
        </w:rPr>
        <w:t xml:space="preserve">Ley 5/2019 y normativa hipotecaria conexa, Ley de Propiedad Horizontal (Ley 49/1960) y Código Técnico de la Edificación. </w:t>
      </w:r>
      <w:r>
        <w:rPr>
          <w:rFonts w:ascii="Archivo" w:cs="Archivo" w:eastAsia="Archivo" w:hAnsi="Archivo"/>
          <w:sz w:val="21"/>
          <w:szCs w:val="21"/>
        </w:rPr>
        <w:t xml:space="preserve">Inciden, respectivamente, en el seguro de hogar vinculado a préstamo hipotecario, en la interacción entre el seguro individual del piso y el seguro de comunidad, y en los estándares constructivos relevantes para la causa de determinados siniestros de agua o de estructura.</w:t>
      </w:r>
    </w:p>
    <w:p>
      <w:pPr>
        <w:pStyle w:val="Heading2"/>
        <w:spacing w:after="160" w:before="400"/>
      </w:pPr>
      <w:r>
        <w:rPr>
          <w:rFonts w:ascii="Fraunces" w:cs="Fraunces" w:eastAsia="Fraunces" w:hAnsi="Fraunces"/>
          <w:b/>
          <w:bCs/>
          <w:color w:val="0A2540"/>
          <w:sz w:val="24"/>
          <w:szCs w:val="24"/>
        </w:rPr>
        <w:t xml:space="preserve">1.3. Caracteres jurídicos del contrato de seguro de hogar</w:t>
      </w:r>
    </w:p>
    <w:p>
      <w:pPr>
        <w:spacing w:after="180" w:line="300"/>
        <w:jc w:val="both"/>
      </w:pPr>
      <w:r>
        <w:rPr>
          <w:rFonts w:ascii="Archivo" w:cs="Archivo" w:eastAsia="Archivo" w:hAnsi="Archivo"/>
          <w:sz w:val="21"/>
          <w:szCs w:val="21"/>
        </w:rPr>
        <w:t xml:space="preserve">De la definición legal y de la práctica aseguradora se extraen los caracteres que, en cada capítulo, condicionan la solución de los casos:</w:t>
      </w:r>
    </w:p>
    <w:p>
      <w:pPr>
        <w:pStyle w:val="ListParagraph"/>
        <w:numPr>
          <w:ilvl w:val="0"/>
          <w:numId w:val="2"/>
        </w:numPr>
        <w:spacing w:after="100" w:line="290"/>
      </w:pPr>
      <w:r>
        <w:rPr>
          <w:rFonts w:ascii="Archivo" w:cs="Archivo" w:eastAsia="Archivo" w:hAnsi="Archivo"/>
          <w:b/>
          <w:bCs/>
          <w:sz w:val="21"/>
          <w:szCs w:val="21"/>
        </w:rPr>
        <w:t xml:space="preserve">Bilateral y sinalagmático: </w:t>
      </w:r>
      <w:r>
        <w:rPr>
          <w:rFonts w:ascii="Archivo" w:cs="Archivo" w:eastAsia="Archivo" w:hAnsi="Archivo"/>
          <w:sz w:val="21"/>
          <w:szCs w:val="21"/>
        </w:rPr>
        <w:t xml:space="preserve">genera obligaciones recíprocas (pago de la prima frente a cobertura del riesgo).</w:t>
      </w:r>
    </w:p>
    <w:p>
      <w:pPr>
        <w:pStyle w:val="ListParagraph"/>
        <w:numPr>
          <w:ilvl w:val="0"/>
          <w:numId w:val="2"/>
        </w:numPr>
        <w:spacing w:after="100" w:line="290"/>
      </w:pPr>
      <w:r>
        <w:rPr>
          <w:rFonts w:ascii="Archivo" w:cs="Archivo" w:eastAsia="Archivo" w:hAnsi="Archivo"/>
          <w:b/>
          <w:bCs/>
          <w:sz w:val="21"/>
          <w:szCs w:val="21"/>
        </w:rPr>
        <w:t xml:space="preserve">Oneroso y aleatorio: </w:t>
      </w:r>
      <w:r>
        <w:rPr>
          <w:rFonts w:ascii="Archivo" w:cs="Archivo" w:eastAsia="Archivo" w:hAnsi="Archivo"/>
          <w:sz w:val="21"/>
          <w:szCs w:val="21"/>
        </w:rPr>
        <w:t xml:space="preserve">la prestación del asegurador depende de un evento incierto (el siniestro), lo que justifica el rigor con el que la ley trata el deber de declaración del riesgo (art. 10 LCS) y las causas de exoneración por dolo o culpa grave (arts. 19 y 48 LCS).</w:t>
      </w:r>
    </w:p>
    <w:p>
      <w:pPr>
        <w:pStyle w:val="ListParagraph"/>
        <w:numPr>
          <w:ilvl w:val="0"/>
          <w:numId w:val="2"/>
        </w:numPr>
        <w:spacing w:after="100" w:line="290"/>
      </w:pPr>
      <w:r>
        <w:rPr>
          <w:rFonts w:ascii="Archivo" w:cs="Archivo" w:eastAsia="Archivo" w:hAnsi="Archivo"/>
          <w:b/>
          <w:bCs/>
          <w:sz w:val="21"/>
          <w:szCs w:val="21"/>
        </w:rPr>
        <w:t xml:space="preserve">De buena fe reforzada (uberrimae fidei): </w:t>
      </w:r>
      <w:r>
        <w:rPr>
          <w:rFonts w:ascii="Archivo" w:cs="Archivo" w:eastAsia="Archivo" w:hAnsi="Archivo"/>
          <w:sz w:val="21"/>
          <w:szCs w:val="21"/>
        </w:rPr>
        <w:t xml:space="preserve">la asimetría de información entre tomador y asegurador exige un estándar de lealtad recíproca superior al de los contratos comunes</w:t>
      </w:r>
      <w:r>
        <w:rPr>
          <w:rStyle w:val="FootnoteReference"/>
        </w:rPr>
        <w:footnoteReference w:id="3"/>
      </w:r>
      <w:r>
        <w:rPr>
          <w:rFonts w:ascii="Archivo" w:cs="Archivo" w:eastAsia="Archivo" w:hAnsi="Archivo"/>
          <w:sz w:val="21"/>
          <w:szCs w:val="21"/>
        </w:rPr>
        <w:t xml:space="preserve">; de ahí derivan tanto los deberes del tomador (declaración del riesgo, comunicación del siniestro) como los del asegurador (transparencia, claridad de las condiciones ex art. 3 LCS).</w:t>
      </w:r>
    </w:p>
    <w:p>
      <w:pPr>
        <w:pStyle w:val="ListParagraph"/>
        <w:numPr>
          <w:ilvl w:val="0"/>
          <w:numId w:val="2"/>
        </w:numPr>
        <w:spacing w:after="100" w:line="290"/>
      </w:pPr>
      <w:r>
        <w:rPr>
          <w:rFonts w:ascii="Archivo" w:cs="Archivo" w:eastAsia="Archivo" w:hAnsi="Archivo"/>
          <w:b/>
          <w:bCs/>
          <w:sz w:val="21"/>
          <w:szCs w:val="21"/>
        </w:rPr>
        <w:t xml:space="preserve">De adhesión: </w:t>
      </w:r>
      <w:r>
        <w:rPr>
          <w:rFonts w:ascii="Archivo" w:cs="Archivo" w:eastAsia="Archivo" w:hAnsi="Archivo"/>
          <w:sz w:val="21"/>
          <w:szCs w:val="21"/>
        </w:rPr>
        <w:t xml:space="preserve">las condiciones generales las redacta unilateralmente el asegurador; el tomador se limita a aceptarlas. Este carácter es el que activa los controles de incorporación y transparencia que se explican en el epígrafe 1.5.</w:t>
      </w:r>
    </w:p>
    <w:p>
      <w:pPr>
        <w:pStyle w:val="ListParagraph"/>
        <w:numPr>
          <w:ilvl w:val="0"/>
          <w:numId w:val="2"/>
        </w:numPr>
        <w:spacing w:after="100" w:line="290"/>
      </w:pPr>
      <w:r>
        <w:rPr>
          <w:rFonts w:ascii="Archivo" w:cs="Archivo" w:eastAsia="Archivo" w:hAnsi="Archivo"/>
          <w:b/>
          <w:bCs/>
          <w:sz w:val="21"/>
          <w:szCs w:val="21"/>
        </w:rPr>
        <w:t xml:space="preserve">Indemnizatorio: </w:t>
      </w:r>
      <w:r>
        <w:rPr>
          <w:rFonts w:ascii="Archivo" w:cs="Archivo" w:eastAsia="Archivo" w:hAnsi="Archivo"/>
          <w:sz w:val="21"/>
          <w:szCs w:val="21"/>
        </w:rPr>
        <w:t xml:space="preserve">en el seguro de daños rige el llamado principio indemnizatorio, que impide que el asegurado obtenga, a través del seguro, un enriquecimiento superior al daño realmente sufrido; de él derivan tanto la regla proporcional del infraseguro (art. 30 LCS, capítulo 15) como el derecho de subrogación del asegurador frente a terceros responsables (art. 43 LCS).</w:t>
      </w:r>
    </w:p>
    <w:p>
      <w:pPr>
        <w:pStyle w:val="Heading2"/>
        <w:spacing w:after="160" w:before="400"/>
      </w:pPr>
      <w:r>
        <w:rPr>
          <w:rFonts w:ascii="Fraunces" w:cs="Fraunces" w:eastAsia="Fraunces" w:hAnsi="Fraunces"/>
          <w:b/>
          <w:bCs/>
          <w:color w:val="0A2540"/>
          <w:sz w:val="24"/>
          <w:szCs w:val="24"/>
        </w:rPr>
        <w:t xml:space="preserve">1.4. El seguro multirriesgo del hogar: continente y contenido</w:t>
      </w:r>
    </w:p>
    <w:p>
      <w:pPr>
        <w:spacing w:after="180" w:line="300"/>
        <w:jc w:val="both"/>
      </w:pPr>
      <w:r>
        <w:rPr>
          <w:rFonts w:ascii="Archivo" w:cs="Archivo" w:eastAsia="Archivo" w:hAnsi="Archivo"/>
          <w:sz w:val="21"/>
          <w:szCs w:val="21"/>
        </w:rPr>
        <w:t xml:space="preserve">Aunque la LCS no emplea estos términos, la práctica aseguradora española distingue de forma constante entre:</w:t>
      </w:r>
    </w:p>
    <w:p>
      <w:pPr>
        <w:pStyle w:val="ListParagraph"/>
        <w:numPr>
          <w:ilvl w:val="0"/>
          <w:numId w:val="2"/>
        </w:numPr>
        <w:spacing w:after="100" w:line="290"/>
      </w:pPr>
      <w:r>
        <w:rPr>
          <w:rFonts w:ascii="Archivo" w:cs="Archivo" w:eastAsia="Archivo" w:hAnsi="Archivo"/>
          <w:b/>
          <w:bCs/>
          <w:sz w:val="21"/>
          <w:szCs w:val="21"/>
        </w:rPr>
        <w:t xml:space="preserve">El continente: </w:t>
      </w:r>
      <w:r>
        <w:rPr>
          <w:rFonts w:ascii="Archivo" w:cs="Archivo" w:eastAsia="Archivo" w:hAnsi="Archivo"/>
          <w:sz w:val="21"/>
          <w:szCs w:val="21"/>
        </w:rPr>
        <w:t xml:space="preserve">la construcción en sí —muros, techos, suelos, instalaciones fijas, elementos empotrados, e incluso, según póliza, anejos como garaje o trastero— y, en su caso, los elementos comunes en la proporción de la cuota de participación cuando el asegurado es propietario y la comunidad carece de seguro propio o el suyo es insuficiente.</w:t>
      </w:r>
    </w:p>
    <w:p>
      <w:pPr>
        <w:pStyle w:val="ListParagraph"/>
        <w:numPr>
          <w:ilvl w:val="0"/>
          <w:numId w:val="2"/>
        </w:numPr>
        <w:spacing w:after="100" w:line="290"/>
      </w:pPr>
      <w:r>
        <w:rPr>
          <w:rFonts w:ascii="Archivo" w:cs="Archivo" w:eastAsia="Archivo" w:hAnsi="Archivo"/>
          <w:b/>
          <w:bCs/>
          <w:sz w:val="21"/>
          <w:szCs w:val="21"/>
        </w:rPr>
        <w:t xml:space="preserve">El contenido: </w:t>
      </w:r>
      <w:r>
        <w:rPr>
          <w:rFonts w:ascii="Archivo" w:cs="Archivo" w:eastAsia="Archivo" w:hAnsi="Archivo"/>
          <w:sz w:val="21"/>
          <w:szCs w:val="21"/>
        </w:rPr>
        <w:t xml:space="preserve">los bienes muebles del hogar: mobiliario, electrodomésticos, ropa, y, con límites cuantitativos específicos que conviene revisar en cada póliza, joyas, dinero en efectivo, obras de arte y objetos de especial valor.</w:t>
      </w:r>
    </w:p>
    <w:p>
      <w:pPr>
        <w:spacing w:after="180" w:line="300"/>
        <w:jc w:val="both"/>
      </w:pPr>
      <w:r>
        <w:rPr>
          <w:rFonts w:ascii="Archivo" w:cs="Archivo" w:eastAsia="Archivo" w:hAnsi="Archivo"/>
          <w:sz w:val="21"/>
          <w:szCs w:val="21"/>
        </w:rPr>
        <w:t xml:space="preserve">Esta distinción no es meramente descriptiva: determina el interés asegurable de cada sujeto (el propietario no ocupante suele asegurar solo el continente; el inquilino, solo el contenido y su responsabilidad civil) y condiciona la correcta fijación de la suma asegurada a efectos de la regla proporcional del artículo 30 LCS, como se desarrolla en el capítulo 15.</w:t>
      </w:r>
    </w:p>
    <w:p>
      <w:pPr>
        <w:pStyle w:val="Heading2"/>
        <w:spacing w:after="160" w:before="400"/>
      </w:pPr>
      <w:r>
        <w:rPr>
          <w:rFonts w:ascii="Fraunces" w:cs="Fraunces" w:eastAsia="Fraunces" w:hAnsi="Fraunces"/>
          <w:b/>
          <w:bCs/>
          <w:color w:val="0A2540"/>
          <w:sz w:val="24"/>
          <w:szCs w:val="24"/>
        </w:rPr>
        <w:t xml:space="preserve">1.5. Condiciones generales, particulares y especiales: la distinción entre cláusulas delimitadoras y limitativas</w:t>
      </w:r>
    </w:p>
    <w:p>
      <w:pPr>
        <w:spacing w:after="180" w:line="300"/>
        <w:jc w:val="both"/>
      </w:pPr>
      <w:r>
        <w:rPr>
          <w:rFonts w:ascii="Archivo" w:cs="Archivo" w:eastAsia="Archivo" w:hAnsi="Archivo"/>
          <w:sz w:val="21"/>
          <w:szCs w:val="21"/>
        </w:rPr>
        <w:t xml:space="preserve">El artículo 3 LCS es, junto con el artículo 20, el precepto más invocado en la litigación sobre seguros de hogar. Su tenor es el siguiente: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3 LCS</w:t>
            </w:r>
          </w:p>
          <w:p>
            <w:pPr>
              <w:spacing w:after="0" w:line="280"/>
              <w:jc w:val="both"/>
            </w:pPr>
            <w:r>
              <w:rPr>
                <w:rFonts w:ascii="IBM Plex Mono" w:cs="IBM Plex Mono" w:eastAsia="IBM Plex Mono" w:hAnsi="IBM Plex Mono"/>
                <w:i/>
                <w:iCs/>
                <w:color w:val="0A2540"/>
                <w:sz w:val="18"/>
                <w:szCs w:val="18"/>
              </w:rPr>
              <w:t xml:space="preserve">Las condiciones generales, que en ningún caso podrán tener carácter lesivo para los asegurados, habrán de incluirse por el asegurador en la proposición de seguro si la hubiere y necesariamente en la póliza de contrato o en un documento complementario, que se suscribirá por el asegurado y al que se entregará copia del mismo. Las condiciones generales y particulares se redactarán de forma clara y precisa. Se destacarán de modo especial las cláusulas limitativas de los derechos de los asegurados, que deberán ser específicamente aceptadas por escrito. [...] Declarada por el Tribunal Supremo la nulidad de alguna de las cláusulas de las condiciones generales de un contrato, la Administración Pública competente obligará a los aseguradores a modificar las cláusulas idénticas contenidas en sus pólizas.</w:t>
            </w:r>
          </w:p>
        </w:tc>
      </w:tr>
    </w:tbl>
    <w:p>
      <w:pPr>
        <w:spacing w:after="180" w:line="300"/>
        <w:jc w:val="both"/>
      </w:pPr>
      <w:r>
        <w:rPr>
          <w:rFonts w:ascii="Archivo" w:cs="Archivo" w:eastAsia="Archivo" w:hAnsi="Archivo"/>
          <w:sz w:val="21"/>
          <w:szCs w:val="21"/>
        </w:rPr>
        <w:t xml:space="preserve">De este precepto derivan dos regímenes jurídicos distintos que el intérprete debe aprender a diferenciar ante cada cláusula controvertida</w:t>
      </w:r>
      <w:r>
        <w:rPr>
          <w:rStyle w:val="FootnoteReference"/>
        </w:rPr>
        <w:footnoteReference w:id="4"/>
      </w:r>
      <w:r>
        <w:rPr>
          <w:rFonts w:ascii="Archivo" w:cs="Archivo" w:eastAsia="Archivo" w:hAnsi="Archivo"/>
          <w:sz w:val="21"/>
          <w:szCs w:val="21"/>
        </w:rPr>
        <w:t xml:space="preserve">:</w:t>
      </w:r>
    </w:p>
    <w:p>
      <w:pPr>
        <w:pStyle w:val="ListParagraph"/>
        <w:numPr>
          <w:ilvl w:val="0"/>
          <w:numId w:val="2"/>
        </w:numPr>
        <w:spacing w:after="100" w:line="290"/>
      </w:pPr>
      <w:r>
        <w:rPr>
          <w:rFonts w:ascii="Archivo" w:cs="Archivo" w:eastAsia="Archivo" w:hAnsi="Archivo"/>
          <w:b/>
          <w:bCs/>
          <w:sz w:val="21"/>
          <w:szCs w:val="21"/>
        </w:rPr>
        <w:t xml:space="preserve">Cláusulas delimitadoras del riesgo: </w:t>
      </w:r>
      <w:r>
        <w:rPr>
          <w:rFonts w:ascii="Archivo" w:cs="Archivo" w:eastAsia="Archivo" w:hAnsi="Archivo"/>
          <w:sz w:val="21"/>
          <w:szCs w:val="21"/>
        </w:rPr>
        <w:t xml:space="preserve">concretan el objeto del contrato, fijando qué riesgos, en caso de producirse, hacen surgir el derecho a la prestación. Basta su inclusión en condiciones generales aceptadas de forma genérica al perfeccionarse el contrato, sin necesidad de firma o aceptación específica adicional.</w:t>
      </w:r>
    </w:p>
    <w:p>
      <w:pPr>
        <w:pStyle w:val="ListParagraph"/>
        <w:numPr>
          <w:ilvl w:val="0"/>
          <w:numId w:val="2"/>
        </w:numPr>
        <w:spacing w:after="100" w:line="290"/>
      </w:pPr>
      <w:r>
        <w:rPr>
          <w:rFonts w:ascii="Archivo" w:cs="Archivo" w:eastAsia="Archivo" w:hAnsi="Archivo"/>
          <w:b/>
          <w:bCs/>
          <w:sz w:val="21"/>
          <w:szCs w:val="21"/>
        </w:rPr>
        <w:t xml:space="preserve">Cláusulas limitativas de los derechos del asegurado: </w:t>
      </w:r>
      <w:r>
        <w:rPr>
          <w:rFonts w:ascii="Archivo" w:cs="Archivo" w:eastAsia="Archivo" w:hAnsi="Archivo"/>
          <w:sz w:val="21"/>
          <w:szCs w:val="21"/>
        </w:rPr>
        <w:t xml:space="preserve">una vez nacido el derecho a la prestación, lo restringen, condicionan o modifican. Exigen, bajo pena de inoponibilidad al asegurado, que estén destacadas de modo especial y que sean específicamente aceptadas por escrito (doble requisito: destacado formal + firma o aceptación expresa distinta de la firma general de la póliza).</w:t>
      </w:r>
    </w:p>
    <w:p>
      <w:pPr>
        <w:spacing w:after="180" w:line="300"/>
        <w:jc w:val="both"/>
      </w:pPr>
      <w:r>
        <w:rPr>
          <w:rFonts w:ascii="Archivo" w:cs="Archivo" w:eastAsia="Archivo" w:hAnsi="Archivo"/>
          <w:sz w:val="21"/>
          <w:szCs w:val="21"/>
        </w:rPr>
        <w:t xml:space="preserve">La distinción, aparentemente sencilla en el plano teórico, resulta enormemente controvertida en su aplicación práctica y ha generado una jurisprudencia extensa y matizada</w:t>
      </w:r>
      <w:r>
        <w:rPr>
          <w:rStyle w:val="FootnoteReference"/>
        </w:rPr>
        <w:footnoteReference w:id="5"/>
      </w:r>
      <w:r>
        <w:rPr>
          <w:rFonts w:ascii="Archivo" w:cs="Archivo" w:eastAsia="Archivo" w:hAnsi="Archivo"/>
          <w:sz w:val="21"/>
          <w:szCs w:val="21"/>
        </w:rPr>
        <w:t xml:space="preserve">. La sentencia de contraste —invocada de forma constante por la Sala Primera hasta la actualidad— es la STS (Pleno), Sala de lo Civil, núm. 853/2006, de 11 de septiembre, cuya doctrina resume con fidelidad la más reciente STS, Sala de lo Civil, de 3 de octubre de 2023 (ROJ: STS 3996/2023; ECLI:ES:TS:2023:3996; ponente: Excmo. Sr. D. José Luis Seoane Spiegelberg):</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3 de octubre de 2023 (ROJ: STS 3996/2023; ECLI:ES:TS:2023:3996; MP: Seoane Spiegelberg)</w:t>
            </w:r>
          </w:p>
          <w:p>
            <w:pPr>
              <w:spacing w:after="0" w:line="280"/>
              <w:jc w:val="both"/>
            </w:pPr>
            <w:r>
              <w:rPr>
                <w:rFonts w:ascii="Archivo" w:cs="Archivo" w:eastAsia="Archivo" w:hAnsi="Archivo"/>
                <w:color w:val="0A2540"/>
                <w:sz w:val="19"/>
                <w:szCs w:val="19"/>
              </w:rPr>
              <w:t xml:space="preserve">«Son delimitadoras las condiciones mediante las cuales se concreta el objeto del contrato, fijando qué riesgos, en caso de producirse, por constituir el objeto del seguro, hacen surgir en el asegurado el derecho a la prestación, y en la aseguradora el recíproco deber de atenderla [...]. Un criterio utilizado para determinar la naturaleza de ciertas cláusulas para darles el tratamiento de limitativas, es referirlo al contenido natural del contrato; esto es, del alcance típico o usual que corresponde a su objeto con arreglo a lo dispuesto en la ley o en la práctica aseguradora (SSTS 273/2016, de 22 de abril, 541/2016, de 14 de septiembre y 147/2017, de 2 de marzo). En este sentido, se atribuye la condición de limitativa a la cláusula sorpresiva que se aparta de dicho contenido ordinario (STS 58/2019, de 29 de enero, 661/2019, de 12 de diciembre y 87/2021, de 17 de febrero). Las consecuencias de dicha diferenciación devienen fundamentales, dado que las cláusulas delimitadoras [...] quedan sometidas al régimen de aceptación genérica, sin la necesidad de la observancia de los requisitos de incorporación que se exige a las limitativas.»</w:t>
            </w:r>
          </w:p>
        </w:tc>
      </w:tr>
    </w:tbl>
    <w:p>
      <w:pPr>
        <w:spacing w:after="180" w:line="300"/>
        <w:jc w:val="both"/>
      </w:pPr>
      <w:r>
        <w:rPr>
          <w:rFonts w:ascii="Archivo" w:cs="Archivo" w:eastAsia="Archivo" w:hAnsi="Archivo"/>
          <w:sz w:val="21"/>
          <w:szCs w:val="21"/>
        </w:rPr>
        <w:t xml:space="preserve">La misma doctrina se reitera, aplicada a un seguro multirriesgo de comercio pero plenamente extrapolable al de hogar por identidad de razón, en la sentencia núm. 602/2025, de 21 de abril, reproducida literalmente por la STS de la misma fecha (ROJ: STS 1751/2025; ECLI:ES:TS:2025:1751; MP: García Martínez), que insiste en el criterio de la «cláusula sorpresiva» como indicio decisivo: una condición general que, aunque formalmente delimite el riesgo, se aparta del contenido natural o usual de la modalidad contratada y frustra las expectativas razonables del asegurado, recibe en la práctica el tratamiento —y las garantías formales— propio de las cláusulas limitativas.</w:t>
      </w:r>
    </w:p>
    <w:p>
      <w:pPr>
        <w:spacing w:after="180" w:line="300"/>
        <w:jc w:val="both"/>
      </w:pPr>
      <w:r>
        <w:rPr>
          <w:rFonts w:ascii="Archivo" w:cs="Archivo" w:eastAsia="Archivo" w:hAnsi="Archivo"/>
          <w:sz w:val="21"/>
          <w:szCs w:val="21"/>
        </w:rPr>
        <w:t xml:space="preserve">La proyección de esta doctrina sobre el seguro de hogar en sentido estricto puede ilustrarse con la STS, Sala de lo Civil, de 6 de julio de 2020 (ROJ: STS 2233/2020; ECLI:ES:TS:2020:2233; MP: Seoane Spiegelberg), referida precisamente a una póliza multirriesgo del hogar:</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6 de julio de 2020 (ROJ: STS 2233/2020; ECLI:ES:TS:2020:2233; MP: Seoane Spiegelberg)</w:t>
            </w:r>
          </w:p>
          <w:p>
            <w:pPr>
              <w:spacing w:after="0" w:line="280"/>
              <w:jc w:val="both"/>
            </w:pPr>
            <w:r>
              <w:rPr>
                <w:rFonts w:ascii="Archivo" w:cs="Archivo" w:eastAsia="Archivo" w:hAnsi="Archivo"/>
                <w:color w:val="0A2540"/>
                <w:sz w:val="19"/>
                <w:szCs w:val="19"/>
              </w:rPr>
              <w:t xml:space="preserve">Contrato de seguro en la modalidad multirriesgo del hogar. Daños producidos en prendas de vestir. La cláusula que valora estas prendas por su «valor real» —y no por su valor de reposición o coste de sustitución— se califica como cláusula limitativa que no reúne los requisitos formales del artículo 3 LCS, por lo que resulta inoponible al asegurado.</w:t>
            </w:r>
          </w:p>
        </w:tc>
      </w:tr>
    </w:tbl>
    <w:p>
      <w:pPr>
        <w:spacing w:after="180" w:line="300"/>
        <w:jc w:val="both"/>
      </w:pPr>
      <w:r>
        <w:rPr>
          <w:rFonts w:ascii="Archivo" w:cs="Archivo" w:eastAsia="Archivo" w:hAnsi="Archivo"/>
          <w:sz w:val="21"/>
          <w:szCs w:val="21"/>
        </w:rPr>
        <w:t xml:space="preserve">De esta línea jurisprudencial se extrae una regla práctica de general aplicación: cuando una cláusula, aunque formalmente incluida en el capítulo de «definiciones» o de «cobertura», tiene el efecto real de reducir lo que el asegurado razonablemente esperaba obtener contratando ese tipo de seguro (por ejemplo, valorar el contenido por su valor real y no de reposición, limitar cuantitativamente una cobertura de defensa jurídica anunciada como «ilimitada», o excluir de facto un riesgo típico del ramo), los tribunales tienden a reconducirla al régimen de las limitativas, con independencia de su ubicación formal en la póliza</w:t>
      </w:r>
      <w:r>
        <w:rPr>
          <w:rStyle w:val="FootnoteReference"/>
        </w:rPr>
        <w:footnoteReference w:id="6"/>
      </w:r>
      <w:r>
        <w:rPr>
          <w:rFonts w:ascii="Archivo" w:cs="Archivo" w:eastAsia="Archivo" w:hAnsi="Archivo"/>
          <w:sz w:val="21"/>
          <w:szCs w:val="21"/>
        </w:rPr>
        <w:t xml:space="preserve">.</w:t>
      </w:r>
    </w:p>
    <w:p>
      <w:pPr>
        <w:pStyle w:val="Heading3"/>
        <w:spacing w:after="120" w:before="280"/>
      </w:pPr>
      <w:r>
        <w:rPr>
          <w:rFonts w:ascii="Archivo" w:cs="Archivo" w:eastAsia="Archivo" w:hAnsi="Archivo"/>
          <w:b/>
          <w:bCs/>
          <w:color w:val="1B6DF0"/>
          <w:sz w:val="21"/>
          <w:szCs w:val="21"/>
        </w:rPr>
        <w:t xml:space="preserve">1.5.1. El principio de transparencia como fundamento común</w:t>
      </w:r>
    </w:p>
    <w:p>
      <w:pPr>
        <w:spacing w:after="180" w:line="300"/>
        <w:jc w:val="both"/>
      </w:pPr>
      <w:r>
        <w:rPr>
          <w:rFonts w:ascii="Archivo" w:cs="Archivo" w:eastAsia="Archivo" w:hAnsi="Archivo"/>
          <w:sz w:val="21"/>
          <w:szCs w:val="21"/>
        </w:rPr>
        <w:t xml:space="preserve">La STS, Sala de lo Civil, de 2 de marzo de 2017 (ROJ: STS 732/2017; ECLI:ES:TS:2017:732; MP: Orduña Moreno), añade una capa adicional de análisis especialmente útil para el intérprete que revisa una póliza controvertida: el «principio de transparencia», que subyace a todo el artículo 3 LCS y que</w:t>
      </w:r>
      <w:r>
        <w:rPr>
          <w:rFonts w:ascii="Archivo" w:cs="Archivo" w:eastAsia="Archivo" w:hAnsi="Archivo"/>
          <w:i/>
          <w:iCs/>
          <w:sz w:val="21"/>
          <w:szCs w:val="21"/>
        </w:rPr>
        <w:t xml:space="preserve"> «opera con especial intensidad respecto de las cláusulas introductorias o particulares»</w:t>
      </w:r>
      <w:r>
        <w:rPr>
          <w:rFonts w:ascii="Archivo" w:cs="Archivo" w:eastAsia="Archivo" w:hAnsi="Archivo"/>
          <w:sz w:val="21"/>
          <w:szCs w:val="21"/>
        </w:rPr>
        <w:t xml:space="preserve">. Cuando una cláusula general introduce, so capa de definición, un «insólito plus» restrictivo no anunciado en las condiciones particulares ni en la información precontractual, la Sala aprecia su carácter sorpresivo y, por ello, limitativo, con independencia de la etiqueta que le haya dado el redactor de la póliza</w:t>
      </w:r>
      <w:r>
        <w:rPr>
          <w:rStyle w:val="FootnoteReference"/>
        </w:rPr>
        <w:footnoteReference w:id="7"/>
      </w:r>
      <w:r>
        <w:rPr>
          <w:rFonts w:ascii="Archivo" w:cs="Archivo" w:eastAsia="Archivo" w:hAnsi="Archivo"/>
          <w:sz w:val="21"/>
          <w:szCs w:val="21"/>
        </w:rPr>
        <w:t xml:space="preserve">.</w:t>
      </w:r>
    </w:p>
    <w:p>
      <w:pPr>
        <w:pStyle w:val="Heading2"/>
        <w:spacing w:after="160" w:before="400"/>
      </w:pPr>
      <w:r>
        <w:rPr>
          <w:rFonts w:ascii="Fraunces" w:cs="Fraunces" w:eastAsia="Fraunces" w:hAnsi="Fraunces"/>
          <w:b/>
          <w:bCs/>
          <w:color w:val="0A2540"/>
          <w:sz w:val="24"/>
          <w:szCs w:val="24"/>
        </w:rPr>
        <w:t xml:space="preserve">1.6. Las cláusulas lesivas: la frontera de la nulidad</w:t>
      </w:r>
    </w:p>
    <w:p>
      <w:pPr>
        <w:spacing w:after="180" w:line="300"/>
        <w:jc w:val="both"/>
      </w:pPr>
      <w:r>
        <w:rPr>
          <w:rFonts w:ascii="Archivo" w:cs="Archivo" w:eastAsia="Archivo" w:hAnsi="Archivo"/>
          <w:sz w:val="21"/>
          <w:szCs w:val="21"/>
        </w:rPr>
        <w:t xml:space="preserve">El artículo 3 LCS distingue todavía una tercera categoría, más severa: las cláusulas lesivas, que son directamente nulas y no admiten subsanación por aceptación expresa, a diferencia de las limitativas. Son lesivas aquellas cláusulas que producen un desequilibrio importante e injustificado en perjuicio del asegurado, en contra de las exigencias de la buena fe; su tratamiento se completa, cuando el tomador es consumidor, con el régimen de cláusulas abusivas del TRLGDCU y de la LCGC, que se desarrolla con detalle en el capítulo 21 de esta obra.</w:t>
      </w:r>
    </w:p>
    <w:p>
      <w:pPr>
        <w:pStyle w:val="Heading2"/>
        <w:spacing w:after="160" w:before="400"/>
      </w:pPr>
      <w:r>
        <w:rPr>
          <w:rFonts w:ascii="Fraunces" w:cs="Fraunces" w:eastAsia="Fraunces" w:hAnsi="Fraunces"/>
          <w:b/>
          <w:bCs/>
          <w:color w:val="0A2540"/>
          <w:sz w:val="24"/>
          <w:szCs w:val="24"/>
        </w:rPr>
        <w:t xml:space="preserve">1.7.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al analizar una póliza de hogar</w:t>
            </w:r>
          </w:p>
          <w:p>
            <w:pPr>
              <w:pStyle w:val="ListParagraph"/>
              <w:numPr>
                <w:ilvl w:val="0"/>
                <w:numId w:val="2"/>
              </w:numPr>
              <w:spacing w:after="80" w:line="280"/>
            </w:pPr>
            <w:r>
              <w:rPr>
                <w:rFonts w:ascii="Archivo" w:cs="Archivo" w:eastAsia="Archivo" w:hAnsi="Archivo"/>
                <w:sz w:val="19"/>
                <w:szCs w:val="19"/>
              </w:rPr>
              <w:t xml:space="preserve">Identificar primero si la cláusula controvertida define el riesgo (delimitadora) o restringe un derecho ya nacido (limitativa): la consecuencia práctica —oponibilidad o inoponibilidad al asegurado— depende enteramente de esta calificación.</w:t>
            </w:r>
          </w:p>
          <w:p>
            <w:pPr>
              <w:pStyle w:val="ListParagraph"/>
              <w:numPr>
                <w:ilvl w:val="0"/>
                <w:numId w:val="2"/>
              </w:numPr>
              <w:spacing w:after="80" w:line="280"/>
            </w:pPr>
            <w:r>
              <w:rPr>
                <w:rFonts w:ascii="Archivo" w:cs="Archivo" w:eastAsia="Archivo" w:hAnsi="Archivo"/>
                <w:sz w:val="19"/>
                <w:szCs w:val="19"/>
              </w:rPr>
              <w:t xml:space="preserve">Verificar, ante toda cláusula limitativa, el doble requisito formal del art. 3 LCS: destacado tipográfico especial y aceptación específica por escrito, distinta de la firma genérica de la póliza (véase el criterio de la STS 3996/2023 sobre epígrafes en mayúscula y recuadrados).</w:t>
            </w:r>
          </w:p>
          <w:p>
            <w:pPr>
              <w:pStyle w:val="ListParagraph"/>
              <w:numPr>
                <w:ilvl w:val="0"/>
                <w:numId w:val="2"/>
              </w:numPr>
              <w:spacing w:after="80" w:line="280"/>
            </w:pPr>
            <w:r>
              <w:rPr>
                <w:rFonts w:ascii="Archivo" w:cs="Archivo" w:eastAsia="Archivo" w:hAnsi="Archivo"/>
                <w:sz w:val="19"/>
                <w:szCs w:val="19"/>
              </w:rPr>
              <w:t xml:space="preserve">Aplicar el test de la «cláusula sorpresiva»: comparar el contenido de la cláusula con el alcance típico o usual del ramo contratado, conforme a la práctica aseguradora (SSTS 273/2016, 541/2016, 147/2017).</w:t>
            </w:r>
          </w:p>
          <w:p>
            <w:pPr>
              <w:pStyle w:val="ListParagraph"/>
              <w:numPr>
                <w:ilvl w:val="0"/>
                <w:numId w:val="2"/>
              </w:numPr>
              <w:spacing w:after="80" w:line="280"/>
            </w:pPr>
            <w:r>
              <w:rPr>
                <w:rFonts w:ascii="Archivo" w:cs="Archivo" w:eastAsia="Archivo" w:hAnsi="Archivo"/>
                <w:sz w:val="19"/>
                <w:szCs w:val="19"/>
              </w:rPr>
              <w:t xml:space="preserve">Distinguir la cláusula limitativa (subsanable por aceptación expresa) de la lesiva (nula de pleno derecho, no subsanable).</w:t>
            </w:r>
          </w:p>
          <w:p>
            <w:pPr>
              <w:pStyle w:val="ListParagraph"/>
              <w:numPr>
                <w:ilvl w:val="0"/>
                <w:numId w:val="2"/>
              </w:numPr>
              <w:spacing w:after="80" w:line="280"/>
            </w:pPr>
            <w:r>
              <w:rPr>
                <w:rFonts w:ascii="Archivo" w:cs="Archivo" w:eastAsia="Archivo" w:hAnsi="Archivo"/>
                <w:sz w:val="19"/>
                <w:szCs w:val="19"/>
              </w:rPr>
              <w:t xml:space="preserve">Cuando el tomador sea consumidor, doblar el análisis del art. 3 LCS con el control de incorporación y de contenido de la LCGC y el TRLGDCU (capítulo 21).</w:t>
            </w:r>
          </w:p>
        </w:tc>
      </w:tr>
    </w:tbl>
    <w:p>
      <w:pPr>
        <w:pStyle w:val="Heading2"/>
        <w:spacing w:after="160" w:before="400"/>
      </w:pPr>
      <w:r>
        <w:rPr>
          <w:rFonts w:ascii="Fraunces" w:cs="Fraunces" w:eastAsia="Fraunces" w:hAnsi="Fraunces"/>
          <w:b/>
          <w:bCs/>
          <w:color w:val="0A2540"/>
          <w:sz w:val="24"/>
          <w:szCs w:val="24"/>
        </w:rPr>
        <w:t xml:space="preserve">1.8.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comprobar el asegurado al recibir su póliza</w:t>
            </w:r>
          </w:p>
          <w:p>
            <w:pPr>
              <w:pStyle w:val="ListParagraph"/>
              <w:numPr>
                <w:ilvl w:val="0"/>
                <w:numId w:val="2"/>
              </w:numPr>
              <w:spacing w:after="80" w:line="280"/>
            </w:pPr>
            <w:r>
              <w:rPr>
                <w:rFonts w:ascii="Archivo" w:cs="Archivo" w:eastAsia="Archivo" w:hAnsi="Archivo"/>
                <w:sz w:val="19"/>
                <w:szCs w:val="19"/>
              </w:rPr>
              <w:t xml:space="preserve">Lea las condiciones particulares y compárelas con lo que le explicó el mediador o la web de contratación: si algo relevante no aparece destacado en negrita o en un apartado propio con su firma, es indicio de que podría tratarse de una cláusula limitativa mal incorporada.</w:t>
            </w:r>
          </w:p>
          <w:p>
            <w:pPr>
              <w:pStyle w:val="ListParagraph"/>
              <w:numPr>
                <w:ilvl w:val="0"/>
                <w:numId w:val="2"/>
              </w:numPr>
              <w:spacing w:after="80" w:line="280"/>
            </w:pPr>
            <w:r>
              <w:rPr>
                <w:rFonts w:ascii="Archivo" w:cs="Archivo" w:eastAsia="Archivo" w:hAnsi="Archivo"/>
                <w:sz w:val="19"/>
                <w:szCs w:val="19"/>
              </w:rPr>
              <w:t xml:space="preserve">Compruebe cómo se valoran los bienes del contenido en caso de siniestro (valor real, valor de reposición o valor de nuevo) y las sumas aseguradas de continente y contenido por separado.</w:t>
            </w:r>
          </w:p>
          <w:p>
            <w:pPr>
              <w:pStyle w:val="ListParagraph"/>
              <w:numPr>
                <w:ilvl w:val="0"/>
                <w:numId w:val="2"/>
              </w:numPr>
              <w:spacing w:after="80" w:line="280"/>
            </w:pPr>
            <w:r>
              <w:rPr>
                <w:rFonts w:ascii="Archivo" w:cs="Archivo" w:eastAsia="Archivo" w:hAnsi="Archivo"/>
                <w:sz w:val="19"/>
                <w:szCs w:val="19"/>
              </w:rPr>
              <w:t xml:space="preserve">Revise los límites específicos para joyas, dinero en efectivo, equipos electrónicos y objetos de valor: suelen ser sublímites dentro de la suma general del contenido.</w:t>
            </w:r>
          </w:p>
          <w:p>
            <w:pPr>
              <w:pStyle w:val="ListParagraph"/>
              <w:numPr>
                <w:ilvl w:val="0"/>
                <w:numId w:val="2"/>
              </w:numPr>
              <w:spacing w:after="80" w:line="280"/>
            </w:pPr>
            <w:r>
              <w:rPr>
                <w:rFonts w:ascii="Archivo" w:cs="Archivo" w:eastAsia="Archivo" w:hAnsi="Archivo"/>
                <w:sz w:val="19"/>
                <w:szCs w:val="19"/>
              </w:rPr>
              <w:t xml:space="preserve">Conserve siempre copia firmada de las condiciones particulares y generales: es el documento que, conforme al art. 3 LCS, la aseguradora debe entregarle en el momento de la contratación.</w:t>
            </w:r>
          </w:p>
        </w:tc>
      </w:tr>
    </w:tbl>
    <w:p>
      <w:pPr>
        <w:pStyle w:val="Heading2"/>
        <w:spacing w:after="160" w:before="400"/>
      </w:pPr>
      <w:r>
        <w:rPr>
          <w:rFonts w:ascii="Fraunces" w:cs="Fraunces" w:eastAsia="Fraunces" w:hAnsi="Fraunces"/>
          <w:b/>
          <w:bCs/>
          <w:color w:val="0A2540"/>
          <w:sz w:val="24"/>
          <w:szCs w:val="24"/>
        </w:rPr>
        <w:t xml:space="preserve">1.9. Checklist: cómo leer una póliza de hogar en diez puntos</w:t>
      </w:r>
    </w:p>
    <w:p>
      <w:pPr>
        <w:pStyle w:val="ListParagraph"/>
        <w:numPr>
          <w:ilvl w:val="0"/>
          <w:numId w:val="2"/>
        </w:numPr>
        <w:spacing w:after="100" w:line="290"/>
      </w:pPr>
      <w:r>
        <w:rPr>
          <w:rFonts w:ascii="Archivo" w:cs="Archivo" w:eastAsia="Archivo" w:hAnsi="Archivo"/>
          <w:sz w:val="21"/>
          <w:szCs w:val="21"/>
        </w:rPr>
        <w:t xml:space="preserve">1. Tomador, asegurado y beneficiario: ¿coinciden? ¿Es la vivienda habitual, segunda residencia o vivienda arrendada?</w:t>
      </w:r>
    </w:p>
    <w:p>
      <w:pPr>
        <w:pStyle w:val="ListParagraph"/>
        <w:numPr>
          <w:ilvl w:val="0"/>
          <w:numId w:val="2"/>
        </w:numPr>
        <w:spacing w:after="100" w:line="290"/>
      </w:pPr>
      <w:r>
        <w:rPr>
          <w:rFonts w:ascii="Archivo" w:cs="Archivo" w:eastAsia="Archivo" w:hAnsi="Archivo"/>
          <w:sz w:val="21"/>
          <w:szCs w:val="21"/>
        </w:rPr>
        <w:t xml:space="preserve">2. Continente y contenido: sumas aseguradas independientes y su relación con el valor real del inmueble y los bienes.</w:t>
      </w:r>
    </w:p>
    <w:p>
      <w:pPr>
        <w:pStyle w:val="ListParagraph"/>
        <w:numPr>
          <w:ilvl w:val="0"/>
          <w:numId w:val="2"/>
        </w:numPr>
        <w:spacing w:after="100" w:line="290"/>
      </w:pPr>
      <w:r>
        <w:rPr>
          <w:rFonts w:ascii="Archivo" w:cs="Archivo" w:eastAsia="Archivo" w:hAnsi="Archivo"/>
          <w:sz w:val="21"/>
          <w:szCs w:val="21"/>
        </w:rPr>
        <w:t xml:space="preserve">3. Franquicias aplicables por tipo de garantía.</w:t>
      </w:r>
    </w:p>
    <w:p>
      <w:pPr>
        <w:pStyle w:val="ListParagraph"/>
        <w:numPr>
          <w:ilvl w:val="0"/>
          <w:numId w:val="2"/>
        </w:numPr>
        <w:spacing w:after="100" w:line="290"/>
      </w:pPr>
      <w:r>
        <w:rPr>
          <w:rFonts w:ascii="Archivo" w:cs="Archivo" w:eastAsia="Archivo" w:hAnsi="Archivo"/>
          <w:sz w:val="21"/>
          <w:szCs w:val="21"/>
        </w:rPr>
        <w:t xml:space="preserve">4. Sublímites por garantía (joyas, dinero, equipos electrónicos, objetos de arte).</w:t>
      </w:r>
    </w:p>
    <w:p>
      <w:pPr>
        <w:pStyle w:val="ListParagraph"/>
        <w:numPr>
          <w:ilvl w:val="0"/>
          <w:numId w:val="2"/>
        </w:numPr>
        <w:spacing w:after="100" w:line="290"/>
      </w:pPr>
      <w:r>
        <w:rPr>
          <w:rFonts w:ascii="Archivo" w:cs="Archivo" w:eastAsia="Archivo" w:hAnsi="Archivo"/>
          <w:sz w:val="21"/>
          <w:szCs w:val="21"/>
        </w:rPr>
        <w:t xml:space="preserve">5. Exclusiones generales y particulares (capítulo 12).</w:t>
      </w:r>
    </w:p>
    <w:p>
      <w:pPr>
        <w:pStyle w:val="ListParagraph"/>
        <w:numPr>
          <w:ilvl w:val="0"/>
          <w:numId w:val="2"/>
        </w:numPr>
        <w:spacing w:after="100" w:line="290"/>
      </w:pPr>
      <w:r>
        <w:rPr>
          <w:rFonts w:ascii="Archivo" w:cs="Archivo" w:eastAsia="Archivo" w:hAnsi="Archivo"/>
          <w:sz w:val="21"/>
          <w:szCs w:val="21"/>
        </w:rPr>
        <w:t xml:space="preserve">6. Cobertura de responsabilidad civil de cabeza de familia: límite por siniestro y por anualidad.</w:t>
      </w:r>
    </w:p>
    <w:p>
      <w:pPr>
        <w:pStyle w:val="ListParagraph"/>
        <w:numPr>
          <w:ilvl w:val="0"/>
          <w:numId w:val="2"/>
        </w:numPr>
        <w:spacing w:after="100" w:line="290"/>
      </w:pPr>
      <w:r>
        <w:rPr>
          <w:rFonts w:ascii="Archivo" w:cs="Archivo" w:eastAsia="Archivo" w:hAnsi="Archivo"/>
          <w:sz w:val="21"/>
          <w:szCs w:val="21"/>
        </w:rPr>
        <w:t xml:space="preserve">7. Cobertura de defensa jurídica: cuantía y libre elección de abogado y procurador.</w:t>
      </w:r>
    </w:p>
    <w:p>
      <w:pPr>
        <w:pStyle w:val="ListParagraph"/>
        <w:numPr>
          <w:ilvl w:val="0"/>
          <w:numId w:val="2"/>
        </w:numPr>
        <w:spacing w:after="100" w:line="290"/>
      </w:pPr>
      <w:r>
        <w:rPr>
          <w:rFonts w:ascii="Archivo" w:cs="Archivo" w:eastAsia="Archivo" w:hAnsi="Archivo"/>
          <w:sz w:val="21"/>
          <w:szCs w:val="21"/>
        </w:rPr>
        <w:t xml:space="preserve">8. Plazo de comunicación del siniestro pactado en póliza (nunca puede ser inferior a los 7 días del art. 16 LCS, pero sí superior).</w:t>
      </w:r>
    </w:p>
    <w:p>
      <w:pPr>
        <w:pStyle w:val="ListParagraph"/>
        <w:numPr>
          <w:ilvl w:val="0"/>
          <w:numId w:val="2"/>
        </w:numPr>
        <w:spacing w:after="100" w:line="290"/>
      </w:pPr>
      <w:r>
        <w:rPr>
          <w:rFonts w:ascii="Archivo" w:cs="Archivo" w:eastAsia="Archivo" w:hAnsi="Archivo"/>
          <w:sz w:val="21"/>
          <w:szCs w:val="21"/>
        </w:rPr>
        <w:t xml:space="preserve">9. Cláusulas destacadas en negrita, mayúsculas o recuadro con firma o aceptación específica separada.</w:t>
      </w:r>
    </w:p>
    <w:p>
      <w:pPr>
        <w:pStyle w:val="ListParagraph"/>
        <w:numPr>
          <w:ilvl w:val="0"/>
          <w:numId w:val="2"/>
        </w:numPr>
        <w:spacing w:after="100" w:line="290"/>
      </w:pPr>
      <w:r>
        <w:rPr>
          <w:rFonts w:ascii="Archivo" w:cs="Archivo" w:eastAsia="Archivo" w:hAnsi="Archivo"/>
          <w:sz w:val="21"/>
          <w:szCs w:val="21"/>
        </w:rPr>
        <w:t xml:space="preserve">10. Fecha de efecto, forma de pago de la prima y consecuencias del impago (art. 15 LCS).</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BATALLER GRAU, J.; BOQUERA MATARREDONA, J.; OLAVARRÍA IGLESIA, J. (coords.), Comentarios a la Ley de Contrato de Seguro, Tirant lo Blanch, Valencia.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spacing w:after="180" w:line="300"/>
        <w:jc w:val="both"/>
      </w:pPr>
      <w:r>
        <w:rPr>
          <w:rFonts w:ascii="Archivo" w:cs="Archivo" w:eastAsia="Archivo" w:hAnsi="Archivo"/>
          <w:sz w:val="21"/>
          <w:szCs w:val="21"/>
        </w:rPr>
        <w:t xml:space="preserve">TIRADO SUÁREZ, F. J., en URÍA, R.; MENÉNDEZ, A.; OLIVENCIA, M. (dirs.), Comentarios al Código de Comercio y legislación mercantil especial, tomo XXIV, vol. 1.º, Edersa/Civitas, Madrid.</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spacing w:after="180" w:line="300"/>
        <w:jc w:val="both"/>
      </w:pPr>
      <w:r>
        <w:rPr>
          <w:rFonts w:ascii="Archivo" w:cs="Archivo" w:eastAsia="Archivo" w:hAnsi="Archivo"/>
          <w:sz w:val="21"/>
          <w:szCs w:val="21"/>
        </w:rPr>
        <w:t xml:space="preserve">VEIGA COPO, A. B., Condiciones generales y particulares en el contrato de seguro, Civitas-Thomson Reuters, Cizur Menor.</w:t>
      </w:r>
    </w:p>
    <w:p>
      <w:pPr>
        <w:spacing w:after="180" w:line="300"/>
        <w:jc w:val="both"/>
      </w:pPr>
      <w:r>
        <w:rPr>
          <w:rFonts w:ascii="Archivo" w:cs="Archivo" w:eastAsia="Archivo" w:hAnsi="Archivo"/>
          <w:sz w:val="21"/>
          <w:szCs w:val="21"/>
        </w:rPr>
        <w:t xml:space="preserve">Revista Española de Seguros (RES), Sección Española de la Asociación Internacional de Derecho de Seguros (SEAIDA), Madrid.</w:t>
      </w:r>
    </w:p>
    <w:p>
      <w:pPr>
        <w:pStyle w:val="Heading1"/>
        <w:pageBreakBefore/>
        <w:spacing w:after="300" w:before="200"/>
      </w:pPr>
      <w:r>
        <w:rPr>
          <w:rFonts w:ascii="Archivo" w:cs="Archivo" w:eastAsia="Archivo" w:hAnsi="Archivo"/>
          <w:b/>
          <w:bCs/>
          <w:color w:val="1B6DF0"/>
          <w:sz w:val="22"/>
          <w:szCs w:val="22"/>
        </w:rPr>
        <w:t xml:space="preserve">Capítulo 2. </w:t>
      </w:r>
      <w:r>
        <w:rPr>
          <w:rFonts w:ascii="Fraunces" w:cs="Fraunces" w:eastAsia="Fraunces" w:hAnsi="Fraunces"/>
          <w:b/>
          <w:bCs/>
          <w:color w:val="0A2540"/>
          <w:sz w:val="30"/>
          <w:szCs w:val="30"/>
        </w:rPr>
        <w:t xml:space="preserve">Sujetos y objeto del contrato: tomador, asegurado, beneficiario, continente y contenido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2.1. Las partes y los sujetos protegidos: tomador, asegurado y beneficiario (art. 7 LCS)</w:t>
            </w:r>
          </w:p>
          <w:p>
            <w:pPr>
              <w:spacing w:after="40" w:line="260"/>
            </w:pPr>
            <w:r>
              <w:rPr>
                <w:rFonts w:ascii="Archivo" w:cs="Archivo" w:eastAsia="Archivo" w:hAnsi="Archivo"/>
                <w:sz w:val="18"/>
                <w:szCs w:val="18"/>
              </w:rPr>
              <w:t xml:space="preserve">2.2. El seguro por cuenta ajena en la práctica del hogar</w:t>
            </w:r>
          </w:p>
          <w:p>
            <w:pPr>
              <w:spacing w:after="40" w:line="260"/>
            </w:pPr>
            <w:r>
              <w:rPr>
                <w:rFonts w:ascii="Archivo" w:cs="Archivo" w:eastAsia="Archivo" w:hAnsi="Archivo"/>
                <w:sz w:val="18"/>
                <w:szCs w:val="18"/>
              </w:rPr>
              <w:t xml:space="preserve">2.3. El objeto del contrato: el interés asegurable (art. 25 LCS)</w:t>
            </w:r>
          </w:p>
          <w:p>
            <w:pPr>
              <w:spacing w:after="40" w:line="260"/>
            </w:pPr>
            <w:r>
              <w:rPr>
                <w:rFonts w:ascii="Archivo" w:cs="Archivo" w:eastAsia="Archivo" w:hAnsi="Archivo"/>
                <w:sz w:val="18"/>
                <w:szCs w:val="18"/>
              </w:rPr>
              <w:t xml:space="preserve">2.4. El principio indemnizatorio y la prohibición de enriquecimiento injusto (art. 26 LCS)</w:t>
            </w:r>
          </w:p>
          <w:p>
            <w:pPr>
              <w:spacing w:after="40" w:line="260"/>
            </w:pPr>
            <w:r>
              <w:rPr>
                <w:rFonts w:ascii="Archivo" w:cs="Archivo" w:eastAsia="Archivo" w:hAnsi="Archivo"/>
                <w:sz w:val="18"/>
                <w:szCs w:val="18"/>
              </w:rPr>
              <w:t xml:space="preserve">2.5. Contenido documental de la póliza (art. 8 LCS)</w:t>
            </w:r>
          </w:p>
          <w:p>
            <w:pPr>
              <w:spacing w:after="40" w:line="260"/>
            </w:pPr>
            <w:r>
              <w:rPr>
                <w:rFonts w:ascii="Archivo" w:cs="Archivo" w:eastAsia="Archivo" w:hAnsi="Archivo"/>
                <w:sz w:val="18"/>
                <w:szCs w:val="18"/>
              </w:rPr>
              <w:t xml:space="preserve">2.6. Ficha para el profesional</w:t>
            </w:r>
          </w:p>
          <w:p>
            <w:pPr>
              <w:spacing w:after="40" w:line="260"/>
            </w:pPr>
            <w:r>
              <w:rPr>
                <w:rFonts w:ascii="Archivo" w:cs="Archivo" w:eastAsia="Archivo" w:hAnsi="Archivo"/>
                <w:sz w:val="18"/>
                <w:szCs w:val="18"/>
              </w:rPr>
              <w:t xml:space="preserve">2.7. Ficha para el asegurado</w:t>
            </w:r>
          </w:p>
          <w:p>
            <w:pPr>
              <w:spacing w:after="40" w:line="260"/>
            </w:pPr>
            <w:r>
              <w:rPr>
                <w:rFonts w:ascii="Archivo" w:cs="Archivo" w:eastAsia="Archivo" w:hAnsi="Archivo"/>
                <w:sz w:val="18"/>
                <w:szCs w:val="18"/>
              </w:rPr>
              <w:t xml:space="preserve">2.8. Checklist: quién es quién en la póliza de hogar</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examina la estructura subjetiva del contrato de seguro de hogar —tomador, asegurado y beneficiario— y su objeto, centrado en la noción de interés asegurable del art. 25 LCS, cuya ausencia sobrevenida determina la nulidad del contrato. Se estudia, con apoyo en la jurisprudencia más reciente de la Sala Primera, la aplicación de estos conceptos a los supuestos característicos del ramo de hogar: propietarios no ocupantes, inquilinos, seguros vinculados a préstamo hipotecario y comunidades de propietarios.</w:t>
            </w:r>
          </w:p>
          <w:p>
            <w:pPr>
              <w:spacing w:after="160"/>
            </w:pPr>
            <w:r>
              <w:rPr>
                <w:rFonts w:ascii="Archivo" w:cs="Archivo" w:eastAsia="Archivo" w:hAnsi="Archivo"/>
                <w:b/>
                <w:bCs/>
                <w:sz w:val="17"/>
                <w:szCs w:val="17"/>
              </w:rPr>
              <w:t xml:space="preserve">Palabras clave: tomador del seguro, asegurado, beneficiario, interés asegurable, art. 25 LCS, principio indemnizatorio, seguro por cuenta ajena.</w:t>
            </w:r>
          </w:p>
          <w:p>
            <w:pPr>
              <w:spacing w:after="100"/>
              <w:jc w:val="both"/>
            </w:pPr>
            <w:r>
              <w:rPr>
                <w:rFonts w:ascii="Archivo" w:cs="Archivo" w:eastAsia="Archivo" w:hAnsi="Archivo"/>
                <w:i/>
                <w:iCs/>
                <w:sz w:val="18"/>
                <w:szCs w:val="18"/>
              </w:rPr>
              <w:t xml:space="preserve">This chapter examines the subjective structure of the homeowners' insurance contract —policyholder, insured and beneficiary— and its object, centred on the insurable interest requirement of Article 25 of the Spanish Insurance Contract Act, whose subsequent absence renders the contract void. Drawing on recent Supreme Court case law, it applies these concepts to typical cases in the home insurance line: non-occupying owners, tenants, mortgage-linked policies and homeowners' associations.</w:t>
            </w:r>
          </w:p>
          <w:p>
            <w:pPr>
              <w:spacing w:after="0"/>
            </w:pPr>
            <w:r>
              <w:rPr>
                <w:rFonts w:ascii="Archivo" w:cs="Archivo" w:eastAsia="Archivo" w:hAnsi="Archivo"/>
                <w:b/>
                <w:bCs/>
                <w:sz w:val="17"/>
                <w:szCs w:val="17"/>
              </w:rPr>
              <w:t xml:space="preserve">Keywords: policyholder, insured party, beneficiary, insurable interest, indemnity principle, insurance for another's account.</w:t>
            </w:r>
          </w:p>
        </w:tc>
      </w:tr>
    </w:tbl>
    <w:p>
      <w:pPr>
        <w:spacing w:after="200"/>
      </w:pPr>
    </w:p>
    <w:p>
      <w:pPr>
        <w:pStyle w:val="Heading2"/>
        <w:spacing w:after="160" w:before="400"/>
      </w:pPr>
      <w:r>
        <w:rPr>
          <w:rFonts w:ascii="Fraunces" w:cs="Fraunces" w:eastAsia="Fraunces" w:hAnsi="Fraunces"/>
          <w:b/>
          <w:bCs/>
          <w:color w:val="0A2540"/>
          <w:sz w:val="24"/>
          <w:szCs w:val="24"/>
        </w:rPr>
        <w:t xml:space="preserve">2.1. Las partes y los sujetos protegidos: tomador, asegurado y beneficiario</w:t>
      </w:r>
    </w:p>
    <w:p>
      <w:pPr>
        <w:spacing w:after="180" w:line="300"/>
        <w:jc w:val="both"/>
      </w:pPr>
      <w:r>
        <w:rPr>
          <w:rFonts w:ascii="Archivo" w:cs="Archivo" w:eastAsia="Archivo" w:hAnsi="Archivo"/>
          <w:sz w:val="21"/>
          <w:szCs w:val="21"/>
        </w:rPr>
        <w:t xml:space="preserve">El contrato de seguro de hogar puede llegar a implicar hasta tres posiciones jurídicas distintas, que conviene no confundir desde el primer momento</w:t>
      </w:r>
      <w:r>
        <w:rPr>
          <w:rStyle w:val="FootnoteReference"/>
        </w:rPr>
        <w:footnoteReference w:id="8"/>
      </w:r>
      <w:r>
        <w:rPr>
          <w:rFonts w:ascii="Archivo" w:cs="Archivo" w:eastAsia="Archivo" w:hAnsi="Archivo"/>
          <w:sz w:val="21"/>
          <w:szCs w:val="21"/>
        </w:rPr>
        <w:t xml:space="preserve">:</w:t>
      </w:r>
    </w:p>
    <w:p>
      <w:pPr>
        <w:pStyle w:val="ListParagraph"/>
        <w:numPr>
          <w:ilvl w:val="0"/>
          <w:numId w:val="2"/>
        </w:numPr>
        <w:spacing w:after="100" w:line="290"/>
      </w:pPr>
      <w:r>
        <w:rPr>
          <w:rFonts w:ascii="Archivo" w:cs="Archivo" w:eastAsia="Archivo" w:hAnsi="Archivo"/>
          <w:b/>
          <w:bCs/>
          <w:sz w:val="21"/>
          <w:szCs w:val="21"/>
        </w:rPr>
        <w:t xml:space="preserve">Tomador del seguro: </w:t>
      </w:r>
      <w:r>
        <w:rPr>
          <w:rFonts w:ascii="Archivo" w:cs="Archivo" w:eastAsia="Archivo" w:hAnsi="Archivo"/>
          <w:sz w:val="21"/>
          <w:szCs w:val="21"/>
        </w:rPr>
        <w:t xml:space="preserve">quien suscribe el contrato con la aseguradora y asume las obligaciones que de él derivan (fundamentalmente, el pago de la prima y los deberes de declaración del riesgo y comunicación del siniestro).</w:t>
      </w:r>
    </w:p>
    <w:p>
      <w:pPr>
        <w:pStyle w:val="ListParagraph"/>
        <w:numPr>
          <w:ilvl w:val="0"/>
          <w:numId w:val="2"/>
        </w:numPr>
        <w:spacing w:after="100" w:line="290"/>
      </w:pPr>
      <w:r>
        <w:rPr>
          <w:rFonts w:ascii="Archivo" w:cs="Archivo" w:eastAsia="Archivo" w:hAnsi="Archivo"/>
          <w:b/>
          <w:bCs/>
          <w:sz w:val="21"/>
          <w:szCs w:val="21"/>
        </w:rPr>
        <w:t xml:space="preserve">Asegurado: </w:t>
      </w:r>
      <w:r>
        <w:rPr>
          <w:rFonts w:ascii="Archivo" w:cs="Archivo" w:eastAsia="Archivo" w:hAnsi="Archivo"/>
          <w:sz w:val="21"/>
          <w:szCs w:val="21"/>
        </w:rPr>
        <w:t xml:space="preserve">el titular del interés objeto de cobertura, a quien corresponden los derechos derivados del contrato.</w:t>
      </w:r>
    </w:p>
    <w:p>
      <w:pPr>
        <w:pStyle w:val="ListParagraph"/>
        <w:numPr>
          <w:ilvl w:val="0"/>
          <w:numId w:val="2"/>
        </w:numPr>
        <w:spacing w:after="100" w:line="290"/>
      </w:pPr>
      <w:r>
        <w:rPr>
          <w:rFonts w:ascii="Archivo" w:cs="Archivo" w:eastAsia="Archivo" w:hAnsi="Archivo"/>
          <w:b/>
          <w:bCs/>
          <w:sz w:val="21"/>
          <w:szCs w:val="21"/>
        </w:rPr>
        <w:t xml:space="preserve">Beneficiario: </w:t>
      </w:r>
      <w:r>
        <w:rPr>
          <w:rFonts w:ascii="Archivo" w:cs="Archivo" w:eastAsia="Archivo" w:hAnsi="Archivo"/>
          <w:sz w:val="21"/>
          <w:szCs w:val="21"/>
        </w:rPr>
        <w:t xml:space="preserve">la persona designada para percibir la indemnización, figura de mayor relevancia en el seguro de vida que en el de daños, donde el beneficiario coincide normalmente con el propio asegurado, salvo pacto de designación de un tercero (por ejemplo, la entidad acreedora hipotecaria hasta el importe del capital pendiente).</w:t>
      </w:r>
    </w:p>
    <w:p>
      <w:pPr>
        <w:spacing w:after="180" w:line="300"/>
        <w:jc w:val="both"/>
      </w:pPr>
      <w:r>
        <w:rPr>
          <w:rFonts w:ascii="Archivo" w:cs="Archivo" w:eastAsia="Archivo" w:hAnsi="Archivo"/>
          <w:sz w:val="21"/>
          <w:szCs w:val="21"/>
        </w:rPr>
        <w:t xml:space="preserve">El artículo 7 LCS regula esta posible disociación con una regla de reparto de cargas y derechos que resulta esencial para determinar, ante cualquier incidencia, a quién corresponde actuar:</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7 LCS</w:t>
            </w:r>
          </w:p>
          <w:p>
            <w:pPr>
              <w:spacing w:after="0" w:line="280"/>
              <w:jc w:val="both"/>
            </w:pPr>
            <w:r>
              <w:rPr>
                <w:rFonts w:ascii="IBM Plex Mono" w:cs="IBM Plex Mono" w:eastAsia="IBM Plex Mono" w:hAnsi="IBM Plex Mono"/>
                <w:i/>
                <w:iCs/>
                <w:color w:val="0A2540"/>
                <w:sz w:val="18"/>
                <w:szCs w:val="18"/>
              </w:rPr>
              <w:t xml:space="preserve">El tomador del seguro puede contratar el seguro por cuenta propia o ajena. En caso de duda se presumirá que el tomador ha contratado por cuenta propia. [...] Si el tomador del seguro y el asegurado son personas distintas, las obligaciones y los deberes que derivan del contrato corresponden al tomador del seguro, salvo aquellos que por su naturaleza deban ser cumplidos por el asegurado. No obstante, el asegurador no podrá rechazar el cumplimiento por parte del asegurado de las obligaciones y deberes que correspondan al tomador del seguro. Los derechos que derivan del contrato corresponderán al asegurado o, en su caso, al beneficiario, salvo los especiales derechos del tomador en los seguros de vida.</w:t>
            </w:r>
          </w:p>
        </w:tc>
      </w:tr>
    </w:tbl>
    <w:p>
      <w:pPr>
        <w:spacing w:after="180" w:line="300"/>
        <w:jc w:val="both"/>
      </w:pPr>
      <w:r>
        <w:rPr>
          <w:rFonts w:ascii="Archivo" w:cs="Archivo" w:eastAsia="Archivo" w:hAnsi="Archivo"/>
          <w:sz w:val="21"/>
          <w:szCs w:val="21"/>
        </w:rPr>
        <w:t xml:space="preserve">La regla, trasladada a la práctica del hogar, tiene una consecuencia procesal de primer orden: cuando el tomador (por ejemplo, el propietario que asegura una vivienda arrendada) y el asegurado no coinciden, es el asegurado —o, en su caso, quien acredite ostentar tal condición sobre el bien siniestrado— quien está legitimado activamente para reclamar la indemnización, sin perjuicio de que los deberes de comunicación del siniestro y de declaración del riesgo recaigan primariamente sobre el tomador.</w:t>
      </w:r>
    </w:p>
    <w:p>
      <w:pPr>
        <w:pStyle w:val="Heading2"/>
        <w:spacing w:after="160" w:before="400"/>
      </w:pPr>
      <w:r>
        <w:rPr>
          <w:rFonts w:ascii="Fraunces" w:cs="Fraunces" w:eastAsia="Fraunces" w:hAnsi="Fraunces"/>
          <w:b/>
          <w:bCs/>
          <w:color w:val="0A2540"/>
          <w:sz w:val="24"/>
          <w:szCs w:val="24"/>
        </w:rPr>
        <w:t xml:space="preserve">2.2. El seguro por cuenta ajena en la práctica del hogar</w:t>
      </w:r>
    </w:p>
    <w:p>
      <w:pPr>
        <w:spacing w:after="180" w:line="300"/>
        <w:jc w:val="both"/>
      </w:pPr>
      <w:r>
        <w:rPr>
          <w:rFonts w:ascii="Archivo" w:cs="Archivo" w:eastAsia="Archivo" w:hAnsi="Archivo"/>
          <w:sz w:val="21"/>
          <w:szCs w:val="21"/>
        </w:rPr>
        <w:t xml:space="preserve">El seguro por cuenta ajena, lejos de ser una hipótesis académica, es extraordinariamente frecuente en el ramo de hogar. Los supuestos más habituales que el profesional debe saber reconducir al artículo 7 LCS son los siguientes:</w:t>
      </w:r>
    </w:p>
    <w:p>
      <w:pPr>
        <w:pStyle w:val="ListParagraph"/>
        <w:numPr>
          <w:ilvl w:val="0"/>
          <w:numId w:val="2"/>
        </w:numPr>
        <w:spacing w:after="100" w:line="290"/>
      </w:pPr>
      <w:r>
        <w:rPr>
          <w:rFonts w:ascii="Archivo" w:cs="Archivo" w:eastAsia="Archivo" w:hAnsi="Archivo"/>
          <w:b/>
          <w:bCs/>
          <w:sz w:val="21"/>
          <w:szCs w:val="21"/>
        </w:rPr>
        <w:t xml:space="preserve">Seguro vinculado a préstamo hipotecario: </w:t>
      </w:r>
      <w:r>
        <w:rPr>
          <w:rFonts w:ascii="Archivo" w:cs="Archivo" w:eastAsia="Archivo" w:hAnsi="Archivo"/>
          <w:sz w:val="21"/>
          <w:szCs w:val="21"/>
        </w:rPr>
        <w:t xml:space="preserve">la entidad financiera exige la contratación de un seguro de hogar (o, más específicamente, de daños sobre el continente) como condición del préstamo, y en ocasiones se designa a la propia entidad como beneficiaria hasta el importe del capital pendiente de amortizar mediante cláusula de designación de beneficiario, cuya validez exige que se articule con la debida transparencia y sin desnaturalizar el derecho del asegurado a la reparación del daño en la parte excedente.</w:t>
      </w:r>
    </w:p>
    <w:p>
      <w:pPr>
        <w:pStyle w:val="ListParagraph"/>
        <w:numPr>
          <w:ilvl w:val="0"/>
          <w:numId w:val="2"/>
        </w:numPr>
        <w:spacing w:after="100" w:line="290"/>
      </w:pPr>
      <w:r>
        <w:rPr>
          <w:rFonts w:ascii="Archivo" w:cs="Archivo" w:eastAsia="Archivo" w:hAnsi="Archivo"/>
          <w:b/>
          <w:bCs/>
          <w:sz w:val="21"/>
          <w:szCs w:val="21"/>
        </w:rPr>
        <w:t xml:space="preserve">Vivienda arrendada: </w:t>
      </w:r>
      <w:r>
        <w:rPr>
          <w:rFonts w:ascii="Archivo" w:cs="Archivo" w:eastAsia="Archivo" w:hAnsi="Archivo"/>
          <w:sz w:val="21"/>
          <w:szCs w:val="21"/>
        </w:rPr>
        <w:t xml:space="preserve">es habitual que el propietario asegure el continente (y, en ocasiones, su responsabilidad civil como propietario) mientras que el inquilino contrata, de forma independiente, un seguro sobre el contenido y su propia responsabilidad civil como ocupante; ambas pólizas coexisten sin solaparse, salvo previsión expresa de concurrencia de seguros (art. 32 LCS).</w:t>
      </w:r>
    </w:p>
    <w:p>
      <w:pPr>
        <w:pStyle w:val="ListParagraph"/>
        <w:numPr>
          <w:ilvl w:val="0"/>
          <w:numId w:val="2"/>
        </w:numPr>
        <w:spacing w:after="100" w:line="290"/>
      </w:pPr>
      <w:r>
        <w:rPr>
          <w:rFonts w:ascii="Archivo" w:cs="Archivo" w:eastAsia="Archivo" w:hAnsi="Archivo"/>
          <w:b/>
          <w:bCs/>
          <w:sz w:val="21"/>
          <w:szCs w:val="21"/>
        </w:rPr>
        <w:t xml:space="preserve">Comunidades de propietarios: </w:t>
      </w:r>
      <w:r>
        <w:rPr>
          <w:rFonts w:ascii="Archivo" w:cs="Archivo" w:eastAsia="Archivo" w:hAnsi="Archivo"/>
          <w:sz w:val="21"/>
          <w:szCs w:val="21"/>
        </w:rPr>
        <w:t xml:space="preserve">el seguro de la comunidad (Ley 49/1960, de Propiedad Horizontal) cubre elementos comunes y, en ocasiones, por extensión pactada, ciertos elementos privativos; su articulación con el seguro individual de cada propietario plantea cuestiones de concurrencia de seguros que se estudian en el capítulo 11.</w:t>
      </w:r>
    </w:p>
    <w:p>
      <w:pPr>
        <w:pStyle w:val="Heading2"/>
        <w:spacing w:after="160" w:before="400"/>
      </w:pPr>
      <w:r>
        <w:rPr>
          <w:rFonts w:ascii="Fraunces" w:cs="Fraunces" w:eastAsia="Fraunces" w:hAnsi="Fraunces"/>
          <w:b/>
          <w:bCs/>
          <w:color w:val="0A2540"/>
          <w:sz w:val="24"/>
          <w:szCs w:val="24"/>
        </w:rPr>
        <w:t xml:space="preserve">2.3. El objeto del contrato: el interés asegurable</w:t>
      </w:r>
    </w:p>
    <w:p>
      <w:pPr>
        <w:spacing w:after="180" w:line="300"/>
        <w:jc w:val="both"/>
      </w:pPr>
      <w:r>
        <w:rPr>
          <w:rFonts w:ascii="Archivo" w:cs="Archivo" w:eastAsia="Archivo" w:hAnsi="Archivo"/>
          <w:sz w:val="21"/>
          <w:szCs w:val="21"/>
        </w:rPr>
        <w:t xml:space="preserve">El seguro de hogar es, en su vertiente de daños, un seguro de interés: no protege un bien en abstracto, sino la relación económica lícita que el asegurado mantiene con ese bien. El artículo 25 LCS erige esta relación en presupuesto de validez del contrato</w:t>
      </w:r>
      <w:r>
        <w:rPr>
          <w:rStyle w:val="FootnoteReference"/>
        </w:rPr>
        <w:footnoteReference w:id="9"/>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25 LCS</w:t>
            </w:r>
          </w:p>
          <w:p>
            <w:pPr>
              <w:spacing w:after="0" w:line="280"/>
              <w:jc w:val="both"/>
            </w:pPr>
            <w:r>
              <w:rPr>
                <w:rFonts w:ascii="IBM Plex Mono" w:cs="IBM Plex Mono" w:eastAsia="IBM Plex Mono" w:hAnsi="IBM Plex Mono"/>
                <w:i/>
                <w:iCs/>
                <w:color w:val="0A2540"/>
                <w:sz w:val="18"/>
                <w:szCs w:val="18"/>
              </w:rPr>
              <w:t xml:space="preserve">Sin perjuicio de lo establecido en el artículo cuarto, el contrato de seguro contra daños es nulo si en el momento de su conclusión no existe un interés del asegurado a la indemnización del daño.</w:t>
            </w:r>
          </w:p>
        </w:tc>
      </w:tr>
    </w:tbl>
    <w:p>
      <w:pPr>
        <w:spacing w:after="180" w:line="300"/>
        <w:jc w:val="both"/>
      </w:pPr>
      <w:r>
        <w:rPr>
          <w:rFonts w:ascii="Archivo" w:cs="Archivo" w:eastAsia="Archivo" w:hAnsi="Archivo"/>
          <w:sz w:val="21"/>
          <w:szCs w:val="21"/>
        </w:rPr>
        <w:t xml:space="preserve">La aplicación de este precepto al seguro de hogar ha sido recientemente clarificada por la STS, Sala de lo Civil, de 1 de marzo de 2023 (ROJ: STS 671/2023; ECLI:ES:TS:2023:671; MP: Seoane Spiegelberg), que distingue con precisión el interés asegurado (objeto del contrato) del riesgo cubierto (evento cuya producción activa la cobertura), y fija un criterio muy práctico para el profesional que defiende al asegurado frente a una aseguradora que invoca la falta de interés como causa de nulidad:</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1 de marzo de 2023 (ROJ: STS 671/2023; ECLI:ES:TS:2023:671; MP: Seoane Spiegelberg)</w:t>
            </w:r>
          </w:p>
          <w:p>
            <w:pPr>
              <w:spacing w:after="0" w:line="280"/>
              <w:jc w:val="both"/>
            </w:pPr>
            <w:r>
              <w:rPr>
                <w:rFonts w:ascii="Archivo" w:cs="Archivo" w:eastAsia="Archivo" w:hAnsi="Archivo"/>
                <w:color w:val="0A2540"/>
                <w:sz w:val="19"/>
                <w:szCs w:val="19"/>
              </w:rPr>
              <w:t xml:space="preserve">«El interés deviene en elemento esencial del contrato de seguro, y no solo en el seguro contra daños sino también en los seguros de persona. De no ser así, el seguro se convertiría en una simple apuesta [...]. Al propietario que no se le solicita prueba de aseguramiento ni al contratar el seguro, ni al cobrar la prima, no puede alegarse cuando ocurre el siniestro la inexistencia de interés, teniendo en cuenta que es propietario de un bien, que contrata el seguro poniendo de manifiesto que otros van a usar el inmueble.»</w:t>
            </w:r>
          </w:p>
        </w:tc>
      </w:tr>
    </w:tbl>
    <w:p>
      <w:pPr>
        <w:spacing w:after="180" w:line="300"/>
        <w:jc w:val="both"/>
      </w:pPr>
      <w:r>
        <w:rPr>
          <w:rFonts w:ascii="Archivo" w:cs="Archivo" w:eastAsia="Archivo" w:hAnsi="Archivo"/>
          <w:sz w:val="21"/>
          <w:szCs w:val="21"/>
        </w:rPr>
        <w:t xml:space="preserve">De esta doctrina se extrae una regla de gran utilidad práctica: la mera titularidad dominical del bien asegurado es, por sí sola, prueba suficiente del interés asegurable, y corresponde a la aseguradora —que aceptó la prima sin exigir acreditación adicional al contratar— la carga de probar cumplidamente la inexistencia de interés si pretende invocar la nulidad del contrato ex art. 25 LCS, sin que baste para ello la mera existencia de dudas sobre las circunstancias periféricas del siniestro (por ejemplo, la fecha exacta de su producción).</w:t>
      </w:r>
    </w:p>
    <w:p>
      <w:pPr>
        <w:pStyle w:val="Heading2"/>
        <w:spacing w:after="160" w:before="400"/>
      </w:pPr>
      <w:r>
        <w:rPr>
          <w:rFonts w:ascii="Fraunces" w:cs="Fraunces" w:eastAsia="Fraunces" w:hAnsi="Fraunces"/>
          <w:b/>
          <w:bCs/>
          <w:color w:val="0A2540"/>
          <w:sz w:val="24"/>
          <w:szCs w:val="24"/>
        </w:rPr>
        <w:t xml:space="preserve">2.4. El principio indemnizatorio y la prohibición de enriquecimiento injusto</w:t>
      </w:r>
    </w:p>
    <w:p>
      <w:pPr>
        <w:spacing w:after="180" w:line="300"/>
        <w:jc w:val="both"/>
      </w:pPr>
      <w:r>
        <w:rPr>
          <w:rFonts w:ascii="Archivo" w:cs="Archivo" w:eastAsia="Archivo" w:hAnsi="Archivo"/>
          <w:sz w:val="21"/>
          <w:szCs w:val="21"/>
        </w:rPr>
        <w:t xml:space="preserve">Correlativo al interés asegurable es el principio indemnizatorio, que el artículo 26 LCS formula como prohibición de enriquecimiento injusto: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26 LCS</w:t>
            </w:r>
          </w:p>
          <w:p>
            <w:pPr>
              <w:spacing w:after="0" w:line="280"/>
              <w:jc w:val="both"/>
            </w:pPr>
            <w:r>
              <w:rPr>
                <w:rFonts w:ascii="IBM Plex Mono" w:cs="IBM Plex Mono" w:eastAsia="IBM Plex Mono" w:hAnsi="IBM Plex Mono"/>
                <w:i/>
                <w:iCs/>
                <w:color w:val="0A2540"/>
                <w:sz w:val="18"/>
                <w:szCs w:val="18"/>
              </w:rPr>
              <w:t xml:space="preserve">El seguro no puede ser objeto de enriquecimiento injusto para el asegurado. Para la determinación del daño se atenderá al valor del interés asegurado en el momento inmediatamente anterior a la realización del siniestro.</w:t>
            </w:r>
          </w:p>
        </w:tc>
      </w:tr>
    </w:tbl>
    <w:p>
      <w:pPr>
        <w:pStyle w:val="ListParagraph"/>
        <w:numPr>
          <w:ilvl w:val="0"/>
          <w:numId w:val="2"/>
        </w:numPr>
        <w:spacing w:after="100" w:line="290"/>
      </w:pPr>
      <w:r>
        <w:rPr>
          <w:rFonts w:ascii="Archivo" w:cs="Archivo" w:eastAsia="Archivo" w:hAnsi="Archivo"/>
          <w:b/>
          <w:bCs/>
          <w:sz w:val="21"/>
          <w:szCs w:val="21"/>
        </w:rPr>
        <w:t xml:space="preserve">Consecuencia sobre la suma asegurada: </w:t>
      </w:r>
      <w:r>
        <w:rPr>
          <w:rFonts w:ascii="Archivo" w:cs="Archivo" w:eastAsia="Archivo" w:hAnsi="Archivo"/>
          <w:sz w:val="21"/>
          <w:szCs w:val="21"/>
        </w:rPr>
        <w:t xml:space="preserve">la suma asegurada no es más que el límite máximo de la indemnización pactado por las partes; el daño efectivamente indemnizable se mide, en todo caso, por el valor del interés en el momento inmediatamente anterior al siniestro, lo que constituye el fundamento último tanto de la regla proporcional del infraseguro (art. 30 LCS, capítulo 15) como de la eventual reducción cuando la suma asegurada excede el valor real del interés (sobreseguro, art. 27 LCS).</w:t>
      </w:r>
    </w:p>
    <w:p>
      <w:pPr>
        <w:pStyle w:val="ListParagraph"/>
        <w:numPr>
          <w:ilvl w:val="0"/>
          <w:numId w:val="2"/>
        </w:numPr>
        <w:spacing w:after="100" w:line="290"/>
      </w:pPr>
      <w:r>
        <w:rPr>
          <w:rFonts w:ascii="Archivo" w:cs="Archivo" w:eastAsia="Archivo" w:hAnsi="Archivo"/>
          <w:b/>
          <w:bCs/>
          <w:sz w:val="21"/>
          <w:szCs w:val="21"/>
        </w:rPr>
        <w:t xml:space="preserve">Consecuencia sobre la subrogación: </w:t>
      </w:r>
      <w:r>
        <w:rPr>
          <w:rFonts w:ascii="Archivo" w:cs="Archivo" w:eastAsia="Archivo" w:hAnsi="Archivo"/>
          <w:sz w:val="21"/>
          <w:szCs w:val="21"/>
        </w:rPr>
        <w:t xml:space="preserve">cuando el daño ha sido causado por un tercero (por ejemplo, el vecino cuya tubería provoca la filtración), el pago de la indemnización por la aseguradora no libera a dicho tercero de su responsabilidad, sino que determina la subrogación de la aseguradora en los derechos del asegurado frente a él, hasta el límite de lo indemnizado (art. 43 LCS), precisamente para evitar que el asegurado obtenga una doble reparación por el mismo daño.</w:t>
      </w:r>
    </w:p>
    <w:p>
      <w:pPr>
        <w:pStyle w:val="Heading2"/>
        <w:spacing w:after="160" w:before="400"/>
      </w:pPr>
      <w:r>
        <w:rPr>
          <w:rFonts w:ascii="Fraunces" w:cs="Fraunces" w:eastAsia="Fraunces" w:hAnsi="Fraunces"/>
          <w:b/>
          <w:bCs/>
          <w:color w:val="0A2540"/>
          <w:sz w:val="24"/>
          <w:szCs w:val="24"/>
        </w:rPr>
        <w:t xml:space="preserve">2.5. Contenido documental de la póliza</w:t>
      </w:r>
    </w:p>
    <w:p>
      <w:pPr>
        <w:spacing w:after="180" w:line="300"/>
        <w:jc w:val="both"/>
      </w:pPr>
      <w:r>
        <w:rPr>
          <w:rFonts w:ascii="Archivo" w:cs="Archivo" w:eastAsia="Archivo" w:hAnsi="Archivo"/>
          <w:sz w:val="21"/>
          <w:szCs w:val="21"/>
        </w:rPr>
        <w:t xml:space="preserve">El artículo 8 LCS enumera el contenido mínimo obligatorio de la póliza, cuya relevancia práctica desborda lo puramente formal: constituye, con frecuencia, el primer y principal elemento probatorio en cualquier disputa sobre el alcance de la cobertura contratada.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8 LCS (extracto)</w:t>
            </w:r>
          </w:p>
          <w:p>
            <w:pPr>
              <w:spacing w:after="0" w:line="280"/>
              <w:jc w:val="both"/>
            </w:pPr>
            <w:r>
              <w:rPr>
                <w:rFonts w:ascii="IBM Plex Mono" w:cs="IBM Plex Mono" w:eastAsia="IBM Plex Mono" w:hAnsi="IBM Plex Mono"/>
                <w:i/>
                <w:iCs/>
                <w:color w:val="0A2540"/>
                <w:sz w:val="18"/>
                <w:szCs w:val="18"/>
              </w:rPr>
              <w:t xml:space="preserve">Contendrá, como mínimo, las indicaciones siguientes: 1. Nombre y apellidos o denominación social de las partes contratantes y su domicilio, así como la designación del asegurado y beneficiario, en su caso. 2. El concepto en el cual se asegura. 3. Naturaleza del riesgo cubierto, describiendo, de forma clara y comprensible, las garantías y coberturas otorgadas en el contrato, así como respecto a cada una de ellas, las exclusiones y limitaciones que les afecten destacadas tipográficamente. 4. Designación de los objetos asegurados y de su situación. 5. Suma asegurada o alcance de la cobertura. 6. Importe de la prima, recargos e impuestos. 7. Vencimiento de las primas, lugar y forma de pago. 8. Duración del contrato, con expresión del día y la hora en que comienzan y terminan sus efectos. 9. Si interviene un mediador en el contrato, el nombre y tipo de mediador.</w:t>
            </w:r>
          </w:p>
        </w:tc>
      </w:tr>
    </w:tbl>
    <w:p>
      <w:pPr>
        <w:spacing w:after="180" w:line="300"/>
        <w:jc w:val="both"/>
      </w:pPr>
      <w:r>
        <w:rPr>
          <w:rFonts w:ascii="Archivo" w:cs="Archivo" w:eastAsia="Archivo" w:hAnsi="Archivo"/>
          <w:sz w:val="21"/>
          <w:szCs w:val="21"/>
        </w:rPr>
        <w:t xml:space="preserve">El propio artículo 8 LCS prevé, además, un mecanismo correctivo de gran utilidad práctica y escasamente invocado: si el contenido de la póliza difiere de la proposición de seguro o de lo acordado, el tomador dispone de un mes desde la entrega de la póliza para reclamar la subsanación de la divergencia; transcurrido ese plazo sin reclamación, se estará al contenido de la póliza. El profesional que asesora a un asegurado inmediatamente después de la contratación debe, por tanto, cotejar sistemáticamente póliza y proposición dentro de ese plazo perentorio de un mes.</w:t>
      </w:r>
    </w:p>
    <w:p>
      <w:pPr>
        <w:pStyle w:val="Heading2"/>
        <w:spacing w:after="160" w:before="400"/>
      </w:pPr>
      <w:r>
        <w:rPr>
          <w:rFonts w:ascii="Fraunces" w:cs="Fraunces" w:eastAsia="Fraunces" w:hAnsi="Fraunces"/>
          <w:b/>
          <w:bCs/>
          <w:color w:val="0A2540"/>
          <w:sz w:val="24"/>
          <w:szCs w:val="24"/>
        </w:rPr>
        <w:t xml:space="preserve">2.6.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sobre sujetos y objeto del contrato</w:t>
            </w:r>
          </w:p>
          <w:p>
            <w:pPr>
              <w:pStyle w:val="ListParagraph"/>
              <w:numPr>
                <w:ilvl w:val="0"/>
                <w:numId w:val="2"/>
              </w:numPr>
              <w:spacing w:after="80" w:line="280"/>
            </w:pPr>
            <w:r>
              <w:rPr>
                <w:rFonts w:ascii="Archivo" w:cs="Archivo" w:eastAsia="Archivo" w:hAnsi="Archivo"/>
                <w:sz w:val="19"/>
                <w:szCs w:val="19"/>
              </w:rPr>
              <w:t xml:space="preserve">Verificar quién ostenta la condición de tomador y quién la de asegurado: los deberes de declaración del riesgo y comunicación del siniestro recaen sobre el tomador; los derechos, sobre el asegurado (art. 7 LCS).</w:t>
            </w:r>
          </w:p>
          <w:p>
            <w:pPr>
              <w:pStyle w:val="ListParagraph"/>
              <w:numPr>
                <w:ilvl w:val="0"/>
                <w:numId w:val="2"/>
              </w:numPr>
              <w:spacing w:after="80" w:line="280"/>
            </w:pPr>
            <w:r>
              <w:rPr>
                <w:rFonts w:ascii="Archivo" w:cs="Archivo" w:eastAsia="Archivo" w:hAnsi="Archivo"/>
                <w:sz w:val="19"/>
                <w:szCs w:val="19"/>
              </w:rPr>
              <w:t xml:space="preserve">Ante una excepción de falta de interés asegurable (art. 25 LCS) opuesta por la aseguradora, invocar la doctrina de la STS 671/2023 (ROJ: STS 671/2023): la titularidad dominical acreditada desplaza la carga de la prueba a quien pretende la nulidad.</w:t>
            </w:r>
          </w:p>
          <w:p>
            <w:pPr>
              <w:pStyle w:val="ListParagraph"/>
              <w:numPr>
                <w:ilvl w:val="0"/>
                <w:numId w:val="2"/>
              </w:numPr>
              <w:spacing w:after="80" w:line="280"/>
            </w:pPr>
            <w:r>
              <w:rPr>
                <w:rFonts w:ascii="Archivo" w:cs="Archivo" w:eastAsia="Archivo" w:hAnsi="Archivo"/>
                <w:sz w:val="19"/>
                <w:szCs w:val="19"/>
              </w:rPr>
              <w:t xml:space="preserve">Distinguir siempre la suma asegurada (límite contractual) del daño indemnizable (medido por el valor del interés ex art. 26 LCS), especialmente al preparar la prueba pericial.</w:t>
            </w:r>
          </w:p>
          <w:p>
            <w:pPr>
              <w:pStyle w:val="ListParagraph"/>
              <w:numPr>
                <w:ilvl w:val="0"/>
                <w:numId w:val="2"/>
              </w:numPr>
              <w:spacing w:after="80" w:line="280"/>
            </w:pPr>
            <w:r>
              <w:rPr>
                <w:rFonts w:ascii="Archivo" w:cs="Archivo" w:eastAsia="Archivo" w:hAnsi="Archivo"/>
                <w:sz w:val="19"/>
                <w:szCs w:val="19"/>
              </w:rPr>
              <w:t xml:space="preserve">Cotejar póliza y proposición de seguro dentro del plazo de un mes del art. 8 LCS cuando se detecten divergencias entre lo pactado y lo documentado.</w:t>
            </w:r>
          </w:p>
        </w:tc>
      </w:tr>
    </w:tbl>
    <w:p>
      <w:pPr>
        <w:pStyle w:val="Heading2"/>
        <w:spacing w:after="160" w:before="400"/>
      </w:pPr>
      <w:r>
        <w:rPr>
          <w:rFonts w:ascii="Fraunces" w:cs="Fraunces" w:eastAsia="Fraunces" w:hAnsi="Fraunces"/>
          <w:b/>
          <w:bCs/>
          <w:color w:val="0A2540"/>
          <w:sz w:val="24"/>
          <w:szCs w:val="24"/>
        </w:rPr>
        <w:t xml:space="preserve">2.7.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verificar el asegurado sobre su posición contractual</w:t>
            </w:r>
          </w:p>
          <w:p>
            <w:pPr>
              <w:pStyle w:val="ListParagraph"/>
              <w:numPr>
                <w:ilvl w:val="0"/>
                <w:numId w:val="2"/>
              </w:numPr>
              <w:spacing w:after="80" w:line="280"/>
            </w:pPr>
            <w:r>
              <w:rPr>
                <w:rFonts w:ascii="Archivo" w:cs="Archivo" w:eastAsia="Archivo" w:hAnsi="Archivo"/>
                <w:sz w:val="19"/>
                <w:szCs w:val="19"/>
              </w:rPr>
              <w:t xml:space="preserve">Si usted no es quien firmó la póliza (por ejemplo, porque la contrató el banco o el propietario del piso que alquila), compruebe igualmente si figura como asegurado: solo esa condición le da derecho a reclamar la indemnización.</w:t>
            </w:r>
          </w:p>
          <w:p>
            <w:pPr>
              <w:pStyle w:val="ListParagraph"/>
              <w:numPr>
                <w:ilvl w:val="0"/>
                <w:numId w:val="2"/>
              </w:numPr>
              <w:spacing w:after="80" w:line="280"/>
            </w:pPr>
            <w:r>
              <w:rPr>
                <w:rFonts w:ascii="Archivo" w:cs="Archivo" w:eastAsia="Archivo" w:hAnsi="Archivo"/>
                <w:sz w:val="19"/>
                <w:szCs w:val="19"/>
              </w:rPr>
              <w:t xml:space="preserve">Si su vivienda tiene un préstamo hipotecario asociado, revise si la entidad financiera figura como beneficiaria de la indemnización hasta el capital pendiente: es una cláusula habitual y lícita, pero debe conocerla.</w:t>
            </w:r>
          </w:p>
          <w:p>
            <w:pPr>
              <w:pStyle w:val="ListParagraph"/>
              <w:numPr>
                <w:ilvl w:val="0"/>
                <w:numId w:val="2"/>
              </w:numPr>
              <w:spacing w:after="80" w:line="280"/>
            </w:pPr>
            <w:r>
              <w:rPr>
                <w:rFonts w:ascii="Archivo" w:cs="Archivo" w:eastAsia="Archivo" w:hAnsi="Archivo"/>
                <w:sz w:val="19"/>
                <w:szCs w:val="19"/>
              </w:rPr>
              <w:t xml:space="preserve">Conserve la proposición de seguro (oferta inicial) junto con la póliza definitiva: si detecta diferencias entre ambas, tiene un mes desde la entrega de la póliza para reclamar la subsanación (art. 8 LCS).</w:t>
            </w:r>
          </w:p>
        </w:tc>
      </w:tr>
    </w:tbl>
    <w:p>
      <w:pPr>
        <w:pStyle w:val="Heading2"/>
        <w:spacing w:after="160" w:before="400"/>
      </w:pPr>
      <w:r>
        <w:rPr>
          <w:rFonts w:ascii="Fraunces" w:cs="Fraunces" w:eastAsia="Fraunces" w:hAnsi="Fraunces"/>
          <w:b/>
          <w:bCs/>
          <w:color w:val="0A2540"/>
          <w:sz w:val="24"/>
          <w:szCs w:val="24"/>
        </w:rPr>
        <w:t xml:space="preserve">2.8. Checklist: quién es quién en la póliza de hogar</w:t>
      </w:r>
    </w:p>
    <w:p>
      <w:pPr>
        <w:pStyle w:val="ListParagraph"/>
        <w:numPr>
          <w:ilvl w:val="0"/>
          <w:numId w:val="2"/>
        </w:numPr>
        <w:spacing w:after="100" w:line="290"/>
      </w:pPr>
      <w:r>
        <w:rPr>
          <w:rFonts w:ascii="Archivo" w:cs="Archivo" w:eastAsia="Archivo" w:hAnsi="Archivo"/>
          <w:sz w:val="21"/>
          <w:szCs w:val="21"/>
        </w:rPr>
        <w:t xml:space="preserve">1. ¿Quién firma como tomador? ¿Coincide con el propietario, el inquilino o una entidad financiera?</w:t>
      </w:r>
    </w:p>
    <w:p>
      <w:pPr>
        <w:pStyle w:val="ListParagraph"/>
        <w:numPr>
          <w:ilvl w:val="0"/>
          <w:numId w:val="2"/>
        </w:numPr>
        <w:spacing w:after="100" w:line="290"/>
      </w:pPr>
      <w:r>
        <w:rPr>
          <w:rFonts w:ascii="Archivo" w:cs="Archivo" w:eastAsia="Archivo" w:hAnsi="Archivo"/>
          <w:sz w:val="21"/>
          <w:szCs w:val="21"/>
        </w:rPr>
        <w:t xml:space="preserve">2. ¿Quién figura como asegurado? ¿Es la misma persona que el tomador?</w:t>
      </w:r>
    </w:p>
    <w:p>
      <w:pPr>
        <w:pStyle w:val="ListParagraph"/>
        <w:numPr>
          <w:ilvl w:val="0"/>
          <w:numId w:val="2"/>
        </w:numPr>
        <w:spacing w:after="100" w:line="290"/>
      </w:pPr>
      <w:r>
        <w:rPr>
          <w:rFonts w:ascii="Archivo" w:cs="Archivo" w:eastAsia="Archivo" w:hAnsi="Archivo"/>
          <w:sz w:val="21"/>
          <w:szCs w:val="21"/>
        </w:rPr>
        <w:t xml:space="preserve">3. ¿Existe beneficiario designado distinto del asegurado (por ejemplo, entidad hipotecaria)?</w:t>
      </w:r>
    </w:p>
    <w:p>
      <w:pPr>
        <w:pStyle w:val="ListParagraph"/>
        <w:numPr>
          <w:ilvl w:val="0"/>
          <w:numId w:val="2"/>
        </w:numPr>
        <w:spacing w:after="100" w:line="290"/>
      </w:pPr>
      <w:r>
        <w:rPr>
          <w:rFonts w:ascii="Archivo" w:cs="Archivo" w:eastAsia="Archivo" w:hAnsi="Archivo"/>
          <w:sz w:val="21"/>
          <w:szCs w:val="21"/>
        </w:rPr>
        <w:t xml:space="preserve">4. ¿El interés asegurado se corresponde con la titularidad real sobre el inmueble (propiedad, usufructo, arrendamiento)?</w:t>
      </w:r>
    </w:p>
    <w:p>
      <w:pPr>
        <w:pStyle w:val="ListParagraph"/>
        <w:numPr>
          <w:ilvl w:val="0"/>
          <w:numId w:val="2"/>
        </w:numPr>
        <w:spacing w:after="100" w:line="290"/>
      </w:pPr>
      <w:r>
        <w:rPr>
          <w:rFonts w:ascii="Archivo" w:cs="Archivo" w:eastAsia="Archivo" w:hAnsi="Archivo"/>
          <w:sz w:val="21"/>
          <w:szCs w:val="21"/>
        </w:rPr>
        <w:t xml:space="preserve">5. ¿La suma asegurada de continente y de contenido se corresponde razonablemente con su valor real?</w:t>
      </w:r>
    </w:p>
    <w:p>
      <w:pPr>
        <w:pStyle w:val="ListParagraph"/>
        <w:numPr>
          <w:ilvl w:val="0"/>
          <w:numId w:val="2"/>
        </w:numPr>
        <w:spacing w:after="100" w:line="290"/>
      </w:pPr>
      <w:r>
        <w:rPr>
          <w:rFonts w:ascii="Archivo" w:cs="Archivo" w:eastAsia="Archivo" w:hAnsi="Archivo"/>
          <w:sz w:val="21"/>
          <w:szCs w:val="21"/>
        </w:rPr>
        <w:t xml:space="preserve">6. ¿Existe seguro de la comunidad de propietarios que pueda concurrir con la póliza individual?</w:t>
      </w:r>
    </w:p>
    <w:p>
      <w:pPr>
        <w:pStyle w:val="ListParagraph"/>
        <w:numPr>
          <w:ilvl w:val="0"/>
          <w:numId w:val="2"/>
        </w:numPr>
        <w:spacing w:after="100" w:line="290"/>
      </w:pPr>
      <w:r>
        <w:rPr>
          <w:rFonts w:ascii="Archivo" w:cs="Archivo" w:eastAsia="Archivo" w:hAnsi="Archivo"/>
          <w:sz w:val="21"/>
          <w:szCs w:val="21"/>
        </w:rPr>
        <w:t xml:space="preserve">7. ¿Se ha comprobado la proposición de seguro frente a la póliza definitiva dentro del plazo de un mes del art. 8 LCS?</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3. </w:t>
      </w:r>
      <w:r>
        <w:rPr>
          <w:rFonts w:ascii="Fraunces" w:cs="Fraunces" w:eastAsia="Fraunces" w:hAnsi="Fraunces"/>
          <w:b/>
          <w:bCs/>
          <w:color w:val="0A2540"/>
          <w:sz w:val="30"/>
          <w:szCs w:val="30"/>
        </w:rPr>
        <w:t xml:space="preserve">Fase precontractual y distribución de seguros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3.1. El régimen de distribución de seguros: mediadores, agentes, corredores y banca-seguros</w:t>
            </w:r>
          </w:p>
          <w:p>
            <w:pPr>
              <w:spacing w:after="40" w:line="260"/>
            </w:pPr>
            <w:r>
              <w:rPr>
                <w:rFonts w:ascii="Archivo" w:cs="Archivo" w:eastAsia="Archivo" w:hAnsi="Archivo"/>
                <w:sz w:val="18"/>
                <w:szCs w:val="18"/>
              </w:rPr>
              <w:t xml:space="preserve">3.2. Deberes generales de información precontractual del distribuidor</w:t>
            </w:r>
          </w:p>
          <w:p>
            <w:pPr>
              <w:spacing w:after="40" w:line="260"/>
            </w:pPr>
            <w:r>
              <w:rPr>
                <w:rFonts w:ascii="Archivo" w:cs="Archivo" w:eastAsia="Archivo" w:hAnsi="Archivo"/>
                <w:sz w:val="18"/>
                <w:szCs w:val="18"/>
              </w:rPr>
              <w:t xml:space="preserve">3.3. El deber de asesoramiento y el test de exigencias y necesidades</w:t>
            </w:r>
          </w:p>
          <w:p>
            <w:pPr>
              <w:spacing w:after="40" w:line="260"/>
            </w:pPr>
            <w:r>
              <w:rPr>
                <w:rFonts w:ascii="Archivo" w:cs="Archivo" w:eastAsia="Archivo" w:hAnsi="Archivo"/>
                <w:sz w:val="18"/>
                <w:szCs w:val="18"/>
              </w:rPr>
              <w:t xml:space="preserve">3.4. Agentes y corredores: independencia y responsabilidad</w:t>
            </w:r>
          </w:p>
          <w:p>
            <w:pPr>
              <w:spacing w:after="40" w:line="260"/>
            </w:pPr>
            <w:r>
              <w:rPr>
                <w:rFonts w:ascii="Archivo" w:cs="Archivo" w:eastAsia="Archivo" w:hAnsi="Archivo"/>
                <w:sz w:val="18"/>
                <w:szCs w:val="18"/>
              </w:rPr>
              <w:t xml:space="preserve">3.5. El seguro de hogar vinculado a préstamo hipotecario</w:t>
            </w:r>
          </w:p>
          <w:p>
            <w:pPr>
              <w:spacing w:after="40" w:line="260"/>
            </w:pPr>
            <w:r>
              <w:rPr>
                <w:rFonts w:ascii="Archivo" w:cs="Archivo" w:eastAsia="Archivo" w:hAnsi="Archivo"/>
                <w:sz w:val="18"/>
                <w:szCs w:val="18"/>
              </w:rPr>
              <w:t xml:space="preserve">3.6. Ficha para el profesional</w:t>
            </w:r>
          </w:p>
          <w:p>
            <w:pPr>
              <w:spacing w:after="40" w:line="260"/>
            </w:pPr>
            <w:r>
              <w:rPr>
                <w:rFonts w:ascii="Archivo" w:cs="Archivo" w:eastAsia="Archivo" w:hAnsi="Archivo"/>
                <w:sz w:val="18"/>
                <w:szCs w:val="18"/>
              </w:rPr>
              <w:t xml:space="preserve">3.7. Ficha para el asegurado</w:t>
            </w:r>
          </w:p>
          <w:p>
            <w:pPr>
              <w:spacing w:after="40" w:line="260"/>
            </w:pPr>
            <w:r>
              <w:rPr>
                <w:rFonts w:ascii="Archivo" w:cs="Archivo" w:eastAsia="Archivo" w:hAnsi="Archivo"/>
                <w:sz w:val="18"/>
                <w:szCs w:val="18"/>
              </w:rPr>
              <w:t xml:space="preserve">3.8. Checklist: revisión de la fase precontractual</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antecede al estudio de la formación del contrato propiamente dicha para examinar la fase precontractual del seguro de hogar y el régimen de distribución de seguros introducido por el Real Decreto-ley 3/2020, en transposición de la Directiva (UE) 2016/97: los deberes de información y asesoramiento de mediadores y aseguradoras, la distinción funcional entre agentes y corredores, y el régimen especial del seguro vinculado a préstamo hipotecario, contexto en el que se contrata una parte muy significativa de las pólizas de hogar en España.</w:t>
            </w:r>
          </w:p>
          <w:p>
            <w:pPr>
              <w:spacing w:after="160"/>
            </w:pPr>
            <w:r>
              <w:rPr>
                <w:rFonts w:ascii="Archivo" w:cs="Archivo" w:eastAsia="Archivo" w:hAnsi="Archivo"/>
                <w:b/>
                <w:bCs/>
                <w:sz w:val="17"/>
                <w:szCs w:val="17"/>
              </w:rPr>
              <w:t xml:space="preserve">Palabras clave: distribución de seguros, mediador de seguros, agente, corredor, deber de asesoramiento, seguro vinculado a hipoteca.</w:t>
            </w:r>
          </w:p>
          <w:p>
            <w:pPr>
              <w:spacing w:after="100"/>
              <w:jc w:val="both"/>
            </w:pPr>
            <w:r>
              <w:rPr>
                <w:rFonts w:ascii="Archivo" w:cs="Archivo" w:eastAsia="Archivo" w:hAnsi="Archivo"/>
                <w:i/>
                <w:iCs/>
                <w:sz w:val="18"/>
                <w:szCs w:val="18"/>
              </w:rPr>
              <w:t xml:space="preserve">This chapter precedes the study of contract formation proper to examine the pre-contractual phase of homeowners' insurance and the insurance distribution regime introduced by Royal Decree-Law 3/2020, transposing Directive (EU) 2016/97: the information and advice duties of intermediaries and insurers, the functional distinction between tied agents and independent brokers, and the special regime for insurance linked to a mortgage loan, the context in which a very significant share of Spanish homeowners' policies are sold.</w:t>
            </w:r>
          </w:p>
          <w:p>
            <w:pPr>
              <w:spacing w:after="0"/>
            </w:pPr>
            <w:r>
              <w:rPr>
                <w:rFonts w:ascii="Archivo" w:cs="Archivo" w:eastAsia="Archivo" w:hAnsi="Archivo"/>
                <w:b/>
                <w:bCs/>
                <w:sz w:val="17"/>
                <w:szCs w:val="17"/>
              </w:rPr>
              <w:t xml:space="preserve">Keywords: insurance distribution, insurance intermediary, agent, broker, duty to advise, mortgage-linked insurance.</w:t>
            </w:r>
          </w:p>
        </w:tc>
      </w:tr>
    </w:tbl>
    <w:p>
      <w:pPr>
        <w:spacing w:after="200"/>
      </w:pPr>
    </w:p>
    <w:p>
      <w:pPr>
        <w:pStyle w:val="Heading2"/>
        <w:spacing w:after="160" w:before="400"/>
      </w:pPr>
      <w:r>
        <w:rPr>
          <w:rFonts w:ascii="Fraunces" w:cs="Fraunces" w:eastAsia="Fraunces" w:hAnsi="Fraunces"/>
          <w:b/>
          <w:bCs/>
          <w:color w:val="0A2540"/>
          <w:sz w:val="24"/>
          <w:szCs w:val="24"/>
        </w:rPr>
        <w:t xml:space="preserve">3.1. El régimen de distribución de seguros: mediadores, agentes, corredores y banca-seguros</w:t>
      </w:r>
    </w:p>
    <w:p>
      <w:pPr>
        <w:spacing w:after="180" w:line="300"/>
        <w:jc w:val="both"/>
      </w:pPr>
      <w:r>
        <w:rPr>
          <w:rFonts w:ascii="Archivo" w:cs="Archivo" w:eastAsia="Archivo" w:hAnsi="Archivo"/>
          <w:sz w:val="21"/>
          <w:szCs w:val="21"/>
        </w:rPr>
        <w:t xml:space="preserve">Una parte sustancial de la litigiosidad del seguro de hogar tiene su origen, no en el clausulado de la póliza, sino en lo ocurrido antes de firmarla: en qué se le explicó —o no se le explicó— al tomador sobre el alcance real de su cobertura. El Real Decreto-ley 3/2020, de 4 de febrero, que incorpora al ordenamiento español la Directiva (UE) 2016/97 sobre distribución de seguros, disciplina esta fase con un grado de detalle desconocido en la LCS de 1980</w:t>
      </w:r>
      <w:r>
        <w:rPr>
          <w:rStyle w:val="FootnoteReference"/>
        </w:rPr>
        <w:footnoteReference w:id="10"/>
      </w:r>
      <w:r>
        <w:rPr>
          <w:rFonts w:ascii="Archivo" w:cs="Archivo" w:eastAsia="Archivo" w:hAnsi="Archivo"/>
          <w:sz w:val="21"/>
          <w:szCs w:val="21"/>
        </w:rPr>
        <w:t xml:space="preserve">.</w:t>
      </w:r>
    </w:p>
    <w:p>
      <w:pPr>
        <w:spacing w:after="180" w:line="300"/>
        <w:jc w:val="both"/>
      </w:pPr>
      <w:r>
        <w:rPr>
          <w:rFonts w:ascii="Archivo" w:cs="Archivo" w:eastAsia="Archivo" w:hAnsi="Archivo"/>
          <w:sz w:val="21"/>
          <w:szCs w:val="21"/>
        </w:rPr>
        <w:t xml:space="preserve">El régimen distingue varias figuras de distribuidor que el profesional debe saber identificar en cada expediente, porque el origen de la contratación condiciona buena parte de la estrategia probatoria cuando se discute qué se explicó al tomador: la propia aseguradora, cuando vende directamente sus productos (incluida la contratación telefónica o por internet); los agentes de seguros, vinculados en exclusiva o casi exclusiva a una o varias aseguradoras determinadas; los corredores de seguros, que actúan con independencia de cualquier aseguradora concreta; y los operadores de banca-seguros, canal de distribución muy relevante en la práctica española por su conexión con la contratación de préstamos hipotecarios.</w:t>
      </w:r>
    </w:p>
    <w:p>
      <w:pPr>
        <w:pStyle w:val="Heading2"/>
        <w:spacing w:after="160" w:before="400"/>
      </w:pPr>
      <w:r>
        <w:rPr>
          <w:rFonts w:ascii="Fraunces" w:cs="Fraunces" w:eastAsia="Fraunces" w:hAnsi="Fraunces"/>
          <w:b/>
          <w:bCs/>
          <w:color w:val="0A2540"/>
          <w:sz w:val="24"/>
          <w:szCs w:val="24"/>
        </w:rPr>
        <w:t xml:space="preserve">3.2. Deberes generales de información precontractual del distribuidor</w:t>
      </w:r>
    </w:p>
    <w:p>
      <w:pPr>
        <w:spacing w:after="180" w:line="300"/>
        <w:jc w:val="both"/>
      </w:pPr>
      <w:r>
        <w:rPr>
          <w:rFonts w:ascii="Archivo" w:cs="Archivo" w:eastAsia="Archivo" w:hAnsi="Archivo"/>
          <w:sz w:val="21"/>
          <w:szCs w:val="21"/>
        </w:rPr>
        <w:t xml:space="preserve">Los arts. 173 y 174 del RD-ley 3/2020 imponen, respectivamente al mediador y a la propia aseguradora, un catálogo detallado de información que debe suministrarse al cliente con carácter previo a la contratación:</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173.1 RD-ley 3/2020 (extracto)</w:t>
            </w:r>
          </w:p>
          <w:p>
            <w:pPr>
              <w:spacing w:after="0" w:line="280"/>
              <w:jc w:val="both"/>
            </w:pPr>
            <w:r>
              <w:rPr>
                <w:rFonts w:ascii="IBM Plex Mono" w:cs="IBM Plex Mono" w:eastAsia="IBM Plex Mono" w:hAnsi="IBM Plex Mono"/>
                <w:i/>
                <w:iCs/>
                <w:color w:val="0A2540"/>
                <w:sz w:val="18"/>
                <w:szCs w:val="18"/>
              </w:rPr>
              <w:t xml:space="preserve">Antes de la celebración de un contrato de seguro, el mediador de seguros deberá proporcionar al cliente, con suficiente antelación, la información siguiente: a) Su identidad y dirección, así como su condición de mediador de seguros. b) Si ofrece asesoramiento en relación con los productos de seguro comercializados. [...] i) [...] si facilita asesoramiento basándose en un análisis objetivo y personalizado; está contractualmente obligado a realizar actividades de distribución de seguros exclusivamente con una, o [...] varias entidades aseguradoras [...]; o no está contractualmente obligado a realizar actividades de distribución de seguros exclusivamente con una o varias entidades aseguradoras [...]. j) La naturaleza de la remuneración recibida en relación con el contrato de seguro.</w:t>
            </w:r>
          </w:p>
        </w:tc>
      </w:tr>
    </w:tbl>
    <w:p>
      <w:pPr>
        <w:spacing w:after="180" w:line="300"/>
        <w:jc w:val="both"/>
      </w:pPr>
      <w:r>
        <w:rPr>
          <w:rFonts w:ascii="Archivo" w:cs="Archivo" w:eastAsia="Archivo" w:hAnsi="Archivo"/>
          <w:sz w:val="21"/>
          <w:szCs w:val="21"/>
        </w:rPr>
        <w:t xml:space="preserve">Esta información —en particular, si el distribuidor asesora con base en un análisis objetivo del mercado o se limita a ofrecer los productos de una o varias aseguradoras determinadas— resulta decisiva para valorar posteriormente el alcance del deber de asesoramiento efectivamente exigible en cada contratación concreta, estudiado en el epígrafe siguiente.</w:t>
      </w:r>
    </w:p>
    <w:p>
      <w:pPr>
        <w:pStyle w:val="Heading2"/>
        <w:spacing w:after="160" w:before="400"/>
      </w:pPr>
      <w:r>
        <w:rPr>
          <w:rFonts w:ascii="Fraunces" w:cs="Fraunces" w:eastAsia="Fraunces" w:hAnsi="Fraunces"/>
          <w:b/>
          <w:bCs/>
          <w:color w:val="0A2540"/>
          <w:sz w:val="24"/>
          <w:szCs w:val="24"/>
        </w:rPr>
        <w:t xml:space="preserve">3.3. El deber de asesoramiento y el test de exigencias y necesidades</w:t>
      </w:r>
    </w:p>
    <w:p>
      <w:pPr>
        <w:spacing w:after="180" w:line="300"/>
        <w:jc w:val="both"/>
      </w:pPr>
      <w:r>
        <w:rPr>
          <w:rFonts w:ascii="Archivo" w:cs="Archivo" w:eastAsia="Archivo" w:hAnsi="Archivo"/>
          <w:sz w:val="21"/>
          <w:szCs w:val="21"/>
        </w:rPr>
        <w:t xml:space="preserve">Más allá de la mera información sobre su propia condición, el distribuidor de seguros está sujeto a un deber activo de determinar las necesidades del cliente y de ofrecerle un producto adecuado a ellas, deber que se intensifica cuando el distribuidor declara prestar asesoramiento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175.1 y 175.2 RD-ley 3/2020</w:t>
            </w:r>
          </w:p>
          <w:p>
            <w:pPr>
              <w:spacing w:after="0" w:line="280"/>
              <w:jc w:val="both"/>
            </w:pPr>
            <w:r>
              <w:rPr>
                <w:rFonts w:ascii="IBM Plex Mono" w:cs="IBM Plex Mono" w:eastAsia="IBM Plex Mono" w:hAnsi="IBM Plex Mono"/>
                <w:i/>
                <w:iCs/>
                <w:color w:val="0A2540"/>
                <w:sz w:val="18"/>
                <w:szCs w:val="18"/>
              </w:rPr>
              <w:t xml:space="preserve">Antes de la celebración de un contrato de seguro, el distribuidor de seguros determinará, basándose en informaciones obtenidas del cliente, las exigencias y las necesidades de dicho cliente y facilitará al mismo información objetiva acerca del producto de seguro de forma comprensible, de modo que el cliente pueda tomar una decisión fundada. Cualquier contrato que se proponga debe respetar las exigencias y necesidades del cliente en materia de seguros. Si se facilita asesoramiento antes de la celebración de un contrato determinado, el distribuidor de seguros facilitará al cliente una recomendación personalizada en la que explique por qué un producto concreto satisfará mejor las exigencias y necesidades del cliente.</w:t>
            </w:r>
          </w:p>
        </w:tc>
      </w:tr>
    </w:tbl>
    <w:p>
      <w:pPr>
        <w:spacing w:after="180" w:line="300"/>
        <w:jc w:val="both"/>
      </w:pPr>
      <w:r>
        <w:rPr>
          <w:rFonts w:ascii="Archivo" w:cs="Archivo" w:eastAsia="Archivo" w:hAnsi="Archivo"/>
          <w:sz w:val="21"/>
          <w:szCs w:val="21"/>
        </w:rPr>
        <w:t xml:space="preserve">Trasladado a la práctica del hogar, este deber exige del distribuidor —sea agente, corredor o la propia aseguradora— algo más que limitarse a recabar los datos identificativos y la dirección del inmueble: debe indagar sobre el uso de la vivienda, la existencia de objetos de valor, la composición del núcleo familiar a efectos de la responsabilidad civil, y explicar de forma comprensible por qué el producto ofrecido, y no otro, se adapta a esas circunstancias. El incumplimiento de este deber, cuando resulta determinante de una contratación inadecuada a las necesidades reales del cliente, puede fundar una reclamación de responsabilidad frente al distribuidor —civil, e incluso profesional, distinta de la propia reclamación de cobertura frente a la aseguradora— cuya naturaleza y régimen se estudian en el epígrafe siguiente.</w:t>
      </w:r>
    </w:p>
    <w:p>
      <w:pPr>
        <w:pStyle w:val="Heading2"/>
        <w:spacing w:after="160" w:before="400"/>
      </w:pPr>
      <w:r>
        <w:rPr>
          <w:rFonts w:ascii="Fraunces" w:cs="Fraunces" w:eastAsia="Fraunces" w:hAnsi="Fraunces"/>
          <w:b/>
          <w:bCs/>
          <w:color w:val="0A2540"/>
          <w:sz w:val="24"/>
          <w:szCs w:val="24"/>
        </w:rPr>
        <w:t xml:space="preserve">3.4. Agentes y corredores: independencia y responsabilidad</w:t>
      </w:r>
    </w:p>
    <w:p>
      <w:pPr>
        <w:spacing w:after="180" w:line="300"/>
        <w:jc w:val="both"/>
      </w:pPr>
      <w:r>
        <w:rPr>
          <w:rFonts w:ascii="Archivo" w:cs="Archivo" w:eastAsia="Archivo" w:hAnsi="Archivo"/>
          <w:sz w:val="21"/>
          <w:szCs w:val="21"/>
        </w:rPr>
        <w:t xml:space="preserve">La distinción entre agentes y corredores de seguros, que la normativa vigente de distribución hereda de la ya derogada Ley 26/2006 y, antes, de la Ley 9/1992, tiene una relevancia práctica que trasciende lo puramente terminológico, según explica con particular claridad una sentencia ya clásica de la Sala Primera</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7 de febrero de 2007 (ROJ: STS 696/2007; ECLI:ES:TS:2007:696; MP: Marín Castán)</w:t>
            </w:r>
          </w:p>
          <w:p>
            <w:pPr>
              <w:spacing w:after="0" w:line="280"/>
              <w:jc w:val="both"/>
            </w:pPr>
            <w:r>
              <w:rPr>
                <w:rFonts w:ascii="Archivo" w:cs="Archivo" w:eastAsia="Archivo" w:hAnsi="Archivo"/>
                <w:color w:val="0A2540"/>
                <w:sz w:val="19"/>
                <w:szCs w:val="19"/>
              </w:rPr>
              <w:t xml:space="preserve">«Mientras los agentes de seguros actúan ante el consumidor de seguros creando necesariamente una apariencia de prolongación de la entidad aseguradora a la que se encuentran vinculados y ofrecen al posible tomador los seguros de dicha aseguradora, los corredores de seguros deben ofrecer un asesoramiento profesional fundado en su independencia y explicar al posible tomador del seguro las coberturas que, de entre las existentes en el mercado, mejor se adapten, a su juicio profesional, a las necesidades de quien se encuentra expuesto al riesgo [...]. El corredor de seguros [...] no sólo no actúa con el respaldo de las entidades de seguros sino que [...] debe estar libre de cualquier vínculo que suponga afección a las mismas.»</w:t>
            </w:r>
          </w:p>
        </w:tc>
      </w:tr>
    </w:tbl>
    <w:p>
      <w:pPr>
        <w:spacing w:after="180" w:line="300"/>
        <w:jc w:val="both"/>
      </w:pPr>
      <w:r>
        <w:rPr>
          <w:rFonts w:ascii="Archivo" w:cs="Archivo" w:eastAsia="Archivo" w:hAnsi="Archivo"/>
          <w:sz w:val="21"/>
          <w:szCs w:val="21"/>
        </w:rPr>
        <w:t xml:space="preserve">De esta distinción se deriva una consecuencia práctica de primer orden para el profesional que evalúa una eventual responsabilidad del distribuidor: el estándar de diligencia exigible a un corredor —comparar el mercado y recomendar la opción objetivamente más adecuada— es sustancialmente más exigente que el exigible a un agente, cuyo papel es representar y ofrecer los productos de la aseguradora a la que está vinculado, sin que quepa reprocharle, con carácter general, no haber comparado con ofertas de la competencia.</w:t>
      </w:r>
    </w:p>
    <w:p>
      <w:pPr>
        <w:pStyle w:val="Heading2"/>
        <w:spacing w:after="160" w:before="400"/>
      </w:pPr>
      <w:r>
        <w:rPr>
          <w:rFonts w:ascii="Fraunces" w:cs="Fraunces" w:eastAsia="Fraunces" w:hAnsi="Fraunces"/>
          <w:b/>
          <w:bCs/>
          <w:color w:val="0A2540"/>
          <w:sz w:val="24"/>
          <w:szCs w:val="24"/>
        </w:rPr>
        <w:t xml:space="preserve">3.5. El seguro de hogar vinculado a préstamo hipotecario</w:t>
      </w:r>
    </w:p>
    <w:p>
      <w:pPr>
        <w:spacing w:after="180" w:line="300"/>
        <w:jc w:val="both"/>
      </w:pPr>
      <w:r>
        <w:rPr>
          <w:rFonts w:ascii="Archivo" w:cs="Archivo" w:eastAsia="Archivo" w:hAnsi="Archivo"/>
          <w:sz w:val="21"/>
          <w:szCs w:val="21"/>
        </w:rPr>
        <w:t xml:space="preserve">Una parte muy relevante de la contratación de seguros de hogar en España se produce en el contexto de la formalización de un préstamo hipotecario, en el que la entidad financiera exige la contratación de un seguro de daños sobre el inmueble como condición del préstamo. La Ley 5/2019, reguladora de los contratos de crédito inmobiliario, disciplina con detalle esta práctica, en principio prohibida como venta vinculada salvo la excepción específica que la propia ley contempla para el seguro de daños del inmueble hipotecado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17.3 Ley 5/2019 (extracto)</w:t>
            </w:r>
          </w:p>
          <w:p>
            <w:pPr>
              <w:spacing w:after="0" w:line="280"/>
              <w:jc w:val="both"/>
            </w:pPr>
            <w:r>
              <w:rPr>
                <w:rFonts w:ascii="IBM Plex Mono" w:cs="IBM Plex Mono" w:eastAsia="IBM Plex Mono" w:hAnsi="IBM Plex Mono"/>
                <w:i/>
                <w:iCs/>
                <w:color w:val="0A2540"/>
                <w:sz w:val="18"/>
                <w:szCs w:val="18"/>
              </w:rPr>
              <w:t xml:space="preserve">Como excepción a la prohibición de las prácticas de venta vinculada [...], los prestamistas o intermediarios de crédito inmobiliario podrán exigir al prestatario la suscripción de una póliza de seguro en garantía del cumplimiento de las obligaciones del contrato de préstamo, así como la suscripción de un seguro de daños respecto del inmueble objeto de hipoteca [...]. En este caso el prestamista deberá aceptar pólizas alternativas de todos aquellos proveedores que ofrezcan unas condiciones y un nivel de prestaciones equivalentes a la que aquel hubiera propuesto [...]. El prestamista no podrá cobrar comisión o gasto alguno por el análisis de las pólizas alternativas [...]. La aceptación por el prestamista de una póliza alternativa [...] no podrá suponer empeoramiento en las condiciones de cualquier naturaleza del préstamo.</w:t>
            </w:r>
          </w:p>
        </w:tc>
      </w:tr>
    </w:tbl>
    <w:p>
      <w:pPr>
        <w:spacing w:after="180" w:line="300"/>
        <w:jc w:val="both"/>
      </w:pPr>
      <w:r>
        <w:rPr>
          <w:rFonts w:ascii="Archivo" w:cs="Archivo" w:eastAsia="Archivo" w:hAnsi="Archivo"/>
          <w:sz w:val="21"/>
          <w:szCs w:val="21"/>
        </w:rPr>
        <w:t xml:space="preserve">El derecho del prestatario a sustituir la póliza ofrecida por la propia entidad financiera por una póliza alternativa de condiciones equivalentes, sin coste de análisis ni empeoramiento de las condiciones del préstamo, es una de las herramientas de mayor rentabilidad práctica —y más desconocidas por el consumidor medio— en la contratación del seguro de hogar vinculado a hipoteca: permite, en la práctica, contratar la cobertura de daños con la aseguradora que el cliente prefiera, siempre que acredite un nivel de prestaciones equivalente al exigido por la entidad prestamista.</w:t>
      </w:r>
    </w:p>
    <w:p>
      <w:pPr>
        <w:pStyle w:val="Heading2"/>
        <w:spacing w:after="160" w:before="400"/>
      </w:pPr>
      <w:r>
        <w:rPr>
          <w:rFonts w:ascii="Fraunces" w:cs="Fraunces" w:eastAsia="Fraunces" w:hAnsi="Fraunces"/>
          <w:b/>
          <w:bCs/>
          <w:color w:val="0A2540"/>
          <w:sz w:val="24"/>
          <w:szCs w:val="24"/>
        </w:rPr>
        <w:t xml:space="preserve">3.6.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en la fase precontractual</w:t>
            </w:r>
          </w:p>
          <w:p>
            <w:pPr>
              <w:pStyle w:val="ListParagraph"/>
              <w:numPr>
                <w:ilvl w:val="0"/>
                <w:numId w:val="2"/>
              </w:numPr>
              <w:spacing w:after="80" w:line="280"/>
            </w:pPr>
            <w:r>
              <w:rPr>
                <w:rFonts w:ascii="Archivo" w:cs="Archivo" w:eastAsia="Archivo" w:hAnsi="Archivo"/>
                <w:sz w:val="19"/>
                <w:szCs w:val="19"/>
              </w:rPr>
              <w:t xml:space="preserve">Identificar el canal de distribución por el que se contrató la póliza (aseguradora directa, agente, corredor, banca-seguros) y su relevancia sobre el estándar de asesoramiento exigible.</w:t>
            </w:r>
          </w:p>
          <w:p>
            <w:pPr>
              <w:pStyle w:val="ListParagraph"/>
              <w:numPr>
                <w:ilvl w:val="0"/>
                <w:numId w:val="2"/>
              </w:numPr>
              <w:spacing w:after="80" w:line="280"/>
            </w:pPr>
            <w:r>
              <w:rPr>
                <w:rFonts w:ascii="Archivo" w:cs="Archivo" w:eastAsia="Archivo" w:hAnsi="Archivo"/>
                <w:sz w:val="19"/>
                <w:szCs w:val="19"/>
              </w:rPr>
              <w:t xml:space="preserve">Reclamar y conservar la documentación de información precontractual (arts. 173-174 RD-ley 3/2020) y, en su caso, la recomendación personalizada del art. 175.2.</w:t>
            </w:r>
          </w:p>
          <w:p>
            <w:pPr>
              <w:pStyle w:val="ListParagraph"/>
              <w:numPr>
                <w:ilvl w:val="0"/>
                <w:numId w:val="2"/>
              </w:numPr>
              <w:spacing w:after="80" w:line="280"/>
            </w:pPr>
            <w:r>
              <w:rPr>
                <w:rFonts w:ascii="Archivo" w:cs="Archivo" w:eastAsia="Archivo" w:hAnsi="Archivo"/>
                <w:sz w:val="19"/>
                <w:szCs w:val="19"/>
              </w:rPr>
              <w:t xml:space="preserve">Ante un corredor, valorar si concurrió un auténtico análisis comparativo del mercado adecuado a las necesidades del cliente, conforme al estándar reforzado de la STS 696/2007 (ROJ: STS 696/2007).</w:t>
            </w:r>
          </w:p>
          <w:p>
            <w:pPr>
              <w:pStyle w:val="ListParagraph"/>
              <w:numPr>
                <w:ilvl w:val="0"/>
                <w:numId w:val="2"/>
              </w:numPr>
              <w:spacing w:after="80" w:line="280"/>
            </w:pPr>
            <w:r>
              <w:rPr>
                <w:rFonts w:ascii="Archivo" w:cs="Archivo" w:eastAsia="Archivo" w:hAnsi="Archivo"/>
                <w:sz w:val="19"/>
                <w:szCs w:val="19"/>
              </w:rPr>
              <w:t xml:space="preserve">En seguros vinculados a préstamo hipotecario, verificar si el cliente conocía y pudo ejercer su derecho a la póliza alternativa del art. 17.3 de la Ley 5/2019.</w:t>
            </w:r>
          </w:p>
        </w:tc>
      </w:tr>
    </w:tbl>
    <w:p>
      <w:pPr>
        <w:pStyle w:val="Heading2"/>
        <w:spacing w:after="160" w:before="400"/>
      </w:pPr>
      <w:r>
        <w:rPr>
          <w:rFonts w:ascii="Fraunces" w:cs="Fraunces" w:eastAsia="Fraunces" w:hAnsi="Fraunces"/>
          <w:b/>
          <w:bCs/>
          <w:color w:val="0A2540"/>
          <w:sz w:val="24"/>
          <w:szCs w:val="24"/>
        </w:rPr>
        <w:t xml:space="preserve">3.7.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antes de contratar su seguro de hogar</w:t>
            </w:r>
          </w:p>
          <w:p>
            <w:pPr>
              <w:pStyle w:val="ListParagraph"/>
              <w:numPr>
                <w:ilvl w:val="0"/>
                <w:numId w:val="2"/>
              </w:numPr>
              <w:spacing w:after="80" w:line="280"/>
            </w:pPr>
            <w:r>
              <w:rPr>
                <w:rFonts w:ascii="Archivo" w:cs="Archivo" w:eastAsia="Archivo" w:hAnsi="Archivo"/>
                <w:sz w:val="19"/>
                <w:szCs w:val="19"/>
              </w:rPr>
              <w:t xml:space="preserve">Pregunte a quien le vende el seguro si le asesora comparando el mercado (corredor) o solo le ofrece los productos de una compañía (agente): el nivel de comparación que puede esperar es distinto.</w:t>
            </w:r>
          </w:p>
          <w:p>
            <w:pPr>
              <w:pStyle w:val="ListParagraph"/>
              <w:numPr>
                <w:ilvl w:val="0"/>
                <w:numId w:val="2"/>
              </w:numPr>
              <w:spacing w:after="80" w:line="280"/>
            </w:pPr>
            <w:r>
              <w:rPr>
                <w:rFonts w:ascii="Archivo" w:cs="Archivo" w:eastAsia="Archivo" w:hAnsi="Archivo"/>
                <w:sz w:val="19"/>
                <w:szCs w:val="19"/>
              </w:rPr>
              <w:t xml:space="preserve">Exija que le expliquen por qué ese producto concreto se adapta a sus necesidades, no solo su precio.</w:t>
            </w:r>
          </w:p>
          <w:p>
            <w:pPr>
              <w:pStyle w:val="ListParagraph"/>
              <w:numPr>
                <w:ilvl w:val="0"/>
                <w:numId w:val="2"/>
              </w:numPr>
              <w:spacing w:after="80" w:line="280"/>
            </w:pPr>
            <w:r>
              <w:rPr>
                <w:rFonts w:ascii="Archivo" w:cs="Archivo" w:eastAsia="Archivo" w:hAnsi="Archivo"/>
                <w:sz w:val="19"/>
                <w:szCs w:val="19"/>
              </w:rPr>
              <w:t xml:space="preserve">Si su banco le exige un seguro de hogar para concederle la hipoteca, sepa que tiene derecho a contratarlo con la aseguradora que prefiera, siempre que ofrezca coberturas equivalentes, sin que ello pueda empeorar las condiciones de su préstamo.</w:t>
            </w:r>
          </w:p>
          <w:p>
            <w:pPr>
              <w:pStyle w:val="ListParagraph"/>
              <w:numPr>
                <w:ilvl w:val="0"/>
                <w:numId w:val="2"/>
              </w:numPr>
              <w:spacing w:after="80" w:line="280"/>
            </w:pPr>
            <w:r>
              <w:rPr>
                <w:rFonts w:ascii="Archivo" w:cs="Archivo" w:eastAsia="Archivo" w:hAnsi="Archivo"/>
                <w:sz w:val="19"/>
                <w:szCs w:val="19"/>
              </w:rPr>
              <w:t xml:space="preserve">Guarde toda la documentación informativa que le entreguen antes de firmar: puede ser decisiva si más adelante hay una discrepancia sobre lo que se le explicó.</w:t>
            </w:r>
          </w:p>
        </w:tc>
      </w:tr>
    </w:tbl>
    <w:p>
      <w:pPr>
        <w:pStyle w:val="Heading2"/>
        <w:spacing w:after="160" w:before="400"/>
      </w:pPr>
      <w:r>
        <w:rPr>
          <w:rFonts w:ascii="Fraunces" w:cs="Fraunces" w:eastAsia="Fraunces" w:hAnsi="Fraunces"/>
          <w:b/>
          <w:bCs/>
          <w:color w:val="0A2540"/>
          <w:sz w:val="24"/>
          <w:szCs w:val="24"/>
        </w:rPr>
        <w:t xml:space="preserve">3.8. Checklist: revisión de la fase precontractual</w:t>
      </w:r>
    </w:p>
    <w:p>
      <w:pPr>
        <w:pStyle w:val="ListParagraph"/>
        <w:numPr>
          <w:ilvl w:val="0"/>
          <w:numId w:val="2"/>
        </w:numPr>
        <w:spacing w:after="100" w:line="290"/>
      </w:pPr>
      <w:r>
        <w:rPr>
          <w:rFonts w:ascii="Archivo" w:cs="Archivo" w:eastAsia="Archivo" w:hAnsi="Archivo"/>
          <w:sz w:val="21"/>
          <w:szCs w:val="21"/>
        </w:rPr>
        <w:t xml:space="preserve">1. ¿Por qué canal se contrató la póliza (aseguradora directa, agente, corredor, banca-seguros)?</w:t>
      </w:r>
    </w:p>
    <w:p>
      <w:pPr>
        <w:pStyle w:val="ListParagraph"/>
        <w:numPr>
          <w:ilvl w:val="0"/>
          <w:numId w:val="2"/>
        </w:numPr>
        <w:spacing w:after="100" w:line="290"/>
      </w:pPr>
      <w:r>
        <w:rPr>
          <w:rFonts w:ascii="Archivo" w:cs="Archivo" w:eastAsia="Archivo" w:hAnsi="Archivo"/>
          <w:sz w:val="21"/>
          <w:szCs w:val="21"/>
        </w:rPr>
        <w:t xml:space="preserve">2. ¿Se entregó la información precontractual exigida por los arts. 173-174 RD-ley 3/2020?</w:t>
      </w:r>
    </w:p>
    <w:p>
      <w:pPr>
        <w:pStyle w:val="ListParagraph"/>
        <w:numPr>
          <w:ilvl w:val="0"/>
          <w:numId w:val="2"/>
        </w:numPr>
        <w:spacing w:after="100" w:line="290"/>
      </w:pPr>
      <w:r>
        <w:rPr>
          <w:rFonts w:ascii="Archivo" w:cs="Archivo" w:eastAsia="Archivo" w:hAnsi="Archivo"/>
          <w:sz w:val="21"/>
          <w:szCs w:val="21"/>
        </w:rPr>
        <w:t xml:space="preserve">3. ¿Se ofreció asesoramiento? En tal caso, ¿existe recomendación personalizada documentada (art. 175.2)?</w:t>
      </w:r>
    </w:p>
    <w:p>
      <w:pPr>
        <w:pStyle w:val="ListParagraph"/>
        <w:numPr>
          <w:ilvl w:val="0"/>
          <w:numId w:val="2"/>
        </w:numPr>
        <w:spacing w:after="100" w:line="290"/>
      </w:pPr>
      <w:r>
        <w:rPr>
          <w:rFonts w:ascii="Archivo" w:cs="Archivo" w:eastAsia="Archivo" w:hAnsi="Archivo"/>
          <w:sz w:val="21"/>
          <w:szCs w:val="21"/>
        </w:rPr>
        <w:t xml:space="preserve">4. Si el distribuidor era corredor, ¿comparó realmente el mercado o se limitó a ofrecer un único producto?</w:t>
      </w:r>
    </w:p>
    <w:p>
      <w:pPr>
        <w:pStyle w:val="ListParagraph"/>
        <w:numPr>
          <w:ilvl w:val="0"/>
          <w:numId w:val="2"/>
        </w:numPr>
        <w:spacing w:after="100" w:line="290"/>
      </w:pPr>
      <w:r>
        <w:rPr>
          <w:rFonts w:ascii="Archivo" w:cs="Archivo" w:eastAsia="Archivo" w:hAnsi="Archivo"/>
          <w:sz w:val="21"/>
          <w:szCs w:val="21"/>
        </w:rPr>
        <w:t xml:space="preserve">5. Si el seguro está vinculado a una hipoteca, ¿se informó al cliente de su derecho a una póliza alternativa (art. 17.3 Ley 5/2019)?</w:t>
      </w:r>
    </w:p>
    <w:p>
      <w:pPr>
        <w:pStyle w:val="ListParagraph"/>
        <w:numPr>
          <w:ilvl w:val="0"/>
          <w:numId w:val="2"/>
        </w:numPr>
        <w:spacing w:after="100" w:line="290"/>
      </w:pPr>
      <w:r>
        <w:rPr>
          <w:rFonts w:ascii="Archivo" w:cs="Archivo" w:eastAsia="Archivo" w:hAnsi="Archivo"/>
          <w:sz w:val="21"/>
          <w:szCs w:val="21"/>
        </w:rPr>
        <w:t xml:space="preserve">6. ¿Existen indicios de incumplimiento del deber de asesoramiento que puedan fundar una reclamación autónoma frente al distribuidor?</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4. </w:t>
      </w:r>
      <w:r>
        <w:rPr>
          <w:rFonts w:ascii="Fraunces" w:cs="Fraunces" w:eastAsia="Fraunces" w:hAnsi="Fraunces"/>
          <w:b/>
          <w:bCs/>
          <w:color w:val="0A2540"/>
          <w:sz w:val="30"/>
          <w:szCs w:val="30"/>
        </w:rPr>
        <w:t xml:space="preserve">Formación del contrato y deber de declaración del riesgo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3.1. Fases de formación del contrato: solicitud, proposición y perfección (arts. 5 y 6 LCS)</w:t>
            </w:r>
          </w:p>
          <w:p>
            <w:pPr>
              <w:spacing w:after="40" w:line="260"/>
            </w:pPr>
            <w:r>
              <w:rPr>
                <w:rFonts w:ascii="Archivo" w:cs="Archivo" w:eastAsia="Archivo" w:hAnsi="Archivo"/>
                <w:sz w:val="18"/>
                <w:szCs w:val="18"/>
              </w:rPr>
              <w:t xml:space="preserve">3.2. El deber precontractual de declaración del riesgo (art. 10 LCS)</w:t>
            </w:r>
          </w:p>
          <w:p>
            <w:pPr>
              <w:spacing w:after="40" w:line="260"/>
            </w:pPr>
            <w:r>
              <w:rPr>
                <w:rFonts w:ascii="Archivo" w:cs="Archivo" w:eastAsia="Archivo" w:hAnsi="Archivo"/>
                <w:sz w:val="18"/>
                <w:szCs w:val="18"/>
              </w:rPr>
              <w:t xml:space="preserve">3.3. Consecuencias del incumplimiento del deber de declaración</w:t>
            </w:r>
          </w:p>
          <w:p>
            <w:pPr>
              <w:spacing w:after="40" w:line="260"/>
            </w:pPr>
            <w:r>
              <w:rPr>
                <w:rFonts w:ascii="Archivo" w:cs="Archivo" w:eastAsia="Archivo" w:hAnsi="Archivo"/>
                <w:sz w:val="18"/>
                <w:szCs w:val="18"/>
              </w:rPr>
              <w:t xml:space="preserve">3.3.1. La agravación del riesgo durante la vigencia del contrato (arts. 11 y 12 LCS)</w:t>
            </w:r>
          </w:p>
          <w:p>
            <w:pPr>
              <w:spacing w:after="40" w:line="260"/>
            </w:pPr>
            <w:r>
              <w:rPr>
                <w:rFonts w:ascii="Archivo" w:cs="Archivo" w:eastAsia="Archivo" w:hAnsi="Archivo"/>
                <w:sz w:val="18"/>
                <w:szCs w:val="18"/>
              </w:rPr>
              <w:t xml:space="preserve">3.4. El pago de la prima y sus consecuencias (art. 15 LCS)</w:t>
            </w:r>
          </w:p>
          <w:p>
            <w:pPr>
              <w:spacing w:after="40" w:line="260"/>
            </w:pPr>
            <w:r>
              <w:rPr>
                <w:rFonts w:ascii="Archivo" w:cs="Archivo" w:eastAsia="Archivo" w:hAnsi="Archivo"/>
                <w:sz w:val="18"/>
                <w:szCs w:val="18"/>
              </w:rPr>
              <w:t xml:space="preserve">3.5. Duración, prórroga y oposición a la renovación (art. 22 LCS)</w:t>
            </w:r>
          </w:p>
          <w:p>
            <w:pPr>
              <w:spacing w:after="40" w:line="260"/>
            </w:pPr>
            <w:r>
              <w:rPr>
                <w:rFonts w:ascii="Archivo" w:cs="Archivo" w:eastAsia="Archivo" w:hAnsi="Archivo"/>
                <w:sz w:val="18"/>
                <w:szCs w:val="18"/>
              </w:rPr>
              <w:t xml:space="preserve">3.6. Ficha para el profesional</w:t>
            </w:r>
          </w:p>
          <w:p>
            <w:pPr>
              <w:spacing w:after="40" w:line="260"/>
            </w:pPr>
            <w:r>
              <w:rPr>
                <w:rFonts w:ascii="Archivo" w:cs="Archivo" w:eastAsia="Archivo" w:hAnsi="Archivo"/>
                <w:sz w:val="18"/>
                <w:szCs w:val="18"/>
              </w:rPr>
              <w:t xml:space="preserve">3.7. Ficha para el asegurado</w:t>
            </w:r>
          </w:p>
          <w:p>
            <w:pPr>
              <w:spacing w:after="40" w:line="260"/>
            </w:pPr>
            <w:r>
              <w:rPr>
                <w:rFonts w:ascii="Archivo" w:cs="Archivo" w:eastAsia="Archivo" w:hAnsi="Archivo"/>
                <w:sz w:val="18"/>
                <w:szCs w:val="18"/>
              </w:rPr>
              <w:t xml:space="preserve">3.8. Checklist: el cuestionario de riesgo en el seguro de hogar</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estudia el iter contractual del seguro de hogar desde la solicitud hasta la perfección del contrato, con especial atención al deber precontractual de declaración del riesgo del art. 10 LCS —cuya reforma por el Real Decreto-ley 5/2023 reforzó la exigencia de cuestionario a cargo del asegurador— y a la agravación sobrevenida del riesgo del art. 11 LCS, dos de los mecanismos de control de la asimetría informativa entre tomador y asegurador más invocados en la litigación del ramo.</w:t>
            </w:r>
          </w:p>
          <w:p>
            <w:pPr>
              <w:spacing w:after="160"/>
            </w:pPr>
            <w:r>
              <w:rPr>
                <w:rFonts w:ascii="Archivo" w:cs="Archivo" w:eastAsia="Archivo" w:hAnsi="Archivo"/>
                <w:b/>
                <w:bCs/>
                <w:sz w:val="17"/>
                <w:szCs w:val="17"/>
              </w:rPr>
              <w:t xml:space="preserve">Palabras clave: formación del contrato de seguro, cuestionario de riesgo, art. 10 LCS, declaración del riesgo, agravación del riesgo, dolo, culpa grave.</w:t>
            </w:r>
          </w:p>
          <w:p>
            <w:pPr>
              <w:spacing w:after="100"/>
              <w:jc w:val="both"/>
            </w:pPr>
            <w:r>
              <w:rPr>
                <w:rFonts w:ascii="Archivo" w:cs="Archivo" w:eastAsia="Archivo" w:hAnsi="Archivo"/>
                <w:i/>
                <w:iCs/>
                <w:sz w:val="18"/>
                <w:szCs w:val="18"/>
              </w:rPr>
              <w:t xml:space="preserve">This chapter traces the formation of the homeowners' insurance contract, from application to perfection, focusing on the policyholder's pre-contractual duty to disclose risk-relevant circumstances under Article 10 of the Spanish Insurance Contract Act —reinforced by the 2023 reform requiring a insurer-drafted questionnaire— and on the aggravation-of-risk duty under Article 11, two of the principal mechanisms addressing information asymmetry in insurance litigation.</w:t>
            </w:r>
          </w:p>
          <w:p>
            <w:pPr>
              <w:spacing w:after="0"/>
            </w:pPr>
            <w:r>
              <w:rPr>
                <w:rFonts w:ascii="Archivo" w:cs="Archivo" w:eastAsia="Archivo" w:hAnsi="Archivo"/>
                <w:b/>
                <w:bCs/>
                <w:sz w:val="17"/>
                <w:szCs w:val="17"/>
              </w:rPr>
              <w:t xml:space="preserve">Keywords: contract formation, risk questionnaire, disclosure duty, risk aggravation, wilful misconduct, gross negligence.</w:t>
            </w:r>
          </w:p>
        </w:tc>
      </w:tr>
    </w:tbl>
    <w:p>
      <w:pPr>
        <w:spacing w:after="200"/>
      </w:pPr>
    </w:p>
    <w:p>
      <w:pPr>
        <w:pStyle w:val="Heading2"/>
        <w:spacing w:after="160" w:before="400"/>
      </w:pPr>
      <w:r>
        <w:rPr>
          <w:rFonts w:ascii="Fraunces" w:cs="Fraunces" w:eastAsia="Fraunces" w:hAnsi="Fraunces"/>
          <w:b/>
          <w:bCs/>
          <w:color w:val="0A2540"/>
          <w:sz w:val="24"/>
          <w:szCs w:val="24"/>
        </w:rPr>
        <w:t xml:space="preserve">3.1. Fases de formación del contrato: solicitud, proposición y perfección</w:t>
      </w:r>
    </w:p>
    <w:p>
      <w:pPr>
        <w:spacing w:after="180" w:line="300"/>
        <w:jc w:val="both"/>
      </w:pPr>
      <w:r>
        <w:rPr>
          <w:rFonts w:ascii="Archivo" w:cs="Archivo" w:eastAsia="Archivo" w:hAnsi="Archivo"/>
          <w:sz w:val="21"/>
          <w:szCs w:val="21"/>
        </w:rPr>
        <w:t xml:space="preserve">La LCS distingue con precisión tres momentos en el iter contractual, cuya correcta identificación resulta relevante para determinar, entre otras cosas, desde cuándo corre la cobertura provisional: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6 LCS</w:t>
            </w:r>
          </w:p>
          <w:p>
            <w:pPr>
              <w:spacing w:after="0" w:line="280"/>
              <w:jc w:val="both"/>
            </w:pPr>
            <w:r>
              <w:rPr>
                <w:rFonts w:ascii="IBM Plex Mono" w:cs="IBM Plex Mono" w:eastAsia="IBM Plex Mono" w:hAnsi="IBM Plex Mono"/>
                <w:i/>
                <w:iCs/>
                <w:color w:val="0A2540"/>
                <w:sz w:val="18"/>
                <w:szCs w:val="18"/>
              </w:rPr>
              <w:t xml:space="preserve">La solicitud de seguro no vinculará al solicitante. La proposición de seguro por el asegurador vinculará al proponente durante un plazo de quince días. Por acuerdo de las partes, los efectos del seguro podrán retrotraerse al momento en que se presentó la solicitud o se formuló la proposición.</w:t>
            </w:r>
          </w:p>
        </w:tc>
      </w:tr>
    </w:tbl>
    <w:p>
      <w:pPr>
        <w:pStyle w:val="ListParagraph"/>
        <w:numPr>
          <w:ilvl w:val="0"/>
          <w:numId w:val="2"/>
        </w:numPr>
        <w:spacing w:after="100" w:line="290"/>
      </w:pPr>
      <w:r>
        <w:rPr>
          <w:rFonts w:ascii="Archivo" w:cs="Archivo" w:eastAsia="Archivo" w:hAnsi="Archivo"/>
          <w:b/>
          <w:bCs/>
          <w:sz w:val="21"/>
          <w:szCs w:val="21"/>
        </w:rPr>
        <w:t xml:space="preserve">Solicitud: </w:t>
      </w:r>
      <w:r>
        <w:rPr>
          <w:rFonts w:ascii="Archivo" w:cs="Archivo" w:eastAsia="Archivo" w:hAnsi="Archivo"/>
          <w:sz w:val="21"/>
          <w:szCs w:val="21"/>
        </w:rPr>
        <w:t xml:space="preserve">la petición inicial del futuro tomador, que no genera vínculo alguno; puede retirarse libremente.</w:t>
      </w:r>
    </w:p>
    <w:p>
      <w:pPr>
        <w:pStyle w:val="ListParagraph"/>
        <w:numPr>
          <w:ilvl w:val="0"/>
          <w:numId w:val="2"/>
        </w:numPr>
        <w:spacing w:after="100" w:line="290"/>
      </w:pPr>
      <w:r>
        <w:rPr>
          <w:rFonts w:ascii="Archivo" w:cs="Archivo" w:eastAsia="Archivo" w:hAnsi="Archivo"/>
          <w:b/>
          <w:bCs/>
          <w:sz w:val="21"/>
          <w:szCs w:val="21"/>
        </w:rPr>
        <w:t xml:space="preserve">Proposición de seguro: </w:t>
      </w:r>
      <w:r>
        <w:rPr>
          <w:rFonts w:ascii="Archivo" w:cs="Archivo" w:eastAsia="Archivo" w:hAnsi="Archivo"/>
          <w:sz w:val="21"/>
          <w:szCs w:val="21"/>
        </w:rPr>
        <w:t xml:space="preserve">la oferta formal del asegurador, que sí le vincula durante quince días. Es sobre este documento —cuando existe— sobre el que debe verificarse la coherencia posterior de la póliza, conforme al mecanismo de subsanación del art. 8 LCS estudiado en el capítulo 2.</w:t>
      </w:r>
    </w:p>
    <w:p>
      <w:pPr>
        <w:pStyle w:val="ListParagraph"/>
        <w:numPr>
          <w:ilvl w:val="0"/>
          <w:numId w:val="2"/>
        </w:numPr>
        <w:spacing w:after="100" w:line="290"/>
      </w:pPr>
      <w:r>
        <w:rPr>
          <w:rFonts w:ascii="Archivo" w:cs="Archivo" w:eastAsia="Archivo" w:hAnsi="Archivo"/>
          <w:b/>
          <w:bCs/>
          <w:sz w:val="21"/>
          <w:szCs w:val="21"/>
        </w:rPr>
        <w:t xml:space="preserve">Perfección y formalización: </w:t>
      </w:r>
      <w:r>
        <w:rPr>
          <w:rFonts w:ascii="Archivo" w:cs="Archivo" w:eastAsia="Archivo" w:hAnsi="Archivo"/>
          <w:sz w:val="21"/>
          <w:szCs w:val="21"/>
        </w:rPr>
        <w:t xml:space="preserve">el contrato de seguro es consensual, pero la LCS exige su formalización escrita como requisito de constancia y prueba, no de validez ad solemnitatem.</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5 LCS</w:t>
            </w:r>
          </w:p>
          <w:p>
            <w:pPr>
              <w:spacing w:after="0" w:line="280"/>
              <w:jc w:val="both"/>
            </w:pPr>
            <w:r>
              <w:rPr>
                <w:rFonts w:ascii="IBM Plex Mono" w:cs="IBM Plex Mono" w:eastAsia="IBM Plex Mono" w:hAnsi="IBM Plex Mono"/>
                <w:i/>
                <w:iCs/>
                <w:color w:val="0A2540"/>
                <w:sz w:val="18"/>
                <w:szCs w:val="18"/>
              </w:rPr>
              <w:t xml:space="preserve">El contrato de seguro y sus modificaciones o adiciones deberán ser formalizadas por escrito. El asegurador está obligado a entregar al tomador del seguro la póliza o, al menos, el documento de cobertura provisional.</w:t>
            </w:r>
          </w:p>
        </w:tc>
      </w:tr>
    </w:tbl>
    <w:p>
      <w:pPr>
        <w:pStyle w:val="Heading2"/>
        <w:spacing w:after="160" w:before="400"/>
      </w:pPr>
      <w:r>
        <w:rPr>
          <w:rFonts w:ascii="Fraunces" w:cs="Fraunces" w:eastAsia="Fraunces" w:hAnsi="Fraunces"/>
          <w:b/>
          <w:bCs/>
          <w:color w:val="0A2540"/>
          <w:sz w:val="24"/>
          <w:szCs w:val="24"/>
        </w:rPr>
        <w:t xml:space="preserve">3.2. El deber precontractual de declaración del riesgo</w:t>
      </w:r>
    </w:p>
    <w:p>
      <w:pPr>
        <w:spacing w:after="180" w:line="300"/>
        <w:jc w:val="both"/>
      </w:pPr>
      <w:r>
        <w:rPr>
          <w:rFonts w:ascii="Archivo" w:cs="Archivo" w:eastAsia="Archivo" w:hAnsi="Archivo"/>
          <w:sz w:val="21"/>
          <w:szCs w:val="21"/>
        </w:rPr>
        <w:t xml:space="preserve">El artículo 10 LCS es, junto con el artículo 3, el precepto que con mayor frecuencia protagoniza la litigación sobre denegación de cobertura en el seguro de hogar. Su redacción vigente —resultante de la reforma operada por el Real Decreto-ley 5/2023, de 27 de junio— acentuó sustancialmente la posición del tomador frente a la práctica anterior, centrada en un modelo de "declaración espontánea" del riesgo</w:t>
      </w:r>
      <w:r>
        <w:rPr>
          <w:rStyle w:val="FootnoteReference"/>
        </w:rPr>
        <w:footnoteReference w:id="11"/>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10 LCS</w:t>
            </w:r>
          </w:p>
          <w:p>
            <w:pPr>
              <w:spacing w:after="0" w:line="280"/>
              <w:jc w:val="both"/>
            </w:pPr>
            <w:r>
              <w:rPr>
                <w:rFonts w:ascii="IBM Plex Mono" w:cs="IBM Plex Mono" w:eastAsia="IBM Plex Mono" w:hAnsi="IBM Plex Mono"/>
                <w:i/>
                <w:iCs/>
                <w:color w:val="0A2540"/>
                <w:sz w:val="18"/>
                <w:szCs w:val="18"/>
              </w:rPr>
              <w:t xml:space="preserve">El tomador del seguro tiene el deber, antes de la conclusión del contrato, de declarar al asegurador, de acuerdo con el cuestionario que éste le someta, todas las circunstancias por él conocidas que puedan influir en la valoración del riesgo. Quedará exonerado de tal deber si el asegurador no le somete cuestionario o cuando, aun sometiéndoselo, se trate de circunstancias que puedan influir en la valoración del riesgo y que no estén comprendidas en él. [...] Si el siniestro sobreviene antes de que el asegurador haga la declaración [de rescisión por reserva o inexactitud], la prestación de éste se reducirá proporcionalmente a la diferencia entre la prima convenida y la que se hubiese aplicado de haberse conocido la verdadera entidad del riesgo. Si medió dolo o culpa grave del tomador del seguro quedará el asegurador liberado del pago de la prestación.</w:t>
            </w:r>
          </w:p>
        </w:tc>
      </w:tr>
    </w:tbl>
    <w:p>
      <w:pPr>
        <w:spacing w:after="180" w:line="300"/>
        <w:jc w:val="both"/>
      </w:pPr>
      <w:r>
        <w:rPr>
          <w:rFonts w:ascii="Archivo" w:cs="Archivo" w:eastAsia="Archivo" w:hAnsi="Archivo"/>
          <w:sz w:val="21"/>
          <w:szCs w:val="21"/>
        </w:rPr>
        <w:t xml:space="preserve">El modelo vigente es, por tanto, un modelo de declaración-cuestionario y no de declaración espontánea: el tomador únicamente está obligado a responder con veracidad a lo que se le pregunta expresamente. Si el asegurador no somete cuestionario alguno al tomador —por ejemplo, en una contratación telefónica o por internet en la que se limita a recabar los datos identificativos y la dirección del inmueble— el tomador queda enteramente exonerado del deber de declaración, con independencia de cuán relevante fuera la circunstancia omitida.</w:t>
      </w:r>
    </w:p>
    <w:p>
      <w:pPr>
        <w:spacing w:after="180" w:line="300"/>
        <w:jc w:val="both"/>
      </w:pPr>
      <w:r>
        <w:rPr>
          <w:rFonts w:ascii="Archivo" w:cs="Archivo" w:eastAsia="Archivo" w:hAnsi="Archivo"/>
          <w:sz w:val="21"/>
          <w:szCs w:val="21"/>
        </w:rPr>
        <w:t xml:space="preserve">La doctrina jurisprudencial insiste en la carga que este modelo hace pesar sobre la aseguradora: es esta quien debe acreditar la existencia de un cuestionario, su contenido concreto y la falta de veracidad o la reserva del tomador al responderlo</w:t>
      </w:r>
      <w:r>
        <w:rPr>
          <w:rStyle w:val="FootnoteReference"/>
        </w:rPr>
        <w:footnoteReference w:id="12"/>
      </w:r>
      <w:r>
        <w:rPr>
          <w:rFonts w:ascii="Archivo" w:cs="Archivo" w:eastAsia="Archivo" w:hAnsi="Archivo"/>
          <w:sz w:val="21"/>
          <w:szCs w:val="21"/>
        </w:rPr>
        <w:t xml:space="preserve">, correspondiendo al tomador únicamente acreditar, en su caso, que respondió con veracidad a lo efectivamente preguntado.</w:t>
      </w:r>
    </w:p>
    <w:p>
      <w:pPr>
        <w:pStyle w:val="Heading2"/>
        <w:spacing w:after="160" w:before="400"/>
      </w:pPr>
      <w:r>
        <w:rPr>
          <w:rFonts w:ascii="Fraunces" w:cs="Fraunces" w:eastAsia="Fraunces" w:hAnsi="Fraunces"/>
          <w:b/>
          <w:bCs/>
          <w:color w:val="0A2540"/>
          <w:sz w:val="24"/>
          <w:szCs w:val="24"/>
        </w:rPr>
        <w:t xml:space="preserve">3.3. Consecuencias del incumplimiento del deber de declaración</w:t>
      </w:r>
    </w:p>
    <w:p>
      <w:pPr>
        <w:spacing w:after="180" w:line="300"/>
        <w:jc w:val="both"/>
      </w:pPr>
      <w:r>
        <w:rPr>
          <w:rFonts w:ascii="Archivo" w:cs="Archivo" w:eastAsia="Archivo" w:hAnsi="Archivo"/>
          <w:sz w:val="21"/>
          <w:szCs w:val="21"/>
        </w:rPr>
        <w:t xml:space="preserve">El artículo 10 LCS anuda al incumplimiento del deber de declaración un régimen escalonado que distingue tres situaciones:</w:t>
      </w:r>
    </w:p>
    <w:p>
      <w:pPr>
        <w:pStyle w:val="ListParagraph"/>
        <w:numPr>
          <w:ilvl w:val="0"/>
          <w:numId w:val="2"/>
        </w:numPr>
        <w:spacing w:after="100" w:line="290"/>
      </w:pPr>
      <w:r>
        <w:rPr>
          <w:rFonts w:ascii="Archivo" w:cs="Archivo" w:eastAsia="Archivo" w:hAnsi="Archivo"/>
          <w:b/>
          <w:bCs/>
          <w:sz w:val="21"/>
          <w:szCs w:val="21"/>
        </w:rPr>
        <w:t xml:space="preserve">Descubrimiento antes del siniestro: </w:t>
      </w:r>
      <w:r>
        <w:rPr>
          <w:rFonts w:ascii="Archivo" w:cs="Archivo" w:eastAsia="Archivo" w:hAnsi="Archivo"/>
          <w:sz w:val="21"/>
          <w:szCs w:val="21"/>
        </w:rPr>
        <w:t xml:space="preserve">el asegurador dispone de un mes desde que conoce la reserva o inexactitud para rescindir el contrato, conservando las primas del período en curso salvo que medie dolo o culpa grave del propio asegurador.</w:t>
      </w:r>
    </w:p>
    <w:p>
      <w:pPr>
        <w:pStyle w:val="ListParagraph"/>
        <w:numPr>
          <w:ilvl w:val="0"/>
          <w:numId w:val="2"/>
        </w:numPr>
        <w:spacing w:after="100" w:line="290"/>
      </w:pPr>
      <w:r>
        <w:rPr>
          <w:rFonts w:ascii="Archivo" w:cs="Archivo" w:eastAsia="Archivo" w:hAnsi="Archivo"/>
          <w:b/>
          <w:bCs/>
          <w:sz w:val="21"/>
          <w:szCs w:val="21"/>
        </w:rPr>
        <w:t xml:space="preserve">Siniestro antes de la declaración de rescisión, sin dolo ni culpa grave del tomador: </w:t>
      </w:r>
      <w:r>
        <w:rPr>
          <w:rFonts w:ascii="Archivo" w:cs="Archivo" w:eastAsia="Archivo" w:hAnsi="Archivo"/>
          <w:sz w:val="21"/>
          <w:szCs w:val="21"/>
        </w:rPr>
        <w:t xml:space="preserve">la prestación del asegurador se reduce proporcionalmente, en la misma proporción entre la prima realmente pagada y la que se hubiera fijado de haberse conocido el riesgo real (regla proporcional del art. 10, no confundir con la del infraseguro del art. 30, estudiada en el capítulo 19).</w:t>
      </w:r>
    </w:p>
    <w:p>
      <w:pPr>
        <w:pStyle w:val="ListParagraph"/>
        <w:numPr>
          <w:ilvl w:val="0"/>
          <w:numId w:val="2"/>
        </w:numPr>
        <w:spacing w:after="100" w:line="290"/>
      </w:pPr>
      <w:r>
        <w:rPr>
          <w:rFonts w:ascii="Archivo" w:cs="Archivo" w:eastAsia="Archivo" w:hAnsi="Archivo"/>
          <w:b/>
          <w:bCs/>
          <w:sz w:val="21"/>
          <w:szCs w:val="21"/>
        </w:rPr>
        <w:t xml:space="preserve">Siniestro antes de la declaración de rescisión, con dolo o culpa grave del tomador: </w:t>
      </w:r>
      <w:r>
        <w:rPr>
          <w:rFonts w:ascii="Archivo" w:cs="Archivo" w:eastAsia="Archivo" w:hAnsi="Archivo"/>
          <w:sz w:val="21"/>
          <w:szCs w:val="21"/>
        </w:rPr>
        <w:t xml:space="preserve">el asegurador queda enteramente liberado del pago de la prestación.</w:t>
      </w:r>
    </w:p>
    <w:p>
      <w:pPr>
        <w:spacing w:after="180" w:line="300"/>
        <w:jc w:val="both"/>
      </w:pPr>
      <w:r>
        <w:rPr>
          <w:rFonts w:ascii="Archivo" w:cs="Archivo" w:eastAsia="Archivo" w:hAnsi="Archivo"/>
          <w:sz w:val="21"/>
          <w:szCs w:val="21"/>
        </w:rPr>
        <w:t xml:space="preserve">En la práctica del seguro de hogar, este último supuesto se plantea con frecuencia en relación con circunstancias del inmueble no declaradas al contratar —por ejemplo, un estado de conservación deficiente de las instalaciones, obras estructurales pendientes de licencia, o el uso efectivo de la vivienda como local de negocio o alquiler turístico cuando se contrató como vivienda habitual—, siempre que tales circunstancias hubieran sido objeto de pregunta expresa en el cuestionario.</w:t>
      </w:r>
    </w:p>
    <w:p>
      <w:pPr>
        <w:pStyle w:val="Heading3"/>
        <w:spacing w:after="120" w:before="280"/>
      </w:pPr>
      <w:r>
        <w:rPr>
          <w:rFonts w:ascii="Archivo" w:cs="Archivo" w:eastAsia="Archivo" w:hAnsi="Archivo"/>
          <w:b/>
          <w:bCs/>
          <w:color w:val="1B6DF0"/>
          <w:sz w:val="21"/>
          <w:szCs w:val="21"/>
        </w:rPr>
        <w:t xml:space="preserve">3.3.1. La agravación del riesgo durante la vigencia del contrato</w:t>
      </w:r>
    </w:p>
    <w:p>
      <w:pPr>
        <w:spacing w:after="180" w:line="300"/>
        <w:jc w:val="both"/>
      </w:pPr>
      <w:r>
        <w:rPr>
          <w:rFonts w:ascii="Archivo" w:cs="Archivo" w:eastAsia="Archivo" w:hAnsi="Archivo"/>
          <w:sz w:val="21"/>
          <w:szCs w:val="21"/>
        </w:rPr>
        <w:t xml:space="preserve">Distinto del deber precontractual de declaración es el deber, ya durante la vigencia del contrato, de comunicar las circunstancias sobrevenidas que agraven el riesgo asegurado: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11 LCS</w:t>
            </w:r>
          </w:p>
          <w:p>
            <w:pPr>
              <w:spacing w:after="0" w:line="280"/>
              <w:jc w:val="both"/>
            </w:pPr>
            <w:r>
              <w:rPr>
                <w:rFonts w:ascii="IBM Plex Mono" w:cs="IBM Plex Mono" w:eastAsia="IBM Plex Mono" w:hAnsi="IBM Plex Mono"/>
                <w:i/>
                <w:iCs/>
                <w:color w:val="0A2540"/>
                <w:sz w:val="18"/>
                <w:szCs w:val="18"/>
              </w:rPr>
              <w:t xml:space="preserve">El tomador del seguro o el asegurado deberán durante la vigencia del contrato comunicar al asegurador, tan pronto como le sea posible, la alteración de los factores y las circunstancias declaradas en el cuestionario previsto en el artículo anterior que agraven el riesgo y sean de tal naturaleza que si hubieran sido conocidas por éste en el momento de la perfección del contrato no lo habría celebrado o lo habría concluido en condiciones más gravosas.</w:t>
            </w:r>
          </w:p>
        </w:tc>
      </w:tr>
    </w:tbl>
    <w:p>
      <w:pPr>
        <w:spacing w:after="180" w:line="300"/>
        <w:jc w:val="both"/>
      </w:pPr>
      <w:r>
        <w:rPr>
          <w:rFonts w:ascii="Archivo" w:cs="Archivo" w:eastAsia="Archivo" w:hAnsi="Archivo"/>
          <w:sz w:val="21"/>
          <w:szCs w:val="21"/>
        </w:rPr>
        <w:t xml:space="preserve">El precepto se limita, tras la reforma de 2023, a las circunstancias que fueron objeto del cuestionario inicial: si una determinada circunstancia (por ejemplo, el número de ocupantes de la vivienda o la existencia de una alarma conectada) no fue objeto de pregunta al contratar, su alteración posterior no genera deber de comunicación alguno. El régimen de consecuencias del incumplimiento (art. 12 LCS) reproduce, mutatis mutandis, el esquema del art. 10 LCS: liberación del asegurador en caso de mala fe, reducción proporcional de la prestación en los demás casos.</w:t>
      </w:r>
    </w:p>
    <w:p>
      <w:pPr>
        <w:pStyle w:val="Heading2"/>
        <w:spacing w:after="160" w:before="400"/>
      </w:pPr>
      <w:r>
        <w:rPr>
          <w:rFonts w:ascii="Fraunces" w:cs="Fraunces" w:eastAsia="Fraunces" w:hAnsi="Fraunces"/>
          <w:b/>
          <w:bCs/>
          <w:color w:val="0A2540"/>
          <w:sz w:val="24"/>
          <w:szCs w:val="24"/>
        </w:rPr>
        <w:t xml:space="preserve">3.4. El pago de la prima y sus consecuencias</w:t>
      </w:r>
    </w:p>
    <w:p>
      <w:pPr>
        <w:spacing w:after="180" w:line="300"/>
        <w:jc w:val="both"/>
      </w:pPr>
      <w:r>
        <w:rPr>
          <w:rFonts w:ascii="Archivo" w:cs="Archivo" w:eastAsia="Archivo" w:hAnsi="Archivo"/>
          <w:sz w:val="21"/>
          <w:szCs w:val="21"/>
        </w:rPr>
        <w:t xml:space="preserve">El deber capital del tomador es, naturalmente, el pago de la prima. El artículo 15 LCS regula con detalle las consecuencias de su impago, distinción esencial para el profesional que defiende a un asegurado al que se deniega la cobertura por esta causa: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15 LCS</w:t>
            </w:r>
          </w:p>
          <w:p>
            <w:pPr>
              <w:spacing w:after="0" w:line="280"/>
              <w:jc w:val="both"/>
            </w:pPr>
            <w:r>
              <w:rPr>
                <w:rFonts w:ascii="IBM Plex Mono" w:cs="IBM Plex Mono" w:eastAsia="IBM Plex Mono" w:hAnsi="IBM Plex Mono"/>
                <w:i/>
                <w:iCs/>
                <w:color w:val="0A2540"/>
                <w:sz w:val="18"/>
                <w:szCs w:val="18"/>
              </w:rPr>
              <w:t xml:space="preserve">Si por culpa del tomador la primera prima no ha sido pagada, o la prima única no lo ha sido a su vencimiento, el asegurador tiene derecho a resolver el contrato o a exigir el pago de la prima debida en vía ejecutiva con base en la póliza. Salvo pacto en contrario, si la prima no ha sido pagada antes de que se produzca el siniestro, el asegurador quedará liberado de su obligación. En caso de falta de pago de una de las primas siguientes, la cobertura del asegurador queda suspendida un mes después del día de su vencimiento. Si el asegurador no reclama el pago dentro de los seis meses siguientes al vencimiento de la prima se entenderá que el contrato queda extinguido.</w:t>
            </w:r>
          </w:p>
        </w:tc>
      </w:tr>
    </w:tbl>
    <w:p>
      <w:pPr>
        <w:spacing w:after="180" w:line="300"/>
        <w:jc w:val="both"/>
      </w:pPr>
      <w:r>
        <w:rPr>
          <w:rFonts w:ascii="Archivo" w:cs="Archivo" w:eastAsia="Archivo" w:hAnsi="Archivo"/>
          <w:sz w:val="21"/>
          <w:szCs w:val="21"/>
        </w:rPr>
        <w:t xml:space="preserve">La distinción entre primera prima (o prima única) y primas sucesivas es determinante: el impago de la primera prima libera al asegurador de forma prácticamente automática si el siniestro ocurre antes del pago, mientras que el impago de una prima sucesiva únicamente suspende la cobertura transcurrido un mes desde su vencimiento —no de forma inmediata— y exige, además, que la aseguradora no haya dejado transcurrir seis meses sin reclamar el pago, pues en tal caso el contrato se entiende extinguido y no meramente suspendido.</w:t>
      </w:r>
    </w:p>
    <w:p>
      <w:pPr>
        <w:pStyle w:val="Heading2"/>
        <w:spacing w:after="160" w:before="400"/>
      </w:pPr>
      <w:r>
        <w:rPr>
          <w:rFonts w:ascii="Fraunces" w:cs="Fraunces" w:eastAsia="Fraunces" w:hAnsi="Fraunces"/>
          <w:b/>
          <w:bCs/>
          <w:color w:val="0A2540"/>
          <w:sz w:val="24"/>
          <w:szCs w:val="24"/>
        </w:rPr>
        <w:t xml:space="preserve">3.5. Duración, prórroga y oposición a la renovación</w:t>
      </w:r>
    </w:p>
    <w:p>
      <w:pPr>
        <w:spacing w:after="180" w:line="300"/>
        <w:jc w:val="both"/>
      </w:pPr>
      <w:r>
        <w:rPr>
          <w:rFonts w:ascii="Archivo" w:cs="Archivo" w:eastAsia="Archivo" w:hAnsi="Archivo"/>
          <w:sz w:val="21"/>
          <w:szCs w:val="21"/>
        </w:rPr>
        <w:t xml:space="preserve">El seguro de hogar es, típicamente, un contrato de duración anual prorrogable, régimen que la LCS somete a un mecanismo de silencio positivo —opuesto al del art. 47 LCS estudiado en el capítulo 7— cuya inobservancia genera una de las fuentes de reclamación más frecuentes en la práctica: la renovación automática de una póliza que el tomador creía haber cancelado, o la extinción de una cobertura que el asegurado daba por prorrogada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22 LCS</w:t>
            </w:r>
          </w:p>
          <w:p>
            <w:pPr>
              <w:spacing w:after="0" w:line="280"/>
              <w:jc w:val="both"/>
            </w:pPr>
            <w:r>
              <w:rPr>
                <w:rFonts w:ascii="IBM Plex Mono" w:cs="IBM Plex Mono" w:eastAsia="IBM Plex Mono" w:hAnsi="IBM Plex Mono"/>
                <w:i/>
                <w:iCs/>
                <w:color w:val="0A2540"/>
                <w:sz w:val="18"/>
                <w:szCs w:val="18"/>
              </w:rPr>
              <w:t xml:space="preserve">1. La duración del contrato será determinada en la póliza, la cual no podrá fijar un plazo superior a diez años. Sin embargo, podrá establecerse que se prorrogue una o más veces por un período no superior a un año cada vez. 2. Las partes pueden oponerse a la prórroga del contrato mediante una notificación escrita a la otra parte, efectuada con un plazo de, al menos, un mes de anticipación a la conclusión del período del seguro en curso cuando quien se oponga a la prórroga sea el tomador, y de dos meses cuando sea el asegurador. 3. El asegurador deberá comunicar al tomador, al menos con dos meses de antelación a la conclusión del período en curso, cualquier modificación del contrato de seguro. 4. Las condiciones y plazos de la oposición a la prórroga de cada parte [...] deberán destacarse en la póliza.</w:t>
            </w:r>
          </w:p>
        </w:tc>
      </w:tr>
    </w:tbl>
    <w:p>
      <w:pPr>
        <w:spacing w:after="180" w:line="300"/>
        <w:jc w:val="both"/>
      </w:pPr>
      <w:r>
        <w:rPr>
          <w:rFonts w:ascii="Archivo" w:cs="Archivo" w:eastAsia="Archivo" w:hAnsi="Archivo"/>
          <w:sz w:val="21"/>
          <w:szCs w:val="21"/>
        </w:rPr>
        <w:t xml:space="preserve">Tres reglas prácticas se extraen de este precepto. Primera, el plazo de preaviso es asimétrico: un mes para el tomador que no desea renovar, dos meses para la aseguradora, lo que exige al profesional que asesora a un asegurado que quiere cambiar de compañía anticiparse con margen suficiente antes del vencimiento anual. Segunda, cualquier modificación del contrato con ocasión de la renovación (por ejemplo, un incremento de prima o un cambio de condiciones) debe comunicarse con dos meses de antelación, comunicación cuya ausencia o insuficiencia puede ser invocada por el tomador para rechazar la modificación y exigir la continuidad de las condiciones anteriores. Tercera, las condiciones y plazos de oposición a la prórroga deben figurar destacados en la póliza, en un requisito de transparencia adicional y específico que se suma —sin confundirse con él— al régimen general del art. 3 LCS estudiado en los capítulos 1 y 5.</w:t>
      </w:r>
    </w:p>
    <w:p>
      <w:pPr>
        <w:pStyle w:val="Heading2"/>
        <w:spacing w:after="160" w:before="400"/>
      </w:pPr>
      <w:r>
        <w:rPr>
          <w:rFonts w:ascii="Fraunces" w:cs="Fraunces" w:eastAsia="Fraunces" w:hAnsi="Fraunces"/>
          <w:b/>
          <w:bCs/>
          <w:color w:val="0A2540"/>
          <w:sz w:val="24"/>
          <w:szCs w:val="24"/>
        </w:rPr>
        <w:t xml:space="preserve">3.6.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ante una denegación de cobertura por el art. 10 LCS</w:t>
            </w:r>
          </w:p>
          <w:p>
            <w:pPr>
              <w:pStyle w:val="ListParagraph"/>
              <w:numPr>
                <w:ilvl w:val="0"/>
                <w:numId w:val="2"/>
              </w:numPr>
              <w:spacing w:after="80" w:line="280"/>
            </w:pPr>
            <w:r>
              <w:rPr>
                <w:rFonts w:ascii="Archivo" w:cs="Archivo" w:eastAsia="Archivo" w:hAnsi="Archivo"/>
                <w:sz w:val="19"/>
                <w:szCs w:val="19"/>
              </w:rPr>
              <w:t xml:space="preserve">Reclamar a la aseguradora la aportación del cuestionario efectivamente sometido al tomador: sin cuestionario documentado, no puede prosperar la excepción del art. 10 LCS.</w:t>
            </w:r>
          </w:p>
          <w:p>
            <w:pPr>
              <w:pStyle w:val="ListParagraph"/>
              <w:numPr>
                <w:ilvl w:val="0"/>
                <w:numId w:val="2"/>
              </w:numPr>
              <w:spacing w:after="80" w:line="280"/>
            </w:pPr>
            <w:r>
              <w:rPr>
                <w:rFonts w:ascii="Archivo" w:cs="Archivo" w:eastAsia="Archivo" w:hAnsi="Archivo"/>
                <w:sz w:val="19"/>
                <w:szCs w:val="19"/>
              </w:rPr>
              <w:t xml:space="preserve">Verificar que las preguntas del cuestionario fueran lo suficientemente concretas y específicas sobre la circunstancia que se dice omitida; las cláusulas de estilo genérico («declaro que el riesgo es normal») no equivalen a cuestionario en sentido del art. 10 LCS.</w:t>
            </w:r>
          </w:p>
          <w:p>
            <w:pPr>
              <w:pStyle w:val="ListParagraph"/>
              <w:numPr>
                <w:ilvl w:val="0"/>
                <w:numId w:val="2"/>
              </w:numPr>
              <w:spacing w:after="80" w:line="280"/>
            </w:pPr>
            <w:r>
              <w:rPr>
                <w:rFonts w:ascii="Archivo" w:cs="Archivo" w:eastAsia="Archivo" w:hAnsi="Archivo"/>
                <w:sz w:val="19"/>
                <w:szCs w:val="19"/>
              </w:rPr>
              <w:t xml:space="preserve">Distinguir con precisión el régimen de exoneración total (dolo o culpa grave) del de reducción proporcional (reserva o inexactitud sin dolo ni culpa grave): la carga de la prueba del dolo o la culpa grave corresponde a la aseguradora.</w:t>
            </w:r>
          </w:p>
          <w:p>
            <w:pPr>
              <w:pStyle w:val="ListParagraph"/>
              <w:numPr>
                <w:ilvl w:val="0"/>
                <w:numId w:val="2"/>
              </w:numPr>
              <w:spacing w:after="80" w:line="280"/>
            </w:pPr>
            <w:r>
              <w:rPr>
                <w:rFonts w:ascii="Archivo" w:cs="Archivo" w:eastAsia="Archivo" w:hAnsi="Archivo"/>
                <w:sz w:val="19"/>
                <w:szCs w:val="19"/>
              </w:rPr>
              <w:t xml:space="preserve">Ante la agravación sobrevenida del riesgo (art. 11 LCS), comprobar que la circunstancia alegada por la aseguradora hubiera sido objeto del cuestionario inicial: si no lo fue, no existe deber de comunicación posterior.</w:t>
            </w:r>
          </w:p>
          <w:p>
            <w:pPr>
              <w:pStyle w:val="ListParagraph"/>
              <w:numPr>
                <w:ilvl w:val="0"/>
                <w:numId w:val="2"/>
              </w:numPr>
              <w:spacing w:after="80" w:line="280"/>
            </w:pPr>
            <w:r>
              <w:rPr>
                <w:rFonts w:ascii="Archivo" w:cs="Archivo" w:eastAsia="Archivo" w:hAnsi="Archivo"/>
                <w:sz w:val="19"/>
                <w:szCs w:val="19"/>
              </w:rPr>
              <w:t xml:space="preserve">En materia de impago de primas, diferenciar primera prima (liberación cuasi automática del asegurador) de primas sucesivas (suspensión al mes, extinción a los seis meses de inactividad de la aseguradora).</w:t>
            </w:r>
          </w:p>
          <w:p>
            <w:pPr>
              <w:pStyle w:val="ListParagraph"/>
              <w:numPr>
                <w:ilvl w:val="0"/>
                <w:numId w:val="2"/>
              </w:numPr>
              <w:spacing w:after="80" w:line="280"/>
            </w:pPr>
            <w:r>
              <w:rPr>
                <w:rFonts w:ascii="Archivo" w:cs="Archivo" w:eastAsia="Archivo" w:hAnsi="Archivo"/>
                <w:sz w:val="19"/>
                <w:szCs w:val="19"/>
              </w:rPr>
              <w:t xml:space="preserve">Ante una renovación o modificación discutida, verificar el cumplimiento estricto de los plazos de preaviso del art. 22 LCS y el destacado formal de las condiciones de oposición a la prórroga.</w:t>
            </w:r>
          </w:p>
        </w:tc>
      </w:tr>
    </w:tbl>
    <w:p>
      <w:pPr>
        <w:pStyle w:val="Heading2"/>
        <w:spacing w:after="160" w:before="400"/>
      </w:pPr>
      <w:r>
        <w:rPr>
          <w:rFonts w:ascii="Fraunces" w:cs="Fraunces" w:eastAsia="Fraunces" w:hAnsi="Fraunces"/>
          <w:b/>
          <w:bCs/>
          <w:color w:val="0A2540"/>
          <w:sz w:val="24"/>
          <w:szCs w:val="24"/>
        </w:rPr>
        <w:t xml:space="preserve">3.7.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Recomendaciones al contratar y durante la vigencia de la póliza</w:t>
            </w:r>
          </w:p>
          <w:p>
            <w:pPr>
              <w:pStyle w:val="ListParagraph"/>
              <w:numPr>
                <w:ilvl w:val="0"/>
                <w:numId w:val="2"/>
              </w:numPr>
              <w:spacing w:after="80" w:line="280"/>
            </w:pPr>
            <w:r>
              <w:rPr>
                <w:rFonts w:ascii="Archivo" w:cs="Archivo" w:eastAsia="Archivo" w:hAnsi="Archivo"/>
                <w:sz w:val="19"/>
                <w:szCs w:val="19"/>
              </w:rPr>
              <w:t xml:space="preserve">Responda con veracidad a todas las preguntas del cuestionario de contratación, por muy irrelevantes que le parezcan: una respuesta inexacta puede dar lugar a la pérdida total de la indemnización si concurre mala fe.</w:t>
            </w:r>
          </w:p>
          <w:p>
            <w:pPr>
              <w:pStyle w:val="ListParagraph"/>
              <w:numPr>
                <w:ilvl w:val="0"/>
                <w:numId w:val="2"/>
              </w:numPr>
              <w:spacing w:after="80" w:line="280"/>
            </w:pPr>
            <w:r>
              <w:rPr>
                <w:rFonts w:ascii="Archivo" w:cs="Archivo" w:eastAsia="Archivo" w:hAnsi="Archivo"/>
                <w:sz w:val="19"/>
                <w:szCs w:val="19"/>
              </w:rPr>
              <w:t xml:space="preserve">Conserve una copia del cuestionario cumplimentado (o de la grabación, si la contratación fue telefónica) junto con la póliza.</w:t>
            </w:r>
          </w:p>
          <w:p>
            <w:pPr>
              <w:pStyle w:val="ListParagraph"/>
              <w:numPr>
                <w:ilvl w:val="0"/>
                <w:numId w:val="2"/>
              </w:numPr>
              <w:spacing w:after="80" w:line="280"/>
            </w:pPr>
            <w:r>
              <w:rPr>
                <w:rFonts w:ascii="Archivo" w:cs="Archivo" w:eastAsia="Archivo" w:hAnsi="Archivo"/>
                <w:sz w:val="19"/>
                <w:szCs w:val="19"/>
              </w:rPr>
              <w:t xml:space="preserve">Si durante la vigencia de la póliza cambian de forma relevante las circunstancias que le preguntaron al contratar (por ejemplo, realiza obras estructurales, cambia el uso de la vivienda o instala/retira sistemas de seguridad que se le preguntaron), comuníquelo a la aseguradora tan pronto como sea posible.</w:t>
            </w:r>
          </w:p>
          <w:p>
            <w:pPr>
              <w:pStyle w:val="ListParagraph"/>
              <w:numPr>
                <w:ilvl w:val="0"/>
                <w:numId w:val="2"/>
              </w:numPr>
              <w:spacing w:after="80" w:line="280"/>
            </w:pPr>
            <w:r>
              <w:rPr>
                <w:rFonts w:ascii="Archivo" w:cs="Archivo" w:eastAsia="Archivo" w:hAnsi="Archivo"/>
                <w:sz w:val="19"/>
                <w:szCs w:val="19"/>
              </w:rPr>
              <w:t xml:space="preserve">Domicilie el pago de la prima y revise que no se produzcan devoluciones bancarias: el impago, aunque sea involuntario, puede suspender o extinguir su cobertura conforme al art. 15 LCS.</w:t>
            </w:r>
          </w:p>
          <w:p>
            <w:pPr>
              <w:pStyle w:val="ListParagraph"/>
              <w:numPr>
                <w:ilvl w:val="0"/>
                <w:numId w:val="2"/>
              </w:numPr>
              <w:spacing w:after="80" w:line="280"/>
            </w:pPr>
            <w:r>
              <w:rPr>
                <w:rFonts w:ascii="Archivo" w:cs="Archivo" w:eastAsia="Archivo" w:hAnsi="Archivo"/>
                <w:sz w:val="19"/>
                <w:szCs w:val="19"/>
              </w:rPr>
              <w:t xml:space="preserve">Si quiere cambiar de aseguradora, comunique su oposición a la renovación por escrito con al menos un mes de antelación al vencimiento anual de su póliza.</w:t>
            </w:r>
          </w:p>
        </w:tc>
      </w:tr>
    </w:tbl>
    <w:p>
      <w:pPr>
        <w:pStyle w:val="Heading2"/>
        <w:spacing w:after="160" w:before="400"/>
      </w:pPr>
      <w:r>
        <w:rPr>
          <w:rFonts w:ascii="Fraunces" w:cs="Fraunces" w:eastAsia="Fraunces" w:hAnsi="Fraunces"/>
          <w:b/>
          <w:bCs/>
          <w:color w:val="0A2540"/>
          <w:sz w:val="24"/>
          <w:szCs w:val="24"/>
        </w:rPr>
        <w:t xml:space="preserve">3.8. Checklist: el cuestionario de riesgo en el seguro de hogar</w:t>
      </w:r>
    </w:p>
    <w:p>
      <w:pPr>
        <w:pStyle w:val="ListParagraph"/>
        <w:numPr>
          <w:ilvl w:val="0"/>
          <w:numId w:val="2"/>
        </w:numPr>
        <w:spacing w:after="100" w:line="290"/>
      </w:pPr>
      <w:r>
        <w:rPr>
          <w:rFonts w:ascii="Archivo" w:cs="Archivo" w:eastAsia="Archivo" w:hAnsi="Archivo"/>
          <w:sz w:val="21"/>
          <w:szCs w:val="21"/>
        </w:rPr>
        <w:t xml:space="preserve">1. ¿Existió cuestionario escrito o grabado, cumplimentado por o a instancia de la aseguradora?</w:t>
      </w:r>
    </w:p>
    <w:p>
      <w:pPr>
        <w:pStyle w:val="ListParagraph"/>
        <w:numPr>
          <w:ilvl w:val="0"/>
          <w:numId w:val="2"/>
        </w:numPr>
        <w:spacing w:after="100" w:line="290"/>
      </w:pPr>
      <w:r>
        <w:rPr>
          <w:rFonts w:ascii="Archivo" w:cs="Archivo" w:eastAsia="Archivo" w:hAnsi="Archivo"/>
          <w:sz w:val="21"/>
          <w:szCs w:val="21"/>
        </w:rPr>
        <w:t xml:space="preserve">2. ¿Las preguntas eran específicas y concretas sobre la circunstancia controvertida, o meramente genéricas?</w:t>
      </w:r>
    </w:p>
    <w:p>
      <w:pPr>
        <w:pStyle w:val="ListParagraph"/>
        <w:numPr>
          <w:ilvl w:val="0"/>
          <w:numId w:val="2"/>
        </w:numPr>
        <w:spacing w:after="100" w:line="290"/>
      </w:pPr>
      <w:r>
        <w:rPr>
          <w:rFonts w:ascii="Archivo" w:cs="Archivo" w:eastAsia="Archivo" w:hAnsi="Archivo"/>
          <w:sz w:val="21"/>
          <w:szCs w:val="21"/>
        </w:rPr>
        <w:t xml:space="preserve">3. ¿La circunstancia omitida era conocida efectivamente por el tomador en el momento de contratar?</w:t>
      </w:r>
    </w:p>
    <w:p>
      <w:pPr>
        <w:pStyle w:val="ListParagraph"/>
        <w:numPr>
          <w:ilvl w:val="0"/>
          <w:numId w:val="2"/>
        </w:numPr>
        <w:spacing w:after="100" w:line="290"/>
      </w:pPr>
      <w:r>
        <w:rPr>
          <w:rFonts w:ascii="Archivo" w:cs="Archivo" w:eastAsia="Archivo" w:hAnsi="Archivo"/>
          <w:sz w:val="21"/>
          <w:szCs w:val="21"/>
        </w:rPr>
        <w:t xml:space="preserve">4. ¿La aseguradora ejerció su facultad de rescisión en el plazo de un mes desde que conoció la reserva o inexactitud (art. 10 LCS)?</w:t>
      </w:r>
    </w:p>
    <w:p>
      <w:pPr>
        <w:pStyle w:val="ListParagraph"/>
        <w:numPr>
          <w:ilvl w:val="0"/>
          <w:numId w:val="2"/>
        </w:numPr>
        <w:spacing w:after="100" w:line="290"/>
      </w:pPr>
      <w:r>
        <w:rPr>
          <w:rFonts w:ascii="Archivo" w:cs="Archivo" w:eastAsia="Archivo" w:hAnsi="Archivo"/>
          <w:sz w:val="21"/>
          <w:szCs w:val="21"/>
        </w:rPr>
        <w:t xml:space="preserve">5. ¿Se invoca dolo o culpa grave? En tal caso, ¿qué prueba aporta la aseguradora?</w:t>
      </w:r>
    </w:p>
    <w:p>
      <w:pPr>
        <w:pStyle w:val="ListParagraph"/>
        <w:numPr>
          <w:ilvl w:val="0"/>
          <w:numId w:val="2"/>
        </w:numPr>
        <w:spacing w:after="100" w:line="290"/>
      </w:pPr>
      <w:r>
        <w:rPr>
          <w:rFonts w:ascii="Archivo" w:cs="Archivo" w:eastAsia="Archivo" w:hAnsi="Archivo"/>
          <w:sz w:val="21"/>
          <w:szCs w:val="21"/>
        </w:rPr>
        <w:t xml:space="preserve">6. En caso de agravación sobrevenida, ¿la circunstancia agravante había sido objeto del cuestionario inicial (art. 11 LCS)?</w:t>
      </w:r>
    </w:p>
    <w:p>
      <w:pPr>
        <w:pStyle w:val="ListParagraph"/>
        <w:numPr>
          <w:ilvl w:val="0"/>
          <w:numId w:val="2"/>
        </w:numPr>
        <w:spacing w:after="100" w:line="290"/>
      </w:pPr>
      <w:r>
        <w:rPr>
          <w:rFonts w:ascii="Archivo" w:cs="Archivo" w:eastAsia="Archivo" w:hAnsi="Archivo"/>
          <w:sz w:val="21"/>
          <w:szCs w:val="21"/>
        </w:rPr>
        <w:t xml:space="preserve">7. ¿Está la prima al corriente de pago? ¿Se trata de la primera prima o de una sucesiva?</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BATALLER GRAU, J.; BOQUERA MATARREDONA, J.; OLAVARRÍA IGLESIA, J. (coords.), Comentarios a la Ley de Contrato de Seguro, Tirant lo Blanch, Valencia.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pStyle w:val="Heading1"/>
        <w:pageBreakBefore/>
        <w:spacing w:after="300" w:before="200"/>
      </w:pPr>
      <w:r>
        <w:rPr>
          <w:rFonts w:ascii="Archivo" w:cs="Archivo" w:eastAsia="Archivo" w:hAnsi="Archivo"/>
          <w:b/>
          <w:bCs/>
          <w:color w:val="1B6DF0"/>
          <w:sz w:val="22"/>
          <w:szCs w:val="22"/>
        </w:rPr>
        <w:t xml:space="preserve">Capítulo 5. </w:t>
      </w:r>
      <w:r>
        <w:rPr>
          <w:rFonts w:ascii="Fraunces" w:cs="Fraunces" w:eastAsia="Fraunces" w:hAnsi="Fraunces"/>
          <w:b/>
          <w:bCs/>
          <w:color w:val="0A2540"/>
          <w:sz w:val="30"/>
          <w:szCs w:val="30"/>
        </w:rPr>
        <w:t xml:space="preserve">Condiciones generales, particulares y especiales: profundización práctica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4.1. Jerarquía y articulación entre condiciones generales, particulares y especiales</w:t>
            </w:r>
          </w:p>
          <w:p>
            <w:pPr>
              <w:spacing w:after="40" w:line="260"/>
            </w:pPr>
            <w:r>
              <w:rPr>
                <w:rFonts w:ascii="Archivo" w:cs="Archivo" w:eastAsia="Archivo" w:hAnsi="Archivo"/>
                <w:sz w:val="18"/>
                <w:szCs w:val="18"/>
              </w:rPr>
              <w:t xml:space="preserve">4.2. El control de incorporación: entrega de la póliza y accesibilidad real de las condiciones</w:t>
            </w:r>
          </w:p>
          <w:p>
            <w:pPr>
              <w:spacing w:after="40" w:line="260"/>
            </w:pPr>
            <w:r>
              <w:rPr>
                <w:rFonts w:ascii="Archivo" w:cs="Archivo" w:eastAsia="Archivo" w:hAnsi="Archivo"/>
                <w:sz w:val="18"/>
                <w:szCs w:val="18"/>
              </w:rPr>
              <w:t xml:space="preserve">4.3. El control de interpretación: la regla contra proferentem (art. 1288 CC)</w:t>
            </w:r>
          </w:p>
          <w:p>
            <w:pPr>
              <w:spacing w:after="40" w:line="260"/>
            </w:pPr>
            <w:r>
              <w:rPr>
                <w:rFonts w:ascii="Archivo" w:cs="Archivo" w:eastAsia="Archivo" w:hAnsi="Archivo"/>
                <w:sz w:val="18"/>
                <w:szCs w:val="18"/>
              </w:rPr>
              <w:t xml:space="preserve">4.4. Casuística de cláusulas típicas en el seguro de hogar</w:t>
            </w:r>
          </w:p>
          <w:p>
            <w:pPr>
              <w:spacing w:after="40" w:line="260"/>
            </w:pPr>
            <w:r>
              <w:rPr>
                <w:rFonts w:ascii="Archivo" w:cs="Archivo" w:eastAsia="Archivo" w:hAnsi="Archivo"/>
                <w:sz w:val="18"/>
                <w:szCs w:val="18"/>
              </w:rPr>
              <w:t xml:space="preserve">4.5. El control de contenido cuando el tomador es consumidor: remisión</w:t>
            </w:r>
          </w:p>
          <w:p>
            <w:pPr>
              <w:spacing w:after="40" w:line="260"/>
            </w:pPr>
            <w:r>
              <w:rPr>
                <w:rFonts w:ascii="Archivo" w:cs="Archivo" w:eastAsia="Archivo" w:hAnsi="Archivo"/>
                <w:sz w:val="18"/>
                <w:szCs w:val="18"/>
              </w:rPr>
              <w:t xml:space="preserve">4.6. Ficha para el profesional</w:t>
            </w:r>
          </w:p>
          <w:p>
            <w:pPr>
              <w:spacing w:after="40" w:line="260"/>
            </w:pPr>
            <w:r>
              <w:rPr>
                <w:rFonts w:ascii="Archivo" w:cs="Archivo" w:eastAsia="Archivo" w:hAnsi="Archivo"/>
                <w:sz w:val="18"/>
                <w:szCs w:val="18"/>
              </w:rPr>
              <w:t xml:space="preserve">4.7. Ficha para el asegurado</w:t>
            </w:r>
          </w:p>
          <w:p>
            <w:pPr>
              <w:spacing w:after="40" w:line="260"/>
            </w:pPr>
            <w:r>
              <w:rPr>
                <w:rFonts w:ascii="Archivo" w:cs="Archivo" w:eastAsia="Archivo" w:hAnsi="Archivo"/>
                <w:sz w:val="18"/>
                <w:szCs w:val="18"/>
              </w:rPr>
              <w:t xml:space="preserve">4.8. Checklist: banderas rojas en la redacción de una póliza</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completa el estudio iniciado en el Capítulo 1 sobre el artículo 3 LCS, añadiendo los dos controles adicionales a los que se somete el clausulado del seguro de hogar como contrato de adhesión: el control de incorporación (arts. 5 y 7 LCGC) y el control de interpretación, con particular atención a la regla contra proferentem del art. 1288 CC, aplicada de forma constante por la Sala Primera del Tribunal Supremo a favor del asegurado cuando la póliza no ha sido entregada o resulta oscura o contradictoria.</w:t>
            </w:r>
          </w:p>
          <w:p>
            <w:pPr>
              <w:spacing w:after="160"/>
            </w:pPr>
            <w:r>
              <w:rPr>
                <w:rFonts w:ascii="Archivo" w:cs="Archivo" w:eastAsia="Archivo" w:hAnsi="Archivo"/>
                <w:b/>
                <w:bCs/>
                <w:sz w:val="17"/>
                <w:szCs w:val="17"/>
              </w:rPr>
              <w:t xml:space="preserve">Palabras clave: condiciones generales, control de incorporación, control de interpretación, contra proferentem, art. 1288 CC, transparencia.</w:t>
            </w:r>
          </w:p>
          <w:p>
            <w:pPr>
              <w:spacing w:after="100"/>
              <w:jc w:val="both"/>
            </w:pPr>
            <w:r>
              <w:rPr>
                <w:rFonts w:ascii="Archivo" w:cs="Archivo" w:eastAsia="Archivo" w:hAnsi="Archivo"/>
                <w:i/>
                <w:iCs/>
                <w:sz w:val="18"/>
                <w:szCs w:val="18"/>
              </w:rPr>
              <w:t xml:space="preserve">This chapter completes the analysis begun in Chapter 1 of Article 3 of the Insurance Contract Act, adding the two further controls applicable to homeowners' insurance policies as adhesion contracts: the incorporation control under the General Terms Act and the interpretation control, focusing on the contra proferentem rule of Article 1288 of the Civil Code, consistently applied by the Supreme Court in favour of the insured when the policy was not delivered or is obscure or contradictory.</w:t>
            </w:r>
          </w:p>
          <w:p>
            <w:pPr>
              <w:spacing w:after="0"/>
            </w:pPr>
            <w:r>
              <w:rPr>
                <w:rFonts w:ascii="Archivo" w:cs="Archivo" w:eastAsia="Archivo" w:hAnsi="Archivo"/>
                <w:b/>
                <w:bCs/>
                <w:sz w:val="17"/>
                <w:szCs w:val="17"/>
              </w:rPr>
              <w:t xml:space="preserve">Keywords: general terms and conditions, incorporation control, interpretation control, contra proferentem rule, transparency.</w:t>
            </w:r>
          </w:p>
        </w:tc>
      </w:tr>
    </w:tbl>
    <w:p>
      <w:pPr>
        <w:spacing w:after="200"/>
      </w:pPr>
    </w:p>
    <w:p>
      <w:pPr>
        <w:pStyle w:val="Heading2"/>
        <w:spacing w:after="160" w:before="400"/>
      </w:pPr>
      <w:r>
        <w:rPr>
          <w:rFonts w:ascii="Fraunces" w:cs="Fraunces" w:eastAsia="Fraunces" w:hAnsi="Fraunces"/>
          <w:b/>
          <w:bCs/>
          <w:color w:val="0A2540"/>
          <w:sz w:val="24"/>
          <w:szCs w:val="24"/>
        </w:rPr>
        <w:t xml:space="preserve">4.1. Jerarquía y articulación entre condiciones generales, particulares y especiales</w:t>
      </w:r>
    </w:p>
    <w:p>
      <w:pPr>
        <w:spacing w:after="180" w:line="300"/>
        <w:jc w:val="both"/>
      </w:pPr>
      <w:r>
        <w:rPr>
          <w:rFonts w:ascii="Archivo" w:cs="Archivo" w:eastAsia="Archivo" w:hAnsi="Archivo"/>
          <w:sz w:val="21"/>
          <w:szCs w:val="21"/>
        </w:rPr>
        <w:t xml:space="preserve">La póliza de hogar se estructura habitualmente en tres capas normativas de origen contractual, cuya prelación conviene fijar desde el principio:</w:t>
      </w:r>
    </w:p>
    <w:p>
      <w:pPr>
        <w:pStyle w:val="ListParagraph"/>
        <w:numPr>
          <w:ilvl w:val="0"/>
          <w:numId w:val="2"/>
        </w:numPr>
        <w:spacing w:after="100" w:line="290"/>
      </w:pPr>
      <w:r>
        <w:rPr>
          <w:rFonts w:ascii="Archivo" w:cs="Archivo" w:eastAsia="Archivo" w:hAnsi="Archivo"/>
          <w:b/>
          <w:bCs/>
          <w:sz w:val="21"/>
          <w:szCs w:val="21"/>
        </w:rPr>
        <w:t xml:space="preserve">Condiciones generales: </w:t>
      </w:r>
      <w:r>
        <w:rPr>
          <w:rFonts w:ascii="Archivo" w:cs="Archivo" w:eastAsia="Archivo" w:hAnsi="Archivo"/>
          <w:sz w:val="21"/>
          <w:szCs w:val="21"/>
        </w:rPr>
        <w:t xml:space="preserve">el clausulado estándar, predispuesto por la aseguradora para la generalidad de los contratos de un determinado producto, con vocación de aplicarse a una pluralidad indeterminada de asegurados.</w:t>
      </w:r>
    </w:p>
    <w:p>
      <w:pPr>
        <w:pStyle w:val="ListParagraph"/>
        <w:numPr>
          <w:ilvl w:val="0"/>
          <w:numId w:val="2"/>
        </w:numPr>
        <w:spacing w:after="100" w:line="290"/>
      </w:pPr>
      <w:r>
        <w:rPr>
          <w:rFonts w:ascii="Archivo" w:cs="Archivo" w:eastAsia="Archivo" w:hAnsi="Archivo"/>
          <w:b/>
          <w:bCs/>
          <w:sz w:val="21"/>
          <w:szCs w:val="21"/>
        </w:rPr>
        <w:t xml:space="preserve">Condiciones particulares: </w:t>
      </w:r>
      <w:r>
        <w:rPr>
          <w:rFonts w:ascii="Archivo" w:cs="Archivo" w:eastAsia="Archivo" w:hAnsi="Archivo"/>
          <w:sz w:val="21"/>
          <w:szCs w:val="21"/>
        </w:rPr>
        <w:t xml:space="preserve">los datos y pactos específicos de cada contrato concreto (sumas aseguradas, franquicias elegidas, dirección del inmueble, sublímites contratados, garantías adicionales suscritas).</w:t>
      </w:r>
    </w:p>
    <w:p>
      <w:pPr>
        <w:pStyle w:val="ListParagraph"/>
        <w:numPr>
          <w:ilvl w:val="0"/>
          <w:numId w:val="2"/>
        </w:numPr>
        <w:spacing w:after="100" w:line="290"/>
      </w:pPr>
      <w:r>
        <w:rPr>
          <w:rFonts w:ascii="Archivo" w:cs="Archivo" w:eastAsia="Archivo" w:hAnsi="Archivo"/>
          <w:b/>
          <w:bCs/>
          <w:sz w:val="21"/>
          <w:szCs w:val="21"/>
        </w:rPr>
        <w:t xml:space="preserve">Condiciones especiales: </w:t>
      </w:r>
      <w:r>
        <w:rPr>
          <w:rFonts w:ascii="Archivo" w:cs="Archivo" w:eastAsia="Archivo" w:hAnsi="Archivo"/>
          <w:sz w:val="21"/>
          <w:szCs w:val="21"/>
        </w:rPr>
        <w:t xml:space="preserve">las que modulan, para un contrato concreto o para una modalidad particular de producto, alguna previsión de las condiciones generales (por ejemplo, la ampliación de una cobertura estándar de defensa jurídica o la inclusión de una garantía de asistencia informática).</w:t>
      </w:r>
    </w:p>
    <w:p>
      <w:pPr>
        <w:spacing w:after="180" w:line="300"/>
        <w:jc w:val="both"/>
      </w:pPr>
      <w:r>
        <w:rPr>
          <w:rFonts w:ascii="Archivo" w:cs="Archivo" w:eastAsia="Archivo" w:hAnsi="Archivo"/>
          <w:sz w:val="21"/>
          <w:szCs w:val="21"/>
        </w:rPr>
        <w:t xml:space="preserve">En caso de contradicción entre estos tres niveles, rige el criterio de especialidad: las condiciones particulares y especiales, por reflejar la voluntad negocial específica de las partes, prevalecen sobre las condiciones generales predispuestas. Este criterio, de raigambre en la teoría general del contrato, se combina en la práctica con la regla contra proferentem cuando la contradicción, además de existir, genera oscuridad sobre el alcance real de la cobertura, como se desarrolla en el epígrafe 4.3.</w:t>
      </w:r>
    </w:p>
    <w:p>
      <w:pPr>
        <w:pStyle w:val="Heading2"/>
        <w:spacing w:after="160" w:before="400"/>
      </w:pPr>
      <w:r>
        <w:rPr>
          <w:rFonts w:ascii="Fraunces" w:cs="Fraunces" w:eastAsia="Fraunces" w:hAnsi="Fraunces"/>
          <w:b/>
          <w:bCs/>
          <w:color w:val="0A2540"/>
          <w:sz w:val="24"/>
          <w:szCs w:val="24"/>
        </w:rPr>
        <w:t xml:space="preserve">4.2. El control de incorporación: entrega de la póliza y accesibilidad real de las condiciones</w:t>
      </w:r>
    </w:p>
    <w:p>
      <w:pPr>
        <w:spacing w:after="180" w:line="300"/>
        <w:jc w:val="both"/>
      </w:pPr>
      <w:r>
        <w:rPr>
          <w:rFonts w:ascii="Archivo" w:cs="Archivo" w:eastAsia="Archivo" w:hAnsi="Archivo"/>
          <w:sz w:val="21"/>
          <w:szCs w:val="21"/>
        </w:rPr>
        <w:t xml:space="preserve">Antes de discutir qué dice una cláusula, es necesario comprobar si esa cláusula llegó siquiera a formar parte del contrato. Es lo que la doctrina denomina control de incorporación, regulado, para el tomador que actúa como adherente, por la Ley 7/1998, de Condiciones Generales de la Contratación (LCGC)</w:t>
      </w:r>
      <w:r>
        <w:rPr>
          <w:rStyle w:val="FootnoteReference"/>
        </w:rPr>
        <w:footnoteReference w:id="13"/>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7 LCGC</w:t>
            </w:r>
          </w:p>
          <w:p>
            <w:pPr>
              <w:spacing w:after="0" w:line="280"/>
              <w:jc w:val="both"/>
            </w:pPr>
            <w:r>
              <w:rPr>
                <w:rFonts w:ascii="IBM Plex Mono" w:cs="IBM Plex Mono" w:eastAsia="IBM Plex Mono" w:hAnsi="IBM Plex Mono"/>
                <w:i/>
                <w:iCs/>
                <w:color w:val="0A2540"/>
                <w:sz w:val="18"/>
                <w:szCs w:val="18"/>
              </w:rPr>
              <w:t xml:space="preserve">No quedarán incorporadas al contrato las siguientes condiciones generales: a) Las que el adherente no haya tenido oportunidad real de conocer de manera completa al tiempo de la celebración del contrato o cuando no hayan sido firmadas, cuando sea necesario, en los términos resultantes del artículo 5. b) Las que sean ilegibles, ambiguas, oscuras e incomprensibles, salvo, en cuanto a estas últimas, que hubieren sido expresamente aceptadas por escrito por el adherente y se ajusten a la normativa específica que discipline en su ámbito la necesaria transparencia de las cláusulas contenidas en el contrato.</w:t>
            </w:r>
          </w:p>
        </w:tc>
      </w:tr>
    </w:tbl>
    <w:p>
      <w:pPr>
        <w:spacing w:after="180" w:line="300"/>
        <w:jc w:val="both"/>
      </w:pPr>
      <w:r>
        <w:rPr>
          <w:rFonts w:ascii="Archivo" w:cs="Archivo" w:eastAsia="Archivo" w:hAnsi="Archivo"/>
          <w:sz w:val="21"/>
          <w:szCs w:val="21"/>
        </w:rPr>
        <w:t xml:space="preserve">La aplicación de este control al seguro de hogar es especialmente relevante en los supuestos —nada infrecuentes en la contratación telefónica o por internet— en los que la póliza y sus condiciones generales no llegan a entregarse materialmente al tomador antes del siniestro, o se entregan de forma incompleta. La STS, Sala de lo Civil, de 24 de abril de 2023 (ROJ: STS 1701/2023; ECLI:ES:TS:2023:1701; MP: Seoane Spiegelberg), aunque referida a un seguro de invalidez, fija una doctrina plenamente trasladable al seguro de daños sobre las consecuencias de la falta de entrega:</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24 de abril de 2023 (ROJ: STS 1701/2023; ECLI:ES:TS:2023:1701; MP: Seoane Spiegelberg)</w:t>
            </w:r>
          </w:p>
          <w:p>
            <w:pPr>
              <w:spacing w:after="0" w:line="280"/>
              <w:jc w:val="both"/>
            </w:pPr>
            <w:r>
              <w:rPr>
                <w:rFonts w:ascii="Archivo" w:cs="Archivo" w:eastAsia="Archivo" w:hAnsi="Archivo"/>
                <w:color w:val="0A2540"/>
                <w:sz w:val="19"/>
                <w:szCs w:val="19"/>
              </w:rPr>
              <w:t xml:space="preserve">«[...] no se especifica el ámbito concreto de cobertura de dicho riesgo, al no haber sido entregadas a la demandante las condiciones generales de la póliza, que lo definían contractualmente, lo que dejaba a la asegurada en una situación de incertidumbre sobre el concreto alcance de la cobertura pactada [...]. Es reiterada jurisprudencia la que sostiene que las contradicciones y correlativas dudas existentes sobre el alcance e interpretación de las condiciones generales de la póliza pesan contra la compañía aseguradora, en tanto en cuanto las predispuso e impuso en sus relaciones contractuales con terceros.»</w:t>
            </w:r>
          </w:p>
        </w:tc>
      </w:tr>
    </w:tbl>
    <w:p>
      <w:pPr>
        <w:spacing w:after="180" w:line="300"/>
        <w:jc w:val="both"/>
      </w:pPr>
      <w:r>
        <w:rPr>
          <w:rFonts w:ascii="Archivo" w:cs="Archivo" w:eastAsia="Archivo" w:hAnsi="Archivo"/>
          <w:sz w:val="21"/>
          <w:szCs w:val="21"/>
        </w:rPr>
        <w:t xml:space="preserve">La consecuencia práctica es contundente: la falta de entrega o de acreditación de la entrega de las condiciones generales no determina automáticamente la nulidad del contrato, pero sí desplaza la incertidumbre sobre el alcance de la cobertura en contra de la aseguradora, que es quien tenía la carga de documentar y entregar el clausulado conforme al art. 3 LCS.</w:t>
      </w:r>
    </w:p>
    <w:p>
      <w:pPr>
        <w:pStyle w:val="Heading2"/>
        <w:spacing w:after="160" w:before="400"/>
      </w:pPr>
      <w:r>
        <w:rPr>
          <w:rFonts w:ascii="Fraunces" w:cs="Fraunces" w:eastAsia="Fraunces" w:hAnsi="Fraunces"/>
          <w:b/>
          <w:bCs/>
          <w:color w:val="0A2540"/>
          <w:sz w:val="24"/>
          <w:szCs w:val="24"/>
        </w:rPr>
        <w:t xml:space="preserve">4.3. El control de interpretación: la regla contra proferentem</w:t>
      </w:r>
    </w:p>
    <w:p>
      <w:pPr>
        <w:spacing w:after="180" w:line="300"/>
        <w:jc w:val="both"/>
      </w:pPr>
      <w:r>
        <w:rPr>
          <w:rFonts w:ascii="Archivo" w:cs="Archivo" w:eastAsia="Archivo" w:hAnsi="Archivo"/>
          <w:sz w:val="21"/>
          <w:szCs w:val="21"/>
        </w:rPr>
        <w:t xml:space="preserve">Superado el control de incorporación, la cláusula efectivamente incorporada al contrato puede, no obstante, resultar oscura o admitir varios sentidos razonables. Para estos casos, el ordenamiento español dispone, desde el Código Civil, de una regla de cierre que la jurisprudencia de seguros aplica de forma sistemática</w:t>
      </w:r>
      <w:r>
        <w:rPr>
          <w:rStyle w:val="FootnoteReference"/>
        </w:rPr>
        <w:footnoteReference w:id="14"/>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1288 CC</w:t>
            </w:r>
          </w:p>
          <w:p>
            <w:pPr>
              <w:spacing w:after="0" w:line="280"/>
              <w:jc w:val="both"/>
            </w:pPr>
            <w:r>
              <w:rPr>
                <w:rFonts w:ascii="IBM Plex Mono" w:cs="IBM Plex Mono" w:eastAsia="IBM Plex Mono" w:hAnsi="IBM Plex Mono"/>
                <w:i/>
                <w:iCs/>
                <w:color w:val="0A2540"/>
                <w:sz w:val="18"/>
                <w:szCs w:val="18"/>
              </w:rPr>
              <w:t xml:space="preserve">La interpretación de las cláusulas oscuras de un contrato no deberá favorecer a la parte que hubiese ocasionado la oscuridad.</w:t>
            </w:r>
          </w:p>
        </w:tc>
      </w:tr>
    </w:tbl>
    <w:p>
      <w:pPr>
        <w:spacing w:after="180" w:line="300"/>
        <w:jc w:val="both"/>
      </w:pPr>
      <w:r>
        <w:rPr>
          <w:rFonts w:ascii="Archivo" w:cs="Archivo" w:eastAsia="Archivo" w:hAnsi="Archivo"/>
          <w:sz w:val="21"/>
          <w:szCs w:val="21"/>
        </w:rPr>
        <w:t xml:space="preserve">La STS 1701/2023, ya citada, sistematiza con precisión la aplicación de esta regla al contrato de seguro, con cita de precedentes que conviene tener presentes por su valor de cita reiterada en la práctica forense:</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24 de abril de 2023 (ROJ: STS 1701/2023; ECLI:ES:TS:2023:1701; MP: Seoane Spiegelberg)</w:t>
            </w:r>
          </w:p>
          <w:p>
            <w:pPr>
              <w:spacing w:after="0" w:line="280"/>
              <w:jc w:val="both"/>
            </w:pPr>
            <w:r>
              <w:rPr>
                <w:rFonts w:ascii="Archivo" w:cs="Archivo" w:eastAsia="Archivo" w:hAnsi="Archivo"/>
                <w:color w:val="0A2540"/>
                <w:sz w:val="19"/>
                <w:szCs w:val="19"/>
              </w:rPr>
              <w:t xml:space="preserve">«La técnica de las condiciones generales impuestas y predispuestas por las compañías determinan la vigencia de la interpretación contra proferentem (contra el proponente), conforme a la cual ‘la interpretación de las cláusulas oscuras de un contrato no deberá favorecer a la parte que hubiese ocasionado la oscuridad’ (SSTS 248/2009, de 2 de abril [...]). [...] toda la normativa de seguros está enfocada a la protección del asegurado, resolviéndose a su favor las dudas interpretativas derivadas de la redacción del contrato o de sus cláusulas oscuras o confusas (STS 498/2016, de 19 de julio); ‘[...] la técnica de las condiciones generales impuestas y predispuestas por las compañías determinan la vigencia de la interpretación contra proferentem’ (STS 31/2020, de 21 de enero).»</w:t>
            </w:r>
          </w:p>
        </w:tc>
      </w:tr>
    </w:tbl>
    <w:p>
      <w:pPr>
        <w:spacing w:after="180" w:line="300"/>
        <w:jc w:val="both"/>
      </w:pPr>
      <w:r>
        <w:rPr>
          <w:rFonts w:ascii="Archivo" w:cs="Archivo" w:eastAsia="Archivo" w:hAnsi="Archivo"/>
          <w:sz w:val="21"/>
          <w:szCs w:val="21"/>
        </w:rPr>
        <w:t xml:space="preserve">Dos precisiones son esenciales para el uso correcto de esta doctrina en un escrito profesional. Primera, la regla contra proferentem es un criterio de cierre: opera únicamente cuando, agotados los criterios generales de interpretación contractual (arts. 1281 y siguientes CC) y el criterio del contenido natural del contrato ya visto en el capítulo 1, subsiste una duda razonable sobre el sentido de la cláusula; no permite descartar el sentido literal claro de una cláusula válidamente incorporada. Segunda, se proyecta con especial intensidad sobre las cláusulas delimitadoras redactadas de forma ambigua, reforzando en la práctica la distinción del art. 3 LCS: una cláusula delimitadora oscura, además de someterse a la interpretación contra proferentem, corre el riesgo de ser recalificada como limitativa por su carácter «sorpresivo» conforme a la doctrina ya estudiada en el capítulo 1.</w:t>
      </w:r>
    </w:p>
    <w:p>
      <w:pPr>
        <w:pStyle w:val="Heading2"/>
        <w:spacing w:after="160" w:before="400"/>
      </w:pPr>
      <w:r>
        <w:rPr>
          <w:rFonts w:ascii="Fraunces" w:cs="Fraunces" w:eastAsia="Fraunces" w:hAnsi="Fraunces"/>
          <w:b/>
          <w:bCs/>
          <w:color w:val="0A2540"/>
          <w:sz w:val="24"/>
          <w:szCs w:val="24"/>
        </w:rPr>
        <w:t xml:space="preserve">4.4. Casuística de cláusulas típicas en el seguro de hogar</w:t>
      </w:r>
    </w:p>
    <w:p>
      <w:pPr>
        <w:spacing w:after="180" w:line="300"/>
        <w:jc w:val="both"/>
      </w:pPr>
      <w:r>
        <w:rPr>
          <w:rFonts w:ascii="Archivo" w:cs="Archivo" w:eastAsia="Archivo" w:hAnsi="Archivo"/>
          <w:sz w:val="21"/>
          <w:szCs w:val="21"/>
        </w:rPr>
        <w:t xml:space="preserve">La aplicación combinada de los controles de incorporación, interpretación y de la distinción delimitadora/limitativa a las cláusulas más frecuentes del ramo de hogar permite fijar algunas pautas de calificación, que se retoman con mayor detalle en los capítulos dedicados a cada cobertura:</w:t>
      </w:r>
    </w:p>
    <w:p>
      <w:pPr>
        <w:pStyle w:val="ListParagraph"/>
        <w:numPr>
          <w:ilvl w:val="0"/>
          <w:numId w:val="2"/>
        </w:numPr>
        <w:spacing w:after="100" w:line="290"/>
      </w:pPr>
      <w:r>
        <w:rPr>
          <w:rFonts w:ascii="Archivo" w:cs="Archivo" w:eastAsia="Archivo" w:hAnsi="Archivo"/>
          <w:b/>
          <w:bCs/>
          <w:sz w:val="21"/>
          <w:szCs w:val="21"/>
        </w:rPr>
        <w:t xml:space="preserve">Definición del riesgo cubierto (p. ej. «daños por agua»): </w:t>
      </w:r>
      <w:r>
        <w:rPr>
          <w:rFonts w:ascii="Archivo" w:cs="Archivo" w:eastAsia="Archivo" w:hAnsi="Archivo"/>
          <w:sz w:val="21"/>
          <w:szCs w:val="21"/>
        </w:rPr>
        <w:t xml:space="preserve">cláusula delimitadora en su núcleo (qué se entiende por daño por agua a efectos de la póliza), pero susceptible de tratamiento como limitativa en sus exclusiones periféricas si se formulan de manera sorpresiva respecto del contenido típico del ramo (véase capítulo 8).</w:t>
      </w:r>
    </w:p>
    <w:p>
      <w:pPr>
        <w:pStyle w:val="ListParagraph"/>
        <w:numPr>
          <w:ilvl w:val="0"/>
          <w:numId w:val="2"/>
        </w:numPr>
        <w:spacing w:after="100" w:line="290"/>
      </w:pPr>
      <w:r>
        <w:rPr>
          <w:rFonts w:ascii="Archivo" w:cs="Archivo" w:eastAsia="Archivo" w:hAnsi="Archivo"/>
          <w:b/>
          <w:bCs/>
          <w:sz w:val="21"/>
          <w:szCs w:val="21"/>
        </w:rPr>
        <w:t xml:space="preserve">Franquicias: </w:t>
      </w:r>
      <w:r>
        <w:rPr>
          <w:rFonts w:ascii="Archivo" w:cs="Archivo" w:eastAsia="Archivo" w:hAnsi="Archivo"/>
          <w:sz w:val="21"/>
          <w:szCs w:val="21"/>
        </w:rPr>
        <w:t xml:space="preserve">generalmente calificadas como cláusulas delimitadoras del alcance económico de la cobertura, siempre que figuren en las condiciones particulares con la claridad exigida por el art. 3 LCS.</w:t>
      </w:r>
    </w:p>
    <w:p>
      <w:pPr>
        <w:pStyle w:val="ListParagraph"/>
        <w:numPr>
          <w:ilvl w:val="0"/>
          <w:numId w:val="2"/>
        </w:numPr>
        <w:spacing w:after="100" w:line="290"/>
      </w:pPr>
      <w:r>
        <w:rPr>
          <w:rFonts w:ascii="Archivo" w:cs="Archivo" w:eastAsia="Archivo" w:hAnsi="Archivo"/>
          <w:b/>
          <w:bCs/>
          <w:sz w:val="21"/>
          <w:szCs w:val="21"/>
        </w:rPr>
        <w:t xml:space="preserve">Sublímites cuantitativos (joyas, dinero en efectivo, equipos electrónicos): </w:t>
      </w:r>
      <w:r>
        <w:rPr>
          <w:rFonts w:ascii="Archivo" w:cs="Archivo" w:eastAsia="Archivo" w:hAnsi="Archivo"/>
          <w:sz w:val="21"/>
          <w:szCs w:val="21"/>
        </w:rPr>
        <w:t xml:space="preserve">delimitadoras en su formulación estándar, pero limitativas cuando se apartan sensiblemente de lo que un asegurado medio esperaría de la suma asegurada general del contenido sin advertencia destacada.</w:t>
      </w:r>
    </w:p>
    <w:p>
      <w:pPr>
        <w:pStyle w:val="ListParagraph"/>
        <w:numPr>
          <w:ilvl w:val="0"/>
          <w:numId w:val="2"/>
        </w:numPr>
        <w:spacing w:after="100" w:line="290"/>
      </w:pPr>
      <w:r>
        <w:rPr>
          <w:rFonts w:ascii="Archivo" w:cs="Archivo" w:eastAsia="Archivo" w:hAnsi="Archivo"/>
          <w:b/>
          <w:bCs/>
          <w:sz w:val="21"/>
          <w:szCs w:val="21"/>
        </w:rPr>
        <w:t xml:space="preserve">Cláusulas de valoración (valor real, valor de reposición, valor de nuevo): </w:t>
      </w:r>
      <w:r>
        <w:rPr>
          <w:rFonts w:ascii="Archivo" w:cs="Archivo" w:eastAsia="Archivo" w:hAnsi="Archivo"/>
          <w:sz w:val="21"/>
          <w:szCs w:val="21"/>
        </w:rPr>
        <w:t xml:space="preserve">como se vio en el capítulo 1 a propósito de la STS 2233/2020 (ROJ: STS 2233/2020), la fijación del criterio de valoración por «valor real» sin cumplir los requisitos formales del art. 3 LCS ha sido calificada como cláusula limitativa inoponible al asegurado.</w:t>
      </w:r>
    </w:p>
    <w:p>
      <w:pPr>
        <w:pStyle w:val="ListParagraph"/>
        <w:numPr>
          <w:ilvl w:val="0"/>
          <w:numId w:val="2"/>
        </w:numPr>
        <w:spacing w:after="100" w:line="290"/>
      </w:pPr>
      <w:r>
        <w:rPr>
          <w:rFonts w:ascii="Archivo" w:cs="Archivo" w:eastAsia="Archivo" w:hAnsi="Archivo"/>
          <w:b/>
          <w:bCs/>
          <w:sz w:val="21"/>
          <w:szCs w:val="21"/>
        </w:rPr>
        <w:t xml:space="preserve">Cláusulas de exclusión por falta de mantenimiento o vetustez de instalaciones: </w:t>
      </w:r>
      <w:r>
        <w:rPr>
          <w:rFonts w:ascii="Archivo" w:cs="Archivo" w:eastAsia="Archivo" w:hAnsi="Archivo"/>
          <w:sz w:val="21"/>
          <w:szCs w:val="21"/>
        </w:rPr>
        <w:t xml:space="preserve">requieren especial atención al requisito de destacado formal y aceptación específica, por su potencial de vaciar de contenido la cobertura típica de daños por agua en viviendas de cierta antigüedad (capítulo 8 y capítulo 16).</w:t>
      </w:r>
    </w:p>
    <w:p>
      <w:pPr>
        <w:pStyle w:val="Heading2"/>
        <w:spacing w:after="160" w:before="400"/>
      </w:pPr>
      <w:r>
        <w:rPr>
          <w:rFonts w:ascii="Fraunces" w:cs="Fraunces" w:eastAsia="Fraunces" w:hAnsi="Fraunces"/>
          <w:b/>
          <w:bCs/>
          <w:color w:val="0A2540"/>
          <w:sz w:val="24"/>
          <w:szCs w:val="24"/>
        </w:rPr>
        <w:t xml:space="preserve">4.5. El control de contenido cuando el tomador es consumidor: remisión</w:t>
      </w:r>
    </w:p>
    <w:p>
      <w:pPr>
        <w:spacing w:after="180" w:line="300"/>
        <w:jc w:val="both"/>
      </w:pPr>
      <w:r>
        <w:rPr>
          <w:rFonts w:ascii="Archivo" w:cs="Archivo" w:eastAsia="Archivo" w:hAnsi="Archivo"/>
          <w:sz w:val="21"/>
          <w:szCs w:val="21"/>
        </w:rPr>
        <w:t xml:space="preserve">Cuando el tomador del seguro de hogar tiene la condición de consumidor o usuario —el supuesto ampliamente mayoritario en la práctica—, a los controles de incorporación e interpretación se añade un tercer control, el de contenido, que permite declarar la nulidad de las cláusulas abusivas conforme al Texto Refundido de la Ley General para la Defensa de los Consumidores y Usuarios, con independencia de que superen o no los controles anteriores. Este control de contenido, con su propia metodología y casuística, se desarrolla con detalle en el capítulo 25 de esta obra.</w:t>
      </w:r>
    </w:p>
    <w:p>
      <w:pPr>
        <w:pStyle w:val="Heading2"/>
        <w:spacing w:after="160" w:before="400"/>
      </w:pPr>
      <w:r>
        <w:rPr>
          <w:rFonts w:ascii="Fraunces" w:cs="Fraunces" w:eastAsia="Fraunces" w:hAnsi="Fraunces"/>
          <w:b/>
          <w:bCs/>
          <w:color w:val="0A2540"/>
          <w:sz w:val="24"/>
          <w:szCs w:val="24"/>
        </w:rPr>
        <w:t xml:space="preserve">4.6.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Metodología de análisis de una cláusula controvertida</w:t>
            </w:r>
          </w:p>
          <w:p>
            <w:pPr>
              <w:pStyle w:val="ListParagraph"/>
              <w:numPr>
                <w:ilvl w:val="0"/>
                <w:numId w:val="2"/>
              </w:numPr>
              <w:spacing w:after="80" w:line="280"/>
            </w:pPr>
            <w:r>
              <w:rPr>
                <w:rFonts w:ascii="Archivo" w:cs="Archivo" w:eastAsia="Archivo" w:hAnsi="Archivo"/>
                <w:sz w:val="19"/>
                <w:szCs w:val="19"/>
              </w:rPr>
              <w:t xml:space="preserve">Paso 1 — Incorporación: ¿tuvo el tomador oportunidad real de conocer la cláusula? ¿Se entregó la póliza y sus condiciones generales antes del siniestro? (arts. 5 y 7 LCGC).</w:t>
            </w:r>
          </w:p>
          <w:p>
            <w:pPr>
              <w:pStyle w:val="ListParagraph"/>
              <w:numPr>
                <w:ilvl w:val="0"/>
                <w:numId w:val="2"/>
              </w:numPr>
              <w:spacing w:after="80" w:line="280"/>
            </w:pPr>
            <w:r>
              <w:rPr>
                <w:rFonts w:ascii="Archivo" w:cs="Archivo" w:eastAsia="Archivo" w:hAnsi="Archivo"/>
                <w:sz w:val="19"/>
                <w:szCs w:val="19"/>
              </w:rPr>
              <w:t xml:space="preserve">Paso 2 — Calificación: ¿la cláusula delimita el riesgo o limita un derecho ya nacido? Aplicar el test de la cláusula sorpresiva (capítulo 1).</w:t>
            </w:r>
          </w:p>
          <w:p>
            <w:pPr>
              <w:pStyle w:val="ListParagraph"/>
              <w:numPr>
                <w:ilvl w:val="0"/>
                <w:numId w:val="2"/>
              </w:numPr>
              <w:spacing w:after="80" w:line="280"/>
            </w:pPr>
            <w:r>
              <w:rPr>
                <w:rFonts w:ascii="Archivo" w:cs="Archivo" w:eastAsia="Archivo" w:hAnsi="Archivo"/>
                <w:sz w:val="19"/>
                <w:szCs w:val="19"/>
              </w:rPr>
              <w:t xml:space="preserve">Paso 3 — Requisitos formales: si es limitativa, ¿cumple el destacado tipográfico y la aceptación específica del art. 3 LCS?</w:t>
            </w:r>
          </w:p>
          <w:p>
            <w:pPr>
              <w:pStyle w:val="ListParagraph"/>
              <w:numPr>
                <w:ilvl w:val="0"/>
                <w:numId w:val="2"/>
              </w:numPr>
              <w:spacing w:after="80" w:line="280"/>
            </w:pPr>
            <w:r>
              <w:rPr>
                <w:rFonts w:ascii="Archivo" w:cs="Archivo" w:eastAsia="Archivo" w:hAnsi="Archivo"/>
                <w:sz w:val="19"/>
                <w:szCs w:val="19"/>
              </w:rPr>
              <w:t xml:space="preserve">Paso 4 — Interpretación: si persiste la duda sobre su sentido, aplicar el art. 1288 CC (contra proferentem) con cita de la STS 1701/2023 y de los precedentes que cita.</w:t>
            </w:r>
          </w:p>
          <w:p>
            <w:pPr>
              <w:pStyle w:val="ListParagraph"/>
              <w:numPr>
                <w:ilvl w:val="0"/>
                <w:numId w:val="2"/>
              </w:numPr>
              <w:spacing w:after="80" w:line="280"/>
            </w:pPr>
            <w:r>
              <w:rPr>
                <w:rFonts w:ascii="Archivo" w:cs="Archivo" w:eastAsia="Archivo" w:hAnsi="Archivo"/>
                <w:sz w:val="19"/>
                <w:szCs w:val="19"/>
              </w:rPr>
              <w:t xml:space="preserve">Paso 5 — Contenido: si el tomador es consumidor, verificar adicionalmente su conformidad con el TRLGDCU (capítulo 25).</w:t>
            </w:r>
          </w:p>
        </w:tc>
      </w:tr>
    </w:tbl>
    <w:p>
      <w:pPr>
        <w:pStyle w:val="Heading2"/>
        <w:spacing w:after="160" w:before="400"/>
      </w:pPr>
      <w:r>
        <w:rPr>
          <w:rFonts w:ascii="Fraunces" w:cs="Fraunces" w:eastAsia="Fraunces" w:hAnsi="Fraunces"/>
          <w:b/>
          <w:bCs/>
          <w:color w:val="0A2540"/>
          <w:sz w:val="24"/>
          <w:szCs w:val="24"/>
        </w:rPr>
        <w:t xml:space="preserve">4.7.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Señales de alerta al leer su póliza</w:t>
            </w:r>
          </w:p>
          <w:p>
            <w:pPr>
              <w:pStyle w:val="ListParagraph"/>
              <w:numPr>
                <w:ilvl w:val="0"/>
                <w:numId w:val="2"/>
              </w:numPr>
              <w:spacing w:after="80" w:line="280"/>
            </w:pPr>
            <w:r>
              <w:rPr>
                <w:rFonts w:ascii="Archivo" w:cs="Archivo" w:eastAsia="Archivo" w:hAnsi="Archivo"/>
                <w:sz w:val="19"/>
                <w:szCs w:val="19"/>
              </w:rPr>
              <w:t xml:space="preserve">Si no recibió las condiciones generales completas al contratar (solo un resumen o las condiciones particulares), reclame su entrega por escrito y conserve copia de la reclamación: puede ser decisivo si más adelante hay una disputa sobre el alcance de su cobertura.</w:t>
            </w:r>
          </w:p>
          <w:p>
            <w:pPr>
              <w:pStyle w:val="ListParagraph"/>
              <w:numPr>
                <w:ilvl w:val="0"/>
                <w:numId w:val="2"/>
              </w:numPr>
              <w:spacing w:after="80" w:line="280"/>
            </w:pPr>
            <w:r>
              <w:rPr>
                <w:rFonts w:ascii="Archivo" w:cs="Archivo" w:eastAsia="Archivo" w:hAnsi="Archivo"/>
                <w:sz w:val="19"/>
                <w:szCs w:val="19"/>
              </w:rPr>
              <w:t xml:space="preserve">Si una cláusula admite dos lecturas razonables y la aseguradora la interpreta siempre en su contra, recuerde que la ley dice justamente lo contrario: la duda debe resolverse a su favor (art. 1288 CC).</w:t>
            </w:r>
          </w:p>
          <w:p>
            <w:pPr>
              <w:pStyle w:val="ListParagraph"/>
              <w:numPr>
                <w:ilvl w:val="0"/>
                <w:numId w:val="2"/>
              </w:numPr>
              <w:spacing w:after="80" w:line="280"/>
            </w:pPr>
            <w:r>
              <w:rPr>
                <w:rFonts w:ascii="Archivo" w:cs="Archivo" w:eastAsia="Archivo" w:hAnsi="Archivo"/>
                <w:sz w:val="19"/>
                <w:szCs w:val="19"/>
              </w:rPr>
              <w:t xml:space="preserve">Desconfíe de las definiciones que reducen, en la letra pequeña de las condiciones generales, lo que las condiciones particulares o la publicidad del producto le hicieron esperar.</w:t>
            </w:r>
          </w:p>
        </w:tc>
      </w:tr>
    </w:tbl>
    <w:p>
      <w:pPr>
        <w:pStyle w:val="Heading2"/>
        <w:spacing w:after="160" w:before="400"/>
      </w:pPr>
      <w:r>
        <w:rPr>
          <w:rFonts w:ascii="Fraunces" w:cs="Fraunces" w:eastAsia="Fraunces" w:hAnsi="Fraunces"/>
          <w:b/>
          <w:bCs/>
          <w:color w:val="0A2540"/>
          <w:sz w:val="24"/>
          <w:szCs w:val="24"/>
        </w:rPr>
        <w:t xml:space="preserve">4.8. Checklist: banderas rojas en la redacción de una póliza</w:t>
      </w:r>
    </w:p>
    <w:p>
      <w:pPr>
        <w:pStyle w:val="ListParagraph"/>
        <w:numPr>
          <w:ilvl w:val="0"/>
          <w:numId w:val="2"/>
        </w:numPr>
        <w:spacing w:after="100" w:line="290"/>
      </w:pPr>
      <w:r>
        <w:rPr>
          <w:rFonts w:ascii="Archivo" w:cs="Archivo" w:eastAsia="Archivo" w:hAnsi="Archivo"/>
          <w:sz w:val="21"/>
          <w:szCs w:val="21"/>
        </w:rPr>
        <w:t xml:space="preserve">1. Ausencia de acuse de recibo o firma de entrega de las condiciones generales.</w:t>
      </w:r>
    </w:p>
    <w:p>
      <w:pPr>
        <w:pStyle w:val="ListParagraph"/>
        <w:numPr>
          <w:ilvl w:val="0"/>
          <w:numId w:val="2"/>
        </w:numPr>
        <w:spacing w:after="100" w:line="290"/>
      </w:pPr>
      <w:r>
        <w:rPr>
          <w:rFonts w:ascii="Archivo" w:cs="Archivo" w:eastAsia="Archivo" w:hAnsi="Archivo"/>
          <w:sz w:val="21"/>
          <w:szCs w:val="21"/>
        </w:rPr>
        <w:t xml:space="preserve">2. Definiciones de riesgo con múltiples remisiones cruzadas entre condiciones generales, particulares y especiales.</w:t>
      </w:r>
    </w:p>
    <w:p>
      <w:pPr>
        <w:pStyle w:val="ListParagraph"/>
        <w:numPr>
          <w:ilvl w:val="0"/>
          <w:numId w:val="2"/>
        </w:numPr>
        <w:spacing w:after="100" w:line="290"/>
      </w:pPr>
      <w:r>
        <w:rPr>
          <w:rFonts w:ascii="Archivo" w:cs="Archivo" w:eastAsia="Archivo" w:hAnsi="Archivo"/>
          <w:sz w:val="21"/>
          <w:szCs w:val="21"/>
        </w:rPr>
        <w:t xml:space="preserve">3. Exclusiones formuladas de forma genérica, sin destacado tipográfico ni firma específica.</w:t>
      </w:r>
    </w:p>
    <w:p>
      <w:pPr>
        <w:pStyle w:val="ListParagraph"/>
        <w:numPr>
          <w:ilvl w:val="0"/>
          <w:numId w:val="2"/>
        </w:numPr>
        <w:spacing w:after="100" w:line="290"/>
      </w:pPr>
      <w:r>
        <w:rPr>
          <w:rFonts w:ascii="Archivo" w:cs="Archivo" w:eastAsia="Archivo" w:hAnsi="Archivo"/>
          <w:sz w:val="21"/>
          <w:szCs w:val="21"/>
        </w:rPr>
        <w:t xml:space="preserve">4. Sublímites que no aparecen destacados frente a la suma asegurada general.</w:t>
      </w:r>
    </w:p>
    <w:p>
      <w:pPr>
        <w:pStyle w:val="ListParagraph"/>
        <w:numPr>
          <w:ilvl w:val="0"/>
          <w:numId w:val="2"/>
        </w:numPr>
        <w:spacing w:after="100" w:line="290"/>
      </w:pPr>
      <w:r>
        <w:rPr>
          <w:rFonts w:ascii="Archivo" w:cs="Archivo" w:eastAsia="Archivo" w:hAnsi="Archivo"/>
          <w:sz w:val="21"/>
          <w:szCs w:val="21"/>
        </w:rPr>
        <w:t xml:space="preserve">5. Discrepancias entre lo publicitado o explicado verbalmente y el texto de las condiciones generales.</w:t>
      </w:r>
    </w:p>
    <w:p>
      <w:pPr>
        <w:pStyle w:val="ListParagraph"/>
        <w:numPr>
          <w:ilvl w:val="0"/>
          <w:numId w:val="2"/>
        </w:numPr>
        <w:spacing w:after="100" w:line="290"/>
      </w:pPr>
      <w:r>
        <w:rPr>
          <w:rFonts w:ascii="Archivo" w:cs="Archivo" w:eastAsia="Archivo" w:hAnsi="Archivo"/>
          <w:sz w:val="21"/>
          <w:szCs w:val="21"/>
        </w:rPr>
        <w:t xml:space="preserve">6. Cláusulas de valoración del contenido no explicitadas con claridad en las condiciones particulares.</w:t>
      </w:r>
    </w:p>
    <w:p>
      <w:pPr>
        <w:pStyle w:val="ListParagraph"/>
        <w:numPr>
          <w:ilvl w:val="0"/>
          <w:numId w:val="2"/>
        </w:numPr>
        <w:spacing w:after="100" w:line="290"/>
      </w:pPr>
      <w:r>
        <w:rPr>
          <w:rFonts w:ascii="Archivo" w:cs="Archivo" w:eastAsia="Archivo" w:hAnsi="Archivo"/>
          <w:sz w:val="21"/>
          <w:szCs w:val="21"/>
        </w:rPr>
        <w:t xml:space="preserve">7. Referencias a normativa técnica o estándares de mantenimiento sin concreción de su contenido exigible.</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BATALLER GRAU, J.; BOQUERA MATARREDONA, J.; OLAVARRÍA IGLESIA, J. (coords.), Comentarios a la Ley de Contrato de Seguro, Tirant lo Blanch, Valencia.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spacing w:after="180" w:line="300"/>
        <w:jc w:val="both"/>
      </w:pPr>
      <w:r>
        <w:rPr>
          <w:rFonts w:ascii="Archivo" w:cs="Archivo" w:eastAsia="Archivo" w:hAnsi="Archivo"/>
          <w:sz w:val="21"/>
          <w:szCs w:val="21"/>
        </w:rPr>
        <w:t xml:space="preserve">VEIGA COPO, A. B., Condiciones generales y particulares en 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6. </w:t>
      </w:r>
      <w:r>
        <w:rPr>
          <w:rFonts w:ascii="Fraunces" w:cs="Fraunces" w:eastAsia="Fraunces" w:hAnsi="Fraunces"/>
          <w:b/>
          <w:bCs/>
          <w:color w:val="0A2540"/>
          <w:sz w:val="30"/>
          <w:szCs w:val="30"/>
        </w:rPr>
        <w:t xml:space="preserve">Interpretación contractual en el seguro de hogar</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6.1. La interpretación del contrato de seguro: un problema cotidiano, no excepcional</w:t>
            </w:r>
          </w:p>
          <w:p>
            <w:pPr>
              <w:spacing w:after="40" w:line="260"/>
            </w:pPr>
            <w:r>
              <w:rPr>
                <w:rFonts w:ascii="Archivo" w:cs="Archivo" w:eastAsia="Archivo" w:hAnsi="Archivo"/>
                <w:sz w:val="18"/>
                <w:szCs w:val="18"/>
              </w:rPr>
              <w:t xml:space="preserve">6.2. La interpretación literal como punto de partida (art. 1281 CC)</w:t>
            </w:r>
          </w:p>
          <w:p>
            <w:pPr>
              <w:spacing w:after="40" w:line="260"/>
            </w:pPr>
            <w:r>
              <w:rPr>
                <w:rFonts w:ascii="Archivo" w:cs="Archivo" w:eastAsia="Archivo" w:hAnsi="Archivo"/>
                <w:sz w:val="18"/>
                <w:szCs w:val="18"/>
              </w:rPr>
              <w:t xml:space="preserve">6.3. Los cánones sistemático y finalista (arts. 1284, 1285 y 1286 CC)</w:t>
            </w:r>
          </w:p>
          <w:p>
            <w:pPr>
              <w:spacing w:after="40" w:line="260"/>
            </w:pPr>
            <w:r>
              <w:rPr>
                <w:rFonts w:ascii="Archivo" w:cs="Archivo" w:eastAsia="Archivo" w:hAnsi="Archivo"/>
                <w:sz w:val="18"/>
                <w:szCs w:val="18"/>
              </w:rPr>
              <w:t xml:space="preserve">6.4. La expectativa razonable del asegurado como canon específico del seguro</w:t>
            </w:r>
          </w:p>
          <w:p>
            <w:pPr>
              <w:spacing w:after="40" w:line="260"/>
            </w:pPr>
            <w:r>
              <w:rPr>
                <w:rFonts w:ascii="Archivo" w:cs="Archivo" w:eastAsia="Archivo" w:hAnsi="Archivo"/>
                <w:sz w:val="18"/>
                <w:szCs w:val="18"/>
              </w:rPr>
              <w:t xml:space="preserve">6.5. La regla de cierre: contra proferentem y nulidad por duda insalvable (arts. 1288 y 1289 CC)</w:t>
            </w:r>
          </w:p>
          <w:p>
            <w:pPr>
              <w:spacing w:after="40" w:line="260"/>
            </w:pPr>
            <w:r>
              <w:rPr>
                <w:rFonts w:ascii="Archivo" w:cs="Archivo" w:eastAsia="Archivo" w:hAnsi="Archivo"/>
                <w:sz w:val="18"/>
                <w:szCs w:val="18"/>
              </w:rPr>
              <w:t xml:space="preserve">6.6. Método integrado de interpretación de una póliza de hogar</w:t>
            </w:r>
          </w:p>
          <w:p>
            <w:pPr>
              <w:spacing w:after="40" w:line="260"/>
            </w:pPr>
            <w:r>
              <w:rPr>
                <w:rFonts w:ascii="Archivo" w:cs="Archivo" w:eastAsia="Archivo" w:hAnsi="Archivo"/>
                <w:sz w:val="18"/>
                <w:szCs w:val="18"/>
              </w:rPr>
              <w:t xml:space="preserve">6.7. Ficha para el profesional</w:t>
            </w:r>
          </w:p>
          <w:p>
            <w:pPr>
              <w:spacing w:after="40" w:line="260"/>
            </w:pPr>
            <w:r>
              <w:rPr>
                <w:rFonts w:ascii="Archivo" w:cs="Archivo" w:eastAsia="Archivo" w:hAnsi="Archivo"/>
                <w:sz w:val="18"/>
                <w:szCs w:val="18"/>
              </w:rPr>
              <w:t xml:space="preserve">6.8. Ficha para el asegurado</w:t>
            </w:r>
          </w:p>
          <w:p>
            <w:pPr>
              <w:spacing w:after="40" w:line="260"/>
            </w:pPr>
            <w:r>
              <w:rPr>
                <w:rFonts w:ascii="Archivo" w:cs="Archivo" w:eastAsia="Archivo" w:hAnsi="Archivo"/>
                <w:sz w:val="18"/>
                <w:szCs w:val="18"/>
              </w:rPr>
              <w:t xml:space="preserve">6.9. Checklist: interpretación de una cláusula controvertida</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sistematiza los cánones de interpretación contractual del Código Civil (arts. 1281 a 1289) en su aplicación específica al seguro de hogar, completando el estudio de la regla contra proferentem ya avanzado en el capítulo 5, y proponiendo un método integrado de interpretación que combina la literalidad, la sistemática interna del contrato, la finalidad práctica perseguida por el asegurado y, solo como último recurso, las reglas de cierre en favor del adherente.</w:t>
            </w:r>
          </w:p>
          <w:p>
            <w:pPr>
              <w:spacing w:after="160"/>
            </w:pPr>
            <w:r>
              <w:rPr>
                <w:rFonts w:ascii="Archivo" w:cs="Archivo" w:eastAsia="Archivo" w:hAnsi="Archivo"/>
                <w:b/>
                <w:bCs/>
                <w:sz w:val="17"/>
                <w:szCs w:val="17"/>
              </w:rPr>
              <w:t xml:space="preserve">Palabras clave: interpretación del contrato, art. 1281 CC, art. 1288 CC, expectativa razonable, canon finalista.</w:t>
            </w:r>
          </w:p>
          <w:p>
            <w:pPr>
              <w:spacing w:after="100"/>
              <w:jc w:val="both"/>
            </w:pPr>
            <w:r>
              <w:rPr>
                <w:rFonts w:ascii="Archivo" w:cs="Archivo" w:eastAsia="Archivo" w:hAnsi="Archivo"/>
                <w:i/>
                <w:iCs/>
                <w:sz w:val="18"/>
                <w:szCs w:val="18"/>
              </w:rPr>
              <w:t xml:space="preserve">This chapter systematises the Civil Code's contract interpretation canons (Articles 1281 to 1289) as applied specifically to homeowners' insurance, building on the contra proferentem rule already introduced in Chapter 5, and proposing an integrated interpretive method that combines literal wording, the contract's internal coherence, the policyholder's practical purpose and, only as a last resort, the closing rules favouring the adhering party.</w:t>
            </w:r>
          </w:p>
          <w:p>
            <w:pPr>
              <w:spacing w:after="0"/>
            </w:pPr>
            <w:r>
              <w:rPr>
                <w:rFonts w:ascii="Archivo" w:cs="Archivo" w:eastAsia="Archivo" w:hAnsi="Archivo"/>
                <w:b/>
                <w:bCs/>
                <w:sz w:val="17"/>
                <w:szCs w:val="17"/>
              </w:rPr>
              <w:t xml:space="preserve">Keywords: contract interpretation, literal interpretation, reasonable expectations, closing interpretive rules.</w:t>
            </w:r>
          </w:p>
        </w:tc>
      </w:tr>
    </w:tbl>
    <w:p>
      <w:pPr>
        <w:spacing w:after="200"/>
      </w:pPr>
    </w:p>
    <w:p>
      <w:pPr>
        <w:pStyle w:val="Heading2"/>
        <w:spacing w:after="160" w:before="400"/>
      </w:pPr>
      <w:r>
        <w:rPr>
          <w:rFonts w:ascii="Fraunces" w:cs="Fraunces" w:eastAsia="Fraunces" w:hAnsi="Fraunces"/>
          <w:b/>
          <w:bCs/>
          <w:color w:val="0A2540"/>
          <w:sz w:val="24"/>
          <w:szCs w:val="24"/>
        </w:rPr>
        <w:t xml:space="preserve">6.1. La interpretación del contrato de seguro: un problema cotidiano, no excepcional</w:t>
      </w:r>
    </w:p>
    <w:p>
      <w:pPr>
        <w:spacing w:after="180" w:line="300"/>
        <w:jc w:val="both"/>
      </w:pPr>
      <w:r>
        <w:rPr>
          <w:rFonts w:ascii="Archivo" w:cs="Archivo" w:eastAsia="Archivo" w:hAnsi="Archivo"/>
          <w:sz w:val="21"/>
          <w:szCs w:val="21"/>
        </w:rPr>
        <w:t xml:space="preserve">Conviene despejar, desde el inicio de este capítulo, una idea errónea pero extendida: la interpretación contractual no es un recurso excepcional, reservado a los casos de cláusulas verdaderamente oscuras o contradictorias, sino la operación intelectual que, en mayor o menor medida, precede a la aplicación de cualquier cláusula de la póliza a un siniestro concreto</w:t>
      </w:r>
      <w:r>
        <w:rPr>
          <w:rStyle w:val="FootnoteReference"/>
        </w:rPr>
        <w:footnoteReference w:id="15"/>
      </w:r>
      <w:r>
        <w:rPr>
          <w:rFonts w:ascii="Archivo" w:cs="Archivo" w:eastAsia="Archivo" w:hAnsi="Archivo"/>
          <w:sz w:val="21"/>
          <w:szCs w:val="21"/>
        </w:rPr>
        <w:t xml:space="preserve">. El Código Civil dedica a esta operación un conjunto de normas —arts. 1281 a 1289— que, aunque concebidas para el contrato en general, la jurisprudencia aplica de forma constante y especialmente intensa al contrato de seguro, por su condición de contrato de adhesión.</w:t>
      </w:r>
    </w:p>
    <w:p>
      <w:pPr>
        <w:pStyle w:val="Heading2"/>
        <w:spacing w:after="160" w:before="400"/>
      </w:pPr>
      <w:r>
        <w:rPr>
          <w:rFonts w:ascii="Fraunces" w:cs="Fraunces" w:eastAsia="Fraunces" w:hAnsi="Fraunces"/>
          <w:b/>
          <w:bCs/>
          <w:color w:val="0A2540"/>
          <w:sz w:val="24"/>
          <w:szCs w:val="24"/>
        </w:rPr>
        <w:t xml:space="preserve">6.2. La interpretación literal como punto de partida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1281 CC</w:t>
            </w:r>
          </w:p>
          <w:p>
            <w:pPr>
              <w:spacing w:after="0" w:line="280"/>
              <w:jc w:val="both"/>
            </w:pPr>
            <w:r>
              <w:rPr>
                <w:rFonts w:ascii="IBM Plex Mono" w:cs="IBM Plex Mono" w:eastAsia="IBM Plex Mono" w:hAnsi="IBM Plex Mono"/>
                <w:i/>
                <w:iCs/>
                <w:color w:val="0A2540"/>
                <w:sz w:val="18"/>
                <w:szCs w:val="18"/>
              </w:rPr>
              <w:t xml:space="preserve">Si los términos de un contrato son claros y no dejan duda sobre la intención de los contratantes, se estará al sentido literal de sus cláusulas. Si las palabras parecieren contrarias a la intención evidente de los contratantes, prevalecerá ésta sobre aquéllas.</w:t>
            </w:r>
          </w:p>
        </w:tc>
      </w:tr>
    </w:tbl>
    <w:p>
      <w:pPr>
        <w:spacing w:after="180" w:line="300"/>
        <w:jc w:val="both"/>
      </w:pPr>
      <w:r>
        <w:rPr>
          <w:rFonts w:ascii="Archivo" w:cs="Archivo" w:eastAsia="Archivo" w:hAnsi="Archivo"/>
          <w:sz w:val="21"/>
          <w:szCs w:val="21"/>
        </w:rPr>
        <w:t xml:space="preserve">El punto de partida de cualquier análisis interpretativo es, por tanto, el propio texto de la cláusula. Cuando su sentido literal es claro y no contradice la intención evidente de las partes, no hay margen para acudir a criterios interpretativos adicionales: la cláusula se aplica tal como está redactada. Solo cuando el texto admite varios sentidos razonables, o cuando su aplicación literal conduciría a un resultado manifiestamente contrario a lo que las partes quisieron, se abre paso a los cánones complementarios de los epígrafes siguientes.</w:t>
      </w:r>
    </w:p>
    <w:p>
      <w:pPr>
        <w:pStyle w:val="Heading2"/>
        <w:spacing w:after="160" w:before="400"/>
      </w:pPr>
      <w:r>
        <w:rPr>
          <w:rFonts w:ascii="Fraunces" w:cs="Fraunces" w:eastAsia="Fraunces" w:hAnsi="Fraunces"/>
          <w:b/>
          <w:bCs/>
          <w:color w:val="0A2540"/>
          <w:sz w:val="24"/>
          <w:szCs w:val="24"/>
        </w:rPr>
        <w:t xml:space="preserve">6.3. Los cánones sistemático y finalista</w:t>
      </w:r>
    </w:p>
    <w:p>
      <w:pPr>
        <w:spacing w:after="180" w:line="300"/>
        <w:jc w:val="both"/>
      </w:pPr>
      <w:r>
        <w:rPr>
          <w:rFonts w:ascii="Archivo" w:cs="Archivo" w:eastAsia="Archivo" w:hAnsi="Archivo"/>
          <w:sz w:val="21"/>
          <w:szCs w:val="21"/>
        </w:rPr>
        <w:t xml:space="preserve">Superada la interpretación puramente literal, el Código Civil ofrece criterios adicionales que la práctica del seguro de hogar utiliza con frecuencia, particularmente cuando una póliza combina condiciones generales, particulares y especiales de redacción no siempre coherente entre sí (capítulo 5):</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1285 CC</w:t>
            </w:r>
          </w:p>
          <w:p>
            <w:pPr>
              <w:spacing w:after="0" w:line="280"/>
              <w:jc w:val="both"/>
            </w:pPr>
            <w:r>
              <w:rPr>
                <w:rFonts w:ascii="IBM Plex Mono" w:cs="IBM Plex Mono" w:eastAsia="IBM Plex Mono" w:hAnsi="IBM Plex Mono"/>
                <w:i/>
                <w:iCs/>
                <w:color w:val="0A2540"/>
                <w:sz w:val="18"/>
                <w:szCs w:val="18"/>
              </w:rPr>
              <w:t xml:space="preserve">Las cláusulas de los contratos deberán interpretarse las unas por las otras, atribuyendo a las dudosas el sentido que resulte del conjunto de todas.</w:t>
            </w:r>
          </w:p>
        </w:tc>
      </w:tr>
    </w:tbl>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1284 CC</w:t>
            </w:r>
          </w:p>
          <w:p>
            <w:pPr>
              <w:spacing w:after="0" w:line="280"/>
              <w:jc w:val="both"/>
            </w:pPr>
            <w:r>
              <w:rPr>
                <w:rFonts w:ascii="IBM Plex Mono" w:cs="IBM Plex Mono" w:eastAsia="IBM Plex Mono" w:hAnsi="IBM Plex Mono"/>
                <w:i/>
                <w:iCs/>
                <w:color w:val="0A2540"/>
                <w:sz w:val="18"/>
                <w:szCs w:val="18"/>
              </w:rPr>
              <w:t xml:space="preserve">Si alguna cláusula de los contratos admitiere diversos sentidos, deberá entenderse en el más adecuado para que produzca efecto.</w:t>
            </w:r>
          </w:p>
        </w:tc>
      </w:tr>
    </w:tbl>
    <w:p>
      <w:pPr>
        <w:spacing w:after="180" w:line="300"/>
        <w:jc w:val="both"/>
      </w:pPr>
      <w:r>
        <w:rPr>
          <w:rFonts w:ascii="Archivo" w:cs="Archivo" w:eastAsia="Archivo" w:hAnsi="Archivo"/>
          <w:sz w:val="21"/>
          <w:szCs w:val="21"/>
        </w:rPr>
        <w:t xml:space="preserve">El canon sistemático del art. 1285 CC impone leer cada cláusula en el contexto del conjunto de la póliza, no de forma aislada: una definición contenida en las condiciones generales debe interpretarse a la luz de las condiciones particulares efectivamente suscritas, y viceversa. El canon del art. 1284 CC —conocido como principio de conservación o de interpretación útil— impide interpretaciones que vacíen de contenido efectivo una cláusula, criterio de especial utilidad frente a lecturas de la aseguradora que, llevadas a su extremo, dejarían sin sentido práctico alguno una cobertura anunciada</w:t>
      </w:r>
      <w:r>
        <w:rPr>
          <w:rStyle w:val="FootnoteReference"/>
        </w:rPr>
        <w:footnoteReference w:id="16"/>
      </w:r>
      <w:r>
        <w:rPr>
          <w:rFonts w:ascii="Archivo" w:cs="Archivo" w:eastAsia="Archivo" w:hAnsi="Archivo"/>
          <w:sz w:val="21"/>
          <w:szCs w:val="21"/>
        </w:rPr>
        <w:t xml:space="preserve">.</w:t>
      </w:r>
    </w:p>
    <w:p>
      <w:pPr>
        <w:pStyle w:val="Heading2"/>
        <w:spacing w:after="160" w:before="400"/>
      </w:pPr>
      <w:r>
        <w:rPr>
          <w:rFonts w:ascii="Fraunces" w:cs="Fraunces" w:eastAsia="Fraunces" w:hAnsi="Fraunces"/>
          <w:b/>
          <w:bCs/>
          <w:color w:val="0A2540"/>
          <w:sz w:val="24"/>
          <w:szCs w:val="24"/>
        </w:rPr>
        <w:t xml:space="preserve">6.4. La expectativa razonable del asegurado como canon específico del seguro</w:t>
      </w:r>
    </w:p>
    <w:p>
      <w:pPr>
        <w:spacing w:after="180" w:line="300"/>
        <w:jc w:val="both"/>
      </w:pPr>
      <w:r>
        <w:rPr>
          <w:rFonts w:ascii="Archivo" w:cs="Archivo" w:eastAsia="Archivo" w:hAnsi="Archivo"/>
          <w:sz w:val="21"/>
          <w:szCs w:val="21"/>
        </w:rPr>
        <w:t xml:space="preserve">Junto a los cánones generales del Código Civil, la jurisprudencia de seguros ha decantado un criterio propio y específico del contrato de seguro, ya estudiado en el capítulo 1 a propósito de la doctrina de la «cláusula sorpresiva»: la interpretación debe atender al contenido natural o usual del ramo contratado, con arreglo a la ley o a la práctica aseguradora (SSTS 273/2016, de 22 de abril; 541/2016, de 14 de septiembre; y 147/2017, de 2 de marzo, ya citadas en el capítulo 1), de manera que una cláusula que se aparta sorprendentemente de esa expectativa razonable recibe, en la práctica, el tratamiento reforzado de las cláusulas limitativas con independencia de su calificación formal. Este criterio opera, en rigor, en un plano distinto mas complementario de los cánones del Código Civil: mientras estos fijan el sentido de la cláusula, aquel condiciona el régimen de oponibilidad de la cláusula una vez interpretada.</w:t>
      </w:r>
    </w:p>
    <w:p>
      <w:pPr>
        <w:pStyle w:val="Heading2"/>
        <w:spacing w:after="160" w:before="400"/>
      </w:pPr>
      <w:r>
        <w:rPr>
          <w:rFonts w:ascii="Fraunces" w:cs="Fraunces" w:eastAsia="Fraunces" w:hAnsi="Fraunces"/>
          <w:b/>
          <w:bCs/>
          <w:color w:val="0A2540"/>
          <w:sz w:val="24"/>
          <w:szCs w:val="24"/>
        </w:rPr>
        <w:t xml:space="preserve">6.5. La regla de cierre: contra proferentem y nulidad por duda insalvable</w:t>
      </w:r>
    </w:p>
    <w:p>
      <w:pPr>
        <w:spacing w:after="180" w:line="300"/>
        <w:jc w:val="both"/>
      </w:pPr>
      <w:r>
        <w:rPr>
          <w:rFonts w:ascii="Archivo" w:cs="Archivo" w:eastAsia="Archivo" w:hAnsi="Archivo"/>
          <w:sz w:val="21"/>
          <w:szCs w:val="21"/>
        </w:rPr>
        <w:t xml:space="preserve">Cuando, aplicados los cánones anteriores, subsiste una duda razonable sobre el sentido de una cláusula, entran en juego las reglas de cierre ya avanzadas en el capítulo 5, que el Código Civil articula en dos niveles sucesivos: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1288 CC</w:t>
            </w:r>
          </w:p>
          <w:p>
            <w:pPr>
              <w:spacing w:after="0" w:line="280"/>
              <w:jc w:val="both"/>
            </w:pPr>
            <w:r>
              <w:rPr>
                <w:rFonts w:ascii="IBM Plex Mono" w:cs="IBM Plex Mono" w:eastAsia="IBM Plex Mono" w:hAnsi="IBM Plex Mono"/>
                <w:i/>
                <w:iCs/>
                <w:color w:val="0A2540"/>
                <w:sz w:val="18"/>
                <w:szCs w:val="18"/>
              </w:rPr>
              <w:t xml:space="preserve">La interpretación de las cláusulas oscuras de un contrato no deberá favorecer a la parte que hubiese ocasionado la oscuridad.</w:t>
            </w:r>
          </w:p>
        </w:tc>
      </w:tr>
    </w:tbl>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1289 CC (extracto)</w:t>
            </w:r>
          </w:p>
          <w:p>
            <w:pPr>
              <w:spacing w:after="0" w:line="280"/>
              <w:jc w:val="both"/>
            </w:pPr>
            <w:r>
              <w:rPr>
                <w:rFonts w:ascii="IBM Plex Mono" w:cs="IBM Plex Mono" w:eastAsia="IBM Plex Mono" w:hAnsi="IBM Plex Mono"/>
                <w:i/>
                <w:iCs/>
                <w:color w:val="0A2540"/>
                <w:sz w:val="18"/>
                <w:szCs w:val="18"/>
              </w:rPr>
              <w:t xml:space="preserve">Cuando absolutamente fuere imposible resolver las dudas por las reglas establecidas en los artículos precedentes [...] si el contrato fuere oneroso, la duda se resolverá en favor de la mayor reciprocidad de intereses. Si las dudas [...] recayesen sobre el objeto principal del contrato, de suerte que no pueda venirse en conocimiento de cuál fue la intención o voluntad de los contratantes, el contrato será nulo.</w:t>
            </w:r>
          </w:p>
        </w:tc>
      </w:tr>
    </w:tbl>
    <w:p>
      <w:pPr>
        <w:spacing w:after="180" w:line="300"/>
        <w:jc w:val="both"/>
      </w:pPr>
      <w:r>
        <w:rPr>
          <w:rFonts w:ascii="Archivo" w:cs="Archivo" w:eastAsia="Archivo" w:hAnsi="Archivo"/>
          <w:sz w:val="21"/>
          <w:szCs w:val="21"/>
        </w:rPr>
        <w:t xml:space="preserve">La regla contra proferentem del art. 1288 CC, ya desarrollada con detalle en el capítulo 5 con apoyo en la STS 1701/2023 (ROJ: STS 1701/2023) y en la SAP de Barcelona 6782/2018 (ROJ: SAP B 6782/2018), opera como penúltimo recurso: solo si ni siquiera ella permite despejar la duda —hipótesis excepcional en la práctica— entraría en juego la regla subsidiaria del art. 1289 CC, que en un contrato oneroso como el de seguro se resuelve en favor de la mayor reciprocidad de intereses, y que, en el extremo de que la duda recaiga sobre el objeto principal del contrato sin posibilidad de conocer la voluntad real de las partes, podría llegar a determinar la nulidad del propio contrato, consecuencia de gravedad tal que la práctica forense apenas la invoca fuera de supuestos verdaderamente extremos.</w:t>
      </w:r>
    </w:p>
    <w:p>
      <w:pPr>
        <w:pStyle w:val="Heading2"/>
        <w:spacing w:after="160" w:before="400"/>
      </w:pPr>
      <w:r>
        <w:rPr>
          <w:rFonts w:ascii="Fraunces" w:cs="Fraunces" w:eastAsia="Fraunces" w:hAnsi="Fraunces"/>
          <w:b/>
          <w:bCs/>
          <w:color w:val="0A2540"/>
          <w:sz w:val="24"/>
          <w:szCs w:val="24"/>
        </w:rPr>
        <w:t xml:space="preserve">6.6. Método integrado de interpretación de una póliza de hogar</w:t>
      </w:r>
    </w:p>
    <w:p>
      <w:pPr>
        <w:spacing w:after="180" w:line="300"/>
        <w:jc w:val="both"/>
      </w:pPr>
      <w:r>
        <w:rPr>
          <w:rFonts w:ascii="Archivo" w:cs="Archivo" w:eastAsia="Archivo" w:hAnsi="Archivo"/>
          <w:sz w:val="21"/>
          <w:szCs w:val="21"/>
        </w:rPr>
        <w:t xml:space="preserve">La combinación de los epígrafes anteriores permite proponer una secuencia metodológica de aplicación general ante cualquier cláusula controvertida de una póliza de hogar:</w:t>
      </w:r>
    </w:p>
    <w:p>
      <w:pPr>
        <w:pStyle w:val="ListParagraph"/>
        <w:numPr>
          <w:ilvl w:val="0"/>
          <w:numId w:val="2"/>
        </w:numPr>
        <w:spacing w:after="100" w:line="290"/>
      </w:pPr>
      <w:r>
        <w:rPr>
          <w:rFonts w:ascii="Archivo" w:cs="Archivo" w:eastAsia="Archivo" w:hAnsi="Archivo"/>
          <w:sz w:val="21"/>
          <w:szCs w:val="21"/>
        </w:rPr>
        <w:t xml:space="preserve">1. Fijar el sentido literal de la cláusula (art. 1281 CC): ¿es realmente ambigua, o solo desfavorable al interés que se defiende?</w:t>
      </w:r>
    </w:p>
    <w:p>
      <w:pPr>
        <w:pStyle w:val="ListParagraph"/>
        <w:numPr>
          <w:ilvl w:val="0"/>
          <w:numId w:val="2"/>
        </w:numPr>
        <w:spacing w:after="100" w:line="290"/>
      </w:pPr>
      <w:r>
        <w:rPr>
          <w:rFonts w:ascii="Archivo" w:cs="Archivo" w:eastAsia="Archivo" w:hAnsi="Archivo"/>
          <w:sz w:val="21"/>
          <w:szCs w:val="21"/>
        </w:rPr>
        <w:t xml:space="preserve">2. Contextualizarla dentro del conjunto de la póliza, cotejando condiciones generales, particulares y especiales (art. 1285 CC).</w:t>
      </w:r>
    </w:p>
    <w:p>
      <w:pPr>
        <w:pStyle w:val="ListParagraph"/>
        <w:numPr>
          <w:ilvl w:val="0"/>
          <w:numId w:val="2"/>
        </w:numPr>
        <w:spacing w:after="100" w:line="290"/>
      </w:pPr>
      <w:r>
        <w:rPr>
          <w:rFonts w:ascii="Archivo" w:cs="Archivo" w:eastAsia="Archivo" w:hAnsi="Archivo"/>
          <w:sz w:val="21"/>
          <w:szCs w:val="21"/>
        </w:rPr>
        <w:t xml:space="preserve">3. Descartar interpretaciones que vacíen de efecto útil la cobertura contratada (art. 1284 CC).</w:t>
      </w:r>
    </w:p>
    <w:p>
      <w:pPr>
        <w:pStyle w:val="ListParagraph"/>
        <w:numPr>
          <w:ilvl w:val="0"/>
          <w:numId w:val="2"/>
        </w:numPr>
        <w:spacing w:after="100" w:line="290"/>
      </w:pPr>
      <w:r>
        <w:rPr>
          <w:rFonts w:ascii="Archivo" w:cs="Archivo" w:eastAsia="Archivo" w:hAnsi="Archivo"/>
          <w:sz w:val="21"/>
          <w:szCs w:val="21"/>
        </w:rPr>
        <w:t xml:space="preserve">4. Contrastarla con el contenido natural y la expectativa razonable del ramo (capítulo 1): ¿resulta sorpresiva?</w:t>
      </w:r>
    </w:p>
    <w:p>
      <w:pPr>
        <w:pStyle w:val="ListParagraph"/>
        <w:numPr>
          <w:ilvl w:val="0"/>
          <w:numId w:val="2"/>
        </w:numPr>
        <w:spacing w:after="100" w:line="290"/>
      </w:pPr>
      <w:r>
        <w:rPr>
          <w:rFonts w:ascii="Archivo" w:cs="Archivo" w:eastAsia="Archivo" w:hAnsi="Archivo"/>
          <w:sz w:val="21"/>
          <w:szCs w:val="21"/>
        </w:rPr>
        <w:t xml:space="preserve">5. Solo si persiste la duda, aplicar la regla contra proferentem a favor del asegurado (art. 1288 CC).</w:t>
      </w:r>
    </w:p>
    <w:p>
      <w:pPr>
        <w:pStyle w:val="ListParagraph"/>
        <w:numPr>
          <w:ilvl w:val="0"/>
          <w:numId w:val="2"/>
        </w:numPr>
        <w:spacing w:after="100" w:line="290"/>
      </w:pPr>
      <w:r>
        <w:rPr>
          <w:rFonts w:ascii="Archivo" w:cs="Archivo" w:eastAsia="Archivo" w:hAnsi="Archivo"/>
          <w:sz w:val="21"/>
          <w:szCs w:val="21"/>
        </w:rPr>
        <w:t xml:space="preserve">6. En el supuesto excepcional de duda insalvable sobre el objeto principal del contrato, valorar la regla subsidiaria del art. 1289 CC.</w:t>
      </w:r>
    </w:p>
    <w:p>
      <w:pPr>
        <w:pStyle w:val="Heading2"/>
        <w:spacing w:after="160" w:before="400"/>
      </w:pPr>
      <w:r>
        <w:rPr>
          <w:rFonts w:ascii="Fraunces" w:cs="Fraunces" w:eastAsia="Fraunces" w:hAnsi="Fraunces"/>
          <w:b/>
          <w:bCs/>
          <w:color w:val="0A2540"/>
          <w:sz w:val="24"/>
          <w:szCs w:val="24"/>
        </w:rPr>
        <w:t xml:space="preserve">6.7.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Cómo argumentar la interpretación de una cláusula</w:t>
            </w:r>
          </w:p>
          <w:p>
            <w:pPr>
              <w:pStyle w:val="ListParagraph"/>
              <w:numPr>
                <w:ilvl w:val="0"/>
                <w:numId w:val="2"/>
              </w:numPr>
              <w:spacing w:after="80" w:line="280"/>
            </w:pPr>
            <w:r>
              <w:rPr>
                <w:rFonts w:ascii="Archivo" w:cs="Archivo" w:eastAsia="Archivo" w:hAnsi="Archivo"/>
                <w:sz w:val="19"/>
                <w:szCs w:val="19"/>
              </w:rPr>
              <w:t xml:space="preserve">No saltar directamente a la regla contra proferentem: agotar primero los cánones literal, sistemático y finalista, que suelen ofrecer argumentos más sólidos y menos discutibles.</w:t>
            </w:r>
          </w:p>
          <w:p>
            <w:pPr>
              <w:pStyle w:val="ListParagraph"/>
              <w:numPr>
                <w:ilvl w:val="0"/>
                <w:numId w:val="2"/>
              </w:numPr>
              <w:spacing w:after="80" w:line="280"/>
            </w:pPr>
            <w:r>
              <w:rPr>
                <w:rFonts w:ascii="Archivo" w:cs="Archivo" w:eastAsia="Archivo" w:hAnsi="Archivo"/>
                <w:sz w:val="19"/>
                <w:szCs w:val="19"/>
              </w:rPr>
              <w:t xml:space="preserve">Invocar siempre el canon de conservación (art. 1284 CC) frente a interpretaciones de la aseguradora que vacíen de contenido efectivo la cobertura contratada.</w:t>
            </w:r>
          </w:p>
          <w:p>
            <w:pPr>
              <w:pStyle w:val="ListParagraph"/>
              <w:numPr>
                <w:ilvl w:val="0"/>
                <w:numId w:val="2"/>
              </w:numPr>
              <w:spacing w:after="80" w:line="280"/>
            </w:pPr>
            <w:r>
              <w:rPr>
                <w:rFonts w:ascii="Archivo" w:cs="Archivo" w:eastAsia="Archivo" w:hAnsi="Archivo"/>
                <w:sz w:val="19"/>
                <w:szCs w:val="19"/>
              </w:rPr>
              <w:t xml:space="preserve">Contrastar la cláusula con el contenido natural del ramo y la doctrina de la cláusula sorpresiva (capítulo 1) antes de acudir a los cánones subsidiarios.</w:t>
            </w:r>
          </w:p>
          <w:p>
            <w:pPr>
              <w:pStyle w:val="ListParagraph"/>
              <w:numPr>
                <w:ilvl w:val="0"/>
                <w:numId w:val="2"/>
              </w:numPr>
              <w:spacing w:after="80" w:line="280"/>
            </w:pPr>
            <w:r>
              <w:rPr>
                <w:rFonts w:ascii="Archivo" w:cs="Archivo" w:eastAsia="Archivo" w:hAnsi="Archivo"/>
                <w:sz w:val="19"/>
                <w:szCs w:val="19"/>
              </w:rPr>
              <w:t xml:space="preserve">Reservar la invocación del art. 1289 CC, párrafo segundo (nulidad por duda insalvable), a los supuestos verdaderamente excepcionales en que ni siquiera contra proferentem permite fijar el sentido de la cláusula.</w:t>
            </w:r>
          </w:p>
        </w:tc>
      </w:tr>
    </w:tbl>
    <w:p>
      <w:pPr>
        <w:pStyle w:val="Heading2"/>
        <w:spacing w:after="160" w:before="400"/>
      </w:pPr>
      <w:r>
        <w:rPr>
          <w:rFonts w:ascii="Fraunces" w:cs="Fraunces" w:eastAsia="Fraunces" w:hAnsi="Fraunces"/>
          <w:b/>
          <w:bCs/>
          <w:color w:val="0A2540"/>
          <w:sz w:val="24"/>
          <w:szCs w:val="24"/>
        </w:rPr>
        <w:t xml:space="preserve">6.8.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sobre la interpretación de su póliza</w:t>
            </w:r>
          </w:p>
          <w:p>
            <w:pPr>
              <w:pStyle w:val="ListParagraph"/>
              <w:numPr>
                <w:ilvl w:val="0"/>
                <w:numId w:val="2"/>
              </w:numPr>
              <w:spacing w:after="80" w:line="280"/>
            </w:pPr>
            <w:r>
              <w:rPr>
                <w:rFonts w:ascii="Archivo" w:cs="Archivo" w:eastAsia="Archivo" w:hAnsi="Archivo"/>
                <w:sz w:val="19"/>
                <w:szCs w:val="19"/>
              </w:rPr>
              <w:t xml:space="preserve">Si una cláusula de su póliza puede leerse de dos maneras razonables, la ley favorece la interpretación que le sea más beneficiosa a usted como asegurado.</w:t>
            </w:r>
          </w:p>
          <w:p>
            <w:pPr>
              <w:pStyle w:val="ListParagraph"/>
              <w:numPr>
                <w:ilvl w:val="0"/>
                <w:numId w:val="2"/>
              </w:numPr>
              <w:spacing w:after="80" w:line="280"/>
            </w:pPr>
            <w:r>
              <w:rPr>
                <w:rFonts w:ascii="Archivo" w:cs="Archivo" w:eastAsia="Archivo" w:hAnsi="Archivo"/>
                <w:sz w:val="19"/>
                <w:szCs w:val="19"/>
              </w:rPr>
              <w:t xml:space="preserve">Una aseguradora no puede interpretar una cláusula de forma que la cobertura que usted contrató quede, en la práctica, vacía de contenido.</w:t>
            </w:r>
          </w:p>
          <w:p>
            <w:pPr>
              <w:pStyle w:val="ListParagraph"/>
              <w:numPr>
                <w:ilvl w:val="0"/>
                <w:numId w:val="2"/>
              </w:numPr>
              <w:spacing w:after="80" w:line="280"/>
            </w:pPr>
            <w:r>
              <w:rPr>
                <w:rFonts w:ascii="Archivo" w:cs="Archivo" w:eastAsia="Archivo" w:hAnsi="Archivo"/>
                <w:sz w:val="19"/>
                <w:szCs w:val="19"/>
              </w:rPr>
              <w:t xml:space="preserve">Compare siempre lo que dice una cláusula concreta con el conjunto de su póliza: una definición aislada puede tener un sentido distinto cuando se lee junto con el resto del contrato.</w:t>
            </w:r>
          </w:p>
        </w:tc>
      </w:tr>
    </w:tbl>
    <w:p>
      <w:pPr>
        <w:pStyle w:val="Heading2"/>
        <w:spacing w:after="160" w:before="400"/>
      </w:pPr>
      <w:r>
        <w:rPr>
          <w:rFonts w:ascii="Fraunces" w:cs="Fraunces" w:eastAsia="Fraunces" w:hAnsi="Fraunces"/>
          <w:b/>
          <w:bCs/>
          <w:color w:val="0A2540"/>
          <w:sz w:val="24"/>
          <w:szCs w:val="24"/>
        </w:rPr>
        <w:t xml:space="preserve">6.9. Checklist: interpretación de una cláusula controvertida</w:t>
      </w:r>
    </w:p>
    <w:p>
      <w:pPr>
        <w:pStyle w:val="ListParagraph"/>
        <w:numPr>
          <w:ilvl w:val="0"/>
          <w:numId w:val="2"/>
        </w:numPr>
        <w:spacing w:after="100" w:line="290"/>
      </w:pPr>
      <w:r>
        <w:rPr>
          <w:rFonts w:ascii="Archivo" w:cs="Archivo" w:eastAsia="Archivo" w:hAnsi="Archivo"/>
          <w:sz w:val="21"/>
          <w:szCs w:val="21"/>
        </w:rPr>
        <w:t xml:space="preserve">1. ¿Es realmente ambigua la cláusula, o solo desfavorable al interés que se defiende?</w:t>
      </w:r>
    </w:p>
    <w:p>
      <w:pPr>
        <w:pStyle w:val="ListParagraph"/>
        <w:numPr>
          <w:ilvl w:val="0"/>
          <w:numId w:val="2"/>
        </w:numPr>
        <w:spacing w:after="100" w:line="290"/>
      </w:pPr>
      <w:r>
        <w:rPr>
          <w:rFonts w:ascii="Archivo" w:cs="Archivo" w:eastAsia="Archivo" w:hAnsi="Archivo"/>
          <w:sz w:val="21"/>
          <w:szCs w:val="21"/>
        </w:rPr>
        <w:t xml:space="preserve">2. ¿Qué sentido resulta de leerla junto con el resto de las condiciones de la póliza?</w:t>
      </w:r>
    </w:p>
    <w:p>
      <w:pPr>
        <w:pStyle w:val="ListParagraph"/>
        <w:numPr>
          <w:ilvl w:val="0"/>
          <w:numId w:val="2"/>
        </w:numPr>
        <w:spacing w:after="100" w:line="290"/>
      </w:pPr>
      <w:r>
        <w:rPr>
          <w:rFonts w:ascii="Archivo" w:cs="Archivo" w:eastAsia="Archivo" w:hAnsi="Archivo"/>
          <w:sz w:val="21"/>
          <w:szCs w:val="21"/>
        </w:rPr>
        <w:t xml:space="preserve">3. ¿Alguna interpretación posible dejaría sin efecto útil la cobertura contratada?</w:t>
      </w:r>
    </w:p>
    <w:p>
      <w:pPr>
        <w:pStyle w:val="ListParagraph"/>
        <w:numPr>
          <w:ilvl w:val="0"/>
          <w:numId w:val="2"/>
        </w:numPr>
        <w:spacing w:after="100" w:line="290"/>
      </w:pPr>
      <w:r>
        <w:rPr>
          <w:rFonts w:ascii="Archivo" w:cs="Archivo" w:eastAsia="Archivo" w:hAnsi="Archivo"/>
          <w:sz w:val="21"/>
          <w:szCs w:val="21"/>
        </w:rPr>
        <w:t xml:space="preserve">4. ¿Se aparta la cláusula del contenido natural y esperable del ramo?</w:t>
      </w:r>
    </w:p>
    <w:p>
      <w:pPr>
        <w:pStyle w:val="ListParagraph"/>
        <w:numPr>
          <w:ilvl w:val="0"/>
          <w:numId w:val="2"/>
        </w:numPr>
        <w:spacing w:after="100" w:line="290"/>
      </w:pPr>
      <w:r>
        <w:rPr>
          <w:rFonts w:ascii="Archivo" w:cs="Archivo" w:eastAsia="Archivo" w:hAnsi="Archivo"/>
          <w:sz w:val="21"/>
          <w:szCs w:val="21"/>
        </w:rPr>
        <w:t xml:space="preserve">5. Agotados los cánones anteriores, ¿persiste una duda razonable que deba resolverse a favor del asegurado?</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spacing w:after="180" w:line="300"/>
        <w:jc w:val="both"/>
      </w:pPr>
      <w:r>
        <w:rPr>
          <w:rFonts w:ascii="Archivo" w:cs="Archivo" w:eastAsia="Archivo" w:hAnsi="Archivo"/>
          <w:sz w:val="21"/>
          <w:szCs w:val="21"/>
        </w:rPr>
        <w:t xml:space="preserve">VEIGA COPO, A. B., Condiciones generales y particulares en el contrato de seguro, Civitas-Thomson Reuters, Cizur Menor.</w:t>
      </w:r>
    </w:p>
    <w:p>
      <w:pPr>
        <w:pageBreakBefore/>
        <w:spacing w:after="200" w:before="2000"/>
      </w:pPr>
      <w:r>
        <w:rPr>
          <w:rFonts w:ascii="Archivo" w:cs="Archivo" w:eastAsia="Archivo" w:hAnsi="Archivo"/>
          <w:b/>
          <w:bCs/>
          <w:color w:val="1B6DF0"/>
          <w:sz w:val="28"/>
          <w:szCs w:val="28"/>
        </w:rPr>
        <w:t xml:space="preserve">PARTE II</w:t>
      </w:r>
    </w:p>
    <w:p>
      <w:pPr>
        <w:pBdr>
          <w:bottom w:val="single" w:color="CBD5E1" w:sz="6" w:space="12"/>
        </w:pBdr>
        <w:spacing w:after="600"/>
      </w:pPr>
      <w:r>
        <w:rPr>
          <w:rFonts w:ascii="Fraunces" w:cs="Fraunces" w:eastAsia="Fraunces" w:hAnsi="Fraunces"/>
          <w:b/>
          <w:bCs/>
          <w:color w:val="0A2540"/>
          <w:sz w:val="44"/>
          <w:szCs w:val="44"/>
        </w:rPr>
        <w:t xml:space="preserve">Las coberturas del seguro multirriesgo de hogar</w:t>
      </w:r>
    </w:p>
    <w:p>
      <w:pPr>
        <w:pStyle w:val="Heading1"/>
        <w:pageBreakBefore/>
        <w:spacing w:after="300" w:before="200"/>
      </w:pPr>
      <w:r>
        <w:rPr>
          <w:rFonts w:ascii="Archivo" w:cs="Archivo" w:eastAsia="Archivo" w:hAnsi="Archivo"/>
          <w:b/>
          <w:bCs/>
          <w:color w:val="1B6DF0"/>
          <w:sz w:val="22"/>
          <w:szCs w:val="22"/>
        </w:rPr>
        <w:t xml:space="preserve">Capítulo 7. </w:t>
      </w:r>
      <w:r>
        <w:rPr>
          <w:rFonts w:ascii="Fraunces" w:cs="Fraunces" w:eastAsia="Fraunces" w:hAnsi="Fraunces"/>
          <w:b/>
          <w:bCs/>
          <w:color w:val="0A2540"/>
          <w:sz w:val="30"/>
          <w:szCs w:val="30"/>
        </w:rPr>
        <w:t xml:space="preserve">Incendio, explosión y fenómenos eléctricos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5.1. El concepto legal de incendio (art. 45 LCS)</w:t>
            </w:r>
          </w:p>
          <w:p>
            <w:pPr>
              <w:spacing w:after="40" w:line="260"/>
            </w:pPr>
            <w:r>
              <w:rPr>
                <w:rFonts w:ascii="Archivo" w:cs="Archivo" w:eastAsia="Archivo" w:hAnsi="Archivo"/>
                <w:sz w:val="18"/>
                <w:szCs w:val="18"/>
              </w:rPr>
              <w:t xml:space="preserve">5.2. Extensión de la cobertura y daños indemnizables (art. 49 LCS)</w:t>
            </w:r>
          </w:p>
          <w:p>
            <w:pPr>
              <w:spacing w:after="40" w:line="260"/>
            </w:pPr>
            <w:r>
              <w:rPr>
                <w:rFonts w:ascii="Archivo" w:cs="Archivo" w:eastAsia="Archivo" w:hAnsi="Archivo"/>
                <w:sz w:val="18"/>
                <w:szCs w:val="18"/>
              </w:rPr>
              <w:t xml:space="preserve">5.3. Objetos de valor y bienes excluidos de la cobertura estándar (art. 46 LCS)</w:t>
            </w:r>
          </w:p>
          <w:p>
            <w:pPr>
              <w:spacing w:after="40" w:line="260"/>
            </w:pPr>
            <w:r>
              <w:rPr>
                <w:rFonts w:ascii="Archivo" w:cs="Archivo" w:eastAsia="Archivo" w:hAnsi="Archivo"/>
                <w:sz w:val="18"/>
                <w:szCs w:val="18"/>
              </w:rPr>
              <w:t xml:space="preserve">5.4. Causas de exoneración: caso fortuito, malquerencia de extraños y dolo o culpa grave (art. 48 LCS)</w:t>
            </w:r>
          </w:p>
          <w:p>
            <w:pPr>
              <w:spacing w:after="40" w:line="260"/>
            </w:pPr>
            <w:r>
              <w:rPr>
                <w:rFonts w:ascii="Archivo" w:cs="Archivo" w:eastAsia="Archivo" w:hAnsi="Archivo"/>
                <w:sz w:val="18"/>
                <w:szCs w:val="18"/>
              </w:rPr>
              <w:t xml:space="preserve">5.5. El desplazamiento del objeto asegurado (art. 47 LCS)</w:t>
            </w:r>
          </w:p>
          <w:p>
            <w:pPr>
              <w:spacing w:after="40" w:line="260"/>
            </w:pPr>
            <w:r>
              <w:rPr>
                <w:rFonts w:ascii="Archivo" w:cs="Archivo" w:eastAsia="Archivo" w:hAnsi="Archivo"/>
                <w:sz w:val="18"/>
                <w:szCs w:val="18"/>
              </w:rPr>
              <w:t xml:space="preserve">5.6. Los fenómenos eléctricos como riesgo asimilado</w:t>
            </w:r>
          </w:p>
          <w:p>
            <w:pPr>
              <w:spacing w:after="40" w:line="260"/>
            </w:pPr>
            <w:r>
              <w:rPr>
                <w:rFonts w:ascii="Archivo" w:cs="Archivo" w:eastAsia="Archivo" w:hAnsi="Archivo"/>
                <w:sz w:val="18"/>
                <w:szCs w:val="18"/>
              </w:rPr>
              <w:t xml:space="preserve">5.7. Ficha para el profesional</w:t>
            </w:r>
          </w:p>
          <w:p>
            <w:pPr>
              <w:spacing w:after="40" w:line="260"/>
            </w:pPr>
            <w:r>
              <w:rPr>
                <w:rFonts w:ascii="Archivo" w:cs="Archivo" w:eastAsia="Archivo" w:hAnsi="Archivo"/>
                <w:sz w:val="18"/>
                <w:szCs w:val="18"/>
              </w:rPr>
              <w:t xml:space="preserve">5.8. Ficha para el asegurado</w:t>
            </w:r>
          </w:p>
          <w:p>
            <w:pPr>
              <w:spacing w:after="40" w:line="260"/>
            </w:pPr>
            <w:r>
              <w:rPr>
                <w:rFonts w:ascii="Archivo" w:cs="Archivo" w:eastAsia="Archivo" w:hAnsi="Archivo"/>
                <w:sz w:val="18"/>
                <w:szCs w:val="18"/>
              </w:rPr>
              <w:t xml:space="preserve">5.9. Checklist: acreditación de un siniestro de incendio</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analiza el régimen especial del seguro contra incendios (arts. 45 a 49 LCS), aplicable con carácter supletorio a la garantía de incendio del seguro multirriesgo de hogar, con particular atención al concepto legal de incendio, a las causas legales de exoneración del art. 48 LCS —caso fortuito, malquerencia de extraños, negligencia propia y dolo o culpa grave— y a la reciente doctrina de la Sala Primera sobre el alcance de la expresión «malquerencia de extraños».</w:t>
            </w:r>
          </w:p>
          <w:p>
            <w:pPr>
              <w:spacing w:after="160"/>
            </w:pPr>
            <w:r>
              <w:rPr>
                <w:rFonts w:ascii="Archivo" w:cs="Archivo" w:eastAsia="Archivo" w:hAnsi="Archivo"/>
                <w:b/>
                <w:bCs/>
                <w:sz w:val="17"/>
                <w:szCs w:val="17"/>
              </w:rPr>
              <w:t xml:space="preserve">Palabras clave: seguro de incendio, art. 45 LCS, art. 48 LCS, malquerencia de extraños, dolo, culpa grave, fenómenos eléctricos.</w:t>
            </w:r>
          </w:p>
          <w:p>
            <w:pPr>
              <w:spacing w:after="100"/>
              <w:jc w:val="both"/>
            </w:pPr>
            <w:r>
              <w:rPr>
                <w:rFonts w:ascii="Archivo" w:cs="Archivo" w:eastAsia="Archivo" w:hAnsi="Archivo"/>
                <w:i/>
                <w:iCs/>
                <w:sz w:val="18"/>
                <w:szCs w:val="18"/>
              </w:rPr>
              <w:t xml:space="preserve">This chapter examines the special fire insurance regime under Articles 45 to 49 of the Spanish Insurance Contract Act, applicable on a suppletory basis to the fire cover of homeowners' multi-risk policies, focusing on the statutory definition of fire and on the exoneration grounds of Article 48 —fortuitous event, malice of strangers, the insured's own negligence, and wilful misconduct or gross negligence— together with recent Supreme Court case law on the scope of the 'malice of strangers' clause.</w:t>
            </w:r>
          </w:p>
          <w:p>
            <w:pPr>
              <w:spacing w:after="0"/>
            </w:pPr>
            <w:r>
              <w:rPr>
                <w:rFonts w:ascii="Archivo" w:cs="Archivo" w:eastAsia="Archivo" w:hAnsi="Archivo"/>
                <w:b/>
                <w:bCs/>
                <w:sz w:val="17"/>
                <w:szCs w:val="17"/>
              </w:rPr>
              <w:t xml:space="preserve">Keywords: fire insurance, exoneration grounds, malice of strangers, wilful misconduct, gross negligence, electrical damage.</w:t>
            </w:r>
          </w:p>
        </w:tc>
      </w:tr>
    </w:tbl>
    <w:p>
      <w:pPr>
        <w:spacing w:after="200"/>
      </w:pPr>
    </w:p>
    <w:p>
      <w:pPr>
        <w:pStyle w:val="Heading2"/>
        <w:spacing w:after="160" w:before="400"/>
      </w:pPr>
      <w:r>
        <w:rPr>
          <w:rFonts w:ascii="Fraunces" w:cs="Fraunces" w:eastAsia="Fraunces" w:hAnsi="Fraunces"/>
          <w:b/>
          <w:bCs/>
          <w:color w:val="0A2540"/>
          <w:sz w:val="24"/>
          <w:szCs w:val="24"/>
        </w:rPr>
        <w:t xml:space="preserve">5.1. El concepto legal de incendio</w:t>
      </w:r>
    </w:p>
    <w:p>
      <w:pPr>
        <w:spacing w:after="180" w:line="300"/>
        <w:jc w:val="both"/>
      </w:pPr>
      <w:r>
        <w:rPr>
          <w:rFonts w:ascii="Archivo" w:cs="Archivo" w:eastAsia="Archivo" w:hAnsi="Archivo"/>
          <w:sz w:val="21"/>
          <w:szCs w:val="21"/>
        </w:rPr>
        <w:t xml:space="preserve">El seguro multirriesgo de hogar incorpora, como garantía troncal, la cobertura de incendio, cuyo régimen específico se contiene en los arts. 45 a 49 LCS, dentro del Título II de la Ley, dedicado al seguro contra daños. Estas disposiciones se aplican, con el carácter imperativo relativo propio de toda la LCS (art. 2), incluso cuando la garantía de incendio se integra, como es habitual, en una póliza combinada de hogar</w:t>
      </w:r>
      <w:r>
        <w:rPr>
          <w:rStyle w:val="FootnoteReference"/>
        </w:rPr>
        <w:footnoteReference w:id="17"/>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45 LCS</w:t>
            </w:r>
          </w:p>
          <w:p>
            <w:pPr>
              <w:spacing w:after="0" w:line="280"/>
              <w:jc w:val="both"/>
            </w:pPr>
            <w:r>
              <w:rPr>
                <w:rFonts w:ascii="IBM Plex Mono" w:cs="IBM Plex Mono" w:eastAsia="IBM Plex Mono" w:hAnsi="IBM Plex Mono"/>
                <w:i/>
                <w:iCs/>
                <w:color w:val="0A2540"/>
                <w:sz w:val="18"/>
                <w:szCs w:val="18"/>
              </w:rPr>
              <w:t xml:space="preserve">Por el seguro contra incendios el asegurador se obliga dentro de los límites establecidos en la Ley y en el contrato a indemnizar los daños producidos por incendio en el objeto asegurado. Se considera incendio la combustión y el abrasamiento con llama, capaz de propagarse, de un objeto u objetos que no estaban destinados a ser quemados en el lugar y momento en que se produce.</w:t>
            </w:r>
          </w:p>
        </w:tc>
      </w:tr>
    </w:tbl>
    <w:p>
      <w:pPr>
        <w:spacing w:after="180" w:line="300"/>
        <w:jc w:val="both"/>
      </w:pPr>
      <w:r>
        <w:rPr>
          <w:rFonts w:ascii="Archivo" w:cs="Archivo" w:eastAsia="Archivo" w:hAnsi="Archivo"/>
          <w:sz w:val="21"/>
          <w:szCs w:val="21"/>
        </w:rPr>
        <w:t xml:space="preserve">La definición legal exige tres elementos acumulativos que conviene tener presentes al calificar un siniestro: (i) combustión con llama —lo que excluye, en rigor, los daños por mero calentamiento, chamuscado o carbonización sin llama propiamente dicha—; (ii) capacidad de propagación; y (iii) que el objeto quemado no estuviera destinado a serlo en ese lugar y momento, elemento que separa el incendio asegurado de la combustión controlada (chimenea, barbacoa, velas) que forma parte del uso normal de la vivienda.</w:t>
      </w:r>
    </w:p>
    <w:p>
      <w:pPr>
        <w:pStyle w:val="Heading2"/>
        <w:spacing w:after="160" w:before="400"/>
      </w:pPr>
      <w:r>
        <w:rPr>
          <w:rFonts w:ascii="Fraunces" w:cs="Fraunces" w:eastAsia="Fraunces" w:hAnsi="Fraunces"/>
          <w:b/>
          <w:bCs/>
          <w:color w:val="0A2540"/>
          <w:sz w:val="24"/>
          <w:szCs w:val="24"/>
        </w:rPr>
        <w:t xml:space="preserve">5.2. Extensión de la cobertura y daños indemnizables</w:t>
      </w:r>
    </w:p>
    <w:p>
      <w:pPr>
        <w:spacing w:after="180" w:line="300"/>
        <w:jc w:val="both"/>
      </w:pPr>
      <w:r>
        <w:rPr>
          <w:rFonts w:ascii="Archivo" w:cs="Archivo" w:eastAsia="Archivo" w:hAnsi="Archivo"/>
          <w:sz w:val="21"/>
          <w:szCs w:val="21"/>
        </w:rPr>
        <w:t xml:space="preserve">El artículo 49 LCS extiende la cobertura más allá del daño directo del fuego, incorporando una relación de daños conexos que resulta de gran utilidad práctica al cuantificar un siniestro: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49 LCS</w:t>
            </w:r>
          </w:p>
          <w:p>
            <w:pPr>
              <w:spacing w:after="0" w:line="280"/>
              <w:jc w:val="both"/>
            </w:pPr>
            <w:r>
              <w:rPr>
                <w:rFonts w:ascii="IBM Plex Mono" w:cs="IBM Plex Mono" w:eastAsia="IBM Plex Mono" w:hAnsi="IBM Plex Mono"/>
                <w:i/>
                <w:iCs/>
                <w:color w:val="0A2540"/>
                <w:sz w:val="18"/>
                <w:szCs w:val="18"/>
              </w:rPr>
              <w:t xml:space="preserve">El asegurador indemnizará todos los daños y pérdidas materiales causados por la acción directa del fuego, así como los producidos por las consecuencias inevitables del incendio y en particular: 1.º Los daños que ocasionen las medidas necesarias adoptadas por la autoridad o el asegurado para impedir, cortar o extinguir el incendio [...]. 2.º Los gastos que ocasione al asegurado el transporte de los efectos asegurados o cualesquiera otras medidas adoptadas con el fin de salvarlos del incendio. 3.º Los menoscabos que sufran los objetos salvados por las circunstancias descritas en los dos números anteriores. 4.º El valor de los objetos desaparecidos, siempre que el asegurado acredite su preexistencia y salvo que el asegurador pruebe que fueron robados o hurtados. 5.º Cualesquiera otros que se consignen en la póliza.</w:t>
            </w:r>
          </w:p>
        </w:tc>
      </w:tr>
    </w:tbl>
    <w:p>
      <w:pPr>
        <w:spacing w:after="180" w:line="300"/>
        <w:jc w:val="both"/>
      </w:pPr>
      <w:r>
        <w:rPr>
          <w:rFonts w:ascii="Archivo" w:cs="Archivo" w:eastAsia="Archivo" w:hAnsi="Archivo"/>
          <w:sz w:val="21"/>
          <w:szCs w:val="21"/>
        </w:rPr>
        <w:t xml:space="preserve">De especial interés práctico es la regla 4.ª: ante la desaparición de objetos con ocasión de un incendio (frecuente en la confusión de las labores de extinción y salvamento), la carga de la prueba se invierte parcialmente a favor del asegurado, a quien basta con acreditar la preexistencia del objeto, correspondiendo a la aseguradora probar, si quiere excluir la indemnización, que en realidad fue sustraído.</w:t>
      </w:r>
    </w:p>
    <w:p>
      <w:pPr>
        <w:pStyle w:val="Heading2"/>
        <w:spacing w:after="160" w:before="400"/>
      </w:pPr>
      <w:r>
        <w:rPr>
          <w:rFonts w:ascii="Fraunces" w:cs="Fraunces" w:eastAsia="Fraunces" w:hAnsi="Fraunces"/>
          <w:b/>
          <w:bCs/>
          <w:color w:val="0A2540"/>
          <w:sz w:val="24"/>
          <w:szCs w:val="24"/>
        </w:rPr>
        <w:t xml:space="preserve">5.3. Objetos de valor y bienes excluidos de la cobertura estándar</w:t>
      </w:r>
    </w:p>
    <w:p>
      <w:pPr>
        <w:spacing w:after="180" w:line="300"/>
        <w:jc w:val="both"/>
      </w:pPr>
      <w:r>
        <w:rPr>
          <w:rFonts w:ascii="Archivo" w:cs="Archivo" w:eastAsia="Archivo" w:hAnsi="Archivo"/>
          <w:sz w:val="21"/>
          <w:szCs w:val="21"/>
        </w:rPr>
        <w:t xml:space="preserve">El artículo 46 LCS excluye, salvo pacto expreso en contrario, determinados bienes de especial valor de la cobertura estándar de incendio, exclusión que la práctica aseguradora traslada sistemáticamente a las condiciones generales de las pólizas de hogar mediante los sublímites para joyas, dinero en efectivo y objetos de arte estudiados en el capítulo 15:</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46 LCS (párrafo segundo)</w:t>
            </w:r>
          </w:p>
          <w:p>
            <w:pPr>
              <w:spacing w:after="0" w:line="280"/>
              <w:jc w:val="both"/>
            </w:pPr>
            <w:r>
              <w:rPr>
                <w:rFonts w:ascii="IBM Plex Mono" w:cs="IBM Plex Mono" w:eastAsia="IBM Plex Mono" w:hAnsi="IBM Plex Mono"/>
                <w:i/>
                <w:iCs/>
                <w:color w:val="0A2540"/>
                <w:sz w:val="18"/>
                <w:szCs w:val="18"/>
              </w:rPr>
              <w:t xml:space="preserve">Salvo pacto expreso en contrario, no quedarán comprendidos en la cobertura del seguro los daños que cause el incendio en los valores mobiliarios públicos o privados, efectos de comercio, billetes de Banco, piedras y metales preciosos, objetos artísticos o cualesquiera otros objetos de valor que se hallaren en el objeto asegurado, aun cuando se pruebe su preexistencia y su destrucción o deterioro por el siniestro.</w:t>
            </w:r>
          </w:p>
        </w:tc>
      </w:tr>
    </w:tbl>
    <w:p>
      <w:pPr>
        <w:spacing w:after="180" w:line="300"/>
        <w:jc w:val="both"/>
      </w:pPr>
      <w:r>
        <w:rPr>
          <w:rFonts w:ascii="Archivo" w:cs="Archivo" w:eastAsia="Archivo" w:hAnsi="Archivo"/>
          <w:sz w:val="21"/>
          <w:szCs w:val="21"/>
        </w:rPr>
        <w:t xml:space="preserve">La norma legal es, en rigor, más restrictiva que la práctica aseguradora habitual, que suele ofrecer cobertura de estos bienes hasta ciertos sublímites mediante «pacto expreso» incorporado en las condiciones particulares; de ahí la importancia, ya destacada en el capítulo 5, de verificar que dichos sublímites figuren efectivamente pactados y no se limiten a una remisión genérica.</w:t>
      </w:r>
    </w:p>
    <w:p>
      <w:pPr>
        <w:pStyle w:val="Heading2"/>
        <w:spacing w:after="160" w:before="400"/>
      </w:pPr>
      <w:r>
        <w:rPr>
          <w:rFonts w:ascii="Fraunces" w:cs="Fraunces" w:eastAsia="Fraunces" w:hAnsi="Fraunces"/>
          <w:b/>
          <w:bCs/>
          <w:color w:val="0A2540"/>
          <w:sz w:val="24"/>
          <w:szCs w:val="24"/>
        </w:rPr>
        <w:t xml:space="preserve">5.4. Causas de exoneración: caso fortuito, malquerencia de extraños y dolo o culpa grave</w:t>
      </w:r>
    </w:p>
    <w:p>
      <w:pPr>
        <w:spacing w:after="180" w:line="300"/>
        <w:jc w:val="both"/>
      </w:pPr>
      <w:r>
        <w:rPr>
          <w:rFonts w:ascii="Archivo" w:cs="Archivo" w:eastAsia="Archivo" w:hAnsi="Archivo"/>
          <w:sz w:val="21"/>
          <w:szCs w:val="21"/>
        </w:rPr>
        <w:t xml:space="preserve">El artículo 48 LCS articula el régimen causal del seguro de incendio en dos párrafos de sentido inverso, cuya correcta lectura conjunta es imprescindible: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48 LCS</w:t>
            </w:r>
          </w:p>
          <w:p>
            <w:pPr>
              <w:spacing w:after="0" w:line="280"/>
              <w:jc w:val="both"/>
            </w:pPr>
            <w:r>
              <w:rPr>
                <w:rFonts w:ascii="IBM Plex Mono" w:cs="IBM Plex Mono" w:eastAsia="IBM Plex Mono" w:hAnsi="IBM Plex Mono"/>
                <w:i/>
                <w:iCs/>
                <w:color w:val="0A2540"/>
                <w:sz w:val="18"/>
                <w:szCs w:val="18"/>
              </w:rPr>
              <w:t xml:space="preserve">El asegurador estará obligado a indemnizar los daños producidos por el incendio cuando éste se origine por caso fortuito, por malquerencia de extraños, por negligencia propia o de las personas de quienes se responda civilmente. El asegurador no estará obligado a indemnizar los daños provocados por el incendio cuando éste se origine por dolo o culpa grave del asegurado.</w:t>
            </w:r>
          </w:p>
        </w:tc>
      </w:tr>
    </w:tbl>
    <w:p>
      <w:pPr>
        <w:spacing w:after="180" w:line="300"/>
        <w:jc w:val="both"/>
      </w:pPr>
      <w:r>
        <w:rPr>
          <w:rFonts w:ascii="Archivo" w:cs="Archivo" w:eastAsia="Archivo" w:hAnsi="Archivo"/>
          <w:sz w:val="21"/>
          <w:szCs w:val="21"/>
        </w:rPr>
        <w:t xml:space="preserve">El precepto consagra una regla de cobertura amplísima: el incendio causado por negligencia —incluso propia del asegurado, siempre que no alcance el umbral de la culpa grave— está cubierto, lo que distingue nítidamente el seguro de incendio de otras coberturas en las que la negligencia leve del asegurado puede jugar un papel exonerador distinto. Solo el dolo o la culpa grave liberan al asegurador, y la carga de su prueba corresponde, conforme a las reglas generales, a quien los alega</w:t>
      </w:r>
      <w:r>
        <w:rPr>
          <w:rStyle w:val="FootnoteReference"/>
        </w:rPr>
        <w:footnoteReference w:id="18"/>
      </w:r>
      <w:r>
        <w:rPr>
          <w:rFonts w:ascii="Archivo" w:cs="Archivo" w:eastAsia="Archivo" w:hAnsi="Archivo"/>
          <w:sz w:val="21"/>
          <w:szCs w:val="21"/>
        </w:rPr>
        <w:t xml:space="preserve">, es decir, a la aseguradora.</w:t>
      </w:r>
    </w:p>
    <w:p>
      <w:pPr>
        <w:spacing w:after="180" w:line="300"/>
        <w:jc w:val="both"/>
      </w:pPr>
      <w:r>
        <w:rPr>
          <w:rFonts w:ascii="Archivo" w:cs="Archivo" w:eastAsia="Archivo" w:hAnsi="Archivo"/>
          <w:sz w:val="21"/>
          <w:szCs w:val="21"/>
        </w:rPr>
        <w:t xml:space="preserve">La expresión «malquerencia de extraños» —heredera de una terminología decimonónica pero plenamente vigente— ha sido recientemente objeto de interpretación por la Sala Primera en un supuesto que, aunque referido a un local de negocio, fija un criterio de aplicación directa al ámbito doméstico cuando el incendio es provocado intencionadamente por alguien vinculado al entorno del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15 de julio de 2026 (ROJ: STS 3443/2026; ECLI:ES:TS:2026:3443; MP: Almenar Belenguer)</w:t>
            </w:r>
          </w:p>
          <w:p>
            <w:pPr>
              <w:spacing w:after="0" w:line="280"/>
              <w:jc w:val="both"/>
            </w:pPr>
            <w:r>
              <w:rPr>
                <w:rFonts w:ascii="Archivo" w:cs="Archivo" w:eastAsia="Archivo" w:hAnsi="Archivo"/>
                <w:color w:val="0A2540"/>
                <w:sz w:val="19"/>
                <w:szCs w:val="19"/>
              </w:rPr>
              <w:t xml:space="preserve">«El art. 48 LCS dispone en su párrafo primero que ‘el asegurador estará obligado a indemnizar los daños producidos por el incendio cuando éste se origine por caso fortuito, por malquerencia de extraños, por negligencia propia o de las personas de quienes se responda civilmente’ [...]. La obligación del asegurador de indemnizar los daños producidos por el incendio en el caso de que éste se origine ‘por malquerencia de extraños’ se refiere al incendio provocado por la acción u omisión deliberada de terceras personas ajenas al asegurado y a su entorno directo, lo que implica que carezcan de una vinculación [societaria, familiar o de convivencia] con aquel.»</w:t>
            </w:r>
          </w:p>
        </w:tc>
      </w:tr>
    </w:tbl>
    <w:p>
      <w:pPr>
        <w:spacing w:after="180" w:line="300"/>
        <w:jc w:val="both"/>
      </w:pPr>
      <w:r>
        <w:rPr>
          <w:rFonts w:ascii="Archivo" w:cs="Archivo" w:eastAsia="Archivo" w:hAnsi="Archivo"/>
          <w:sz w:val="21"/>
          <w:szCs w:val="21"/>
        </w:rPr>
        <w:t xml:space="preserve">La ratio decidendi es plenamente trasladable al hogar: si el incendio es provocado intencionadamente por un familiar conviviente, una pareja, un empleado del hogar o, en general, una persona vinculada al círculo íntimo o de convivencia del asegurado, no podrá invocarse la cobertura por «malquerencia de extraños», y la aseguradora deberá, en su caso, analizar el supuesto bajo la óptica del dolo o culpa grave del propio asegurado (si le es imputable la actuación de la persona con quien convive) o, alternativamente, bajo la cobertura de daños causados por terceros no extraños, que en la práctica de las pólizas de hogar suele quedar sujeta a condiciones particulares específicas.</w:t>
      </w:r>
    </w:p>
    <w:p>
      <w:pPr>
        <w:pStyle w:val="Heading2"/>
        <w:spacing w:after="160" w:before="400"/>
      </w:pPr>
      <w:r>
        <w:rPr>
          <w:rFonts w:ascii="Fraunces" w:cs="Fraunces" w:eastAsia="Fraunces" w:hAnsi="Fraunces"/>
          <w:b/>
          <w:bCs/>
          <w:color w:val="0A2540"/>
          <w:sz w:val="24"/>
          <w:szCs w:val="24"/>
        </w:rPr>
        <w:t xml:space="preserve">5.5. El desplazamiento del objeto asegurado</w:t>
      </w:r>
    </w:p>
    <w:p>
      <w:pPr>
        <w:spacing w:after="180" w:line="300"/>
        <w:jc w:val="both"/>
      </w:pPr>
      <w:r>
        <w:rPr>
          <w:rFonts w:ascii="Archivo" w:cs="Archivo" w:eastAsia="Archivo" w:hAnsi="Archivo"/>
          <w:sz w:val="21"/>
          <w:szCs w:val="21"/>
        </w:rPr>
        <w:t xml:space="preserve">El artículo 47 LCS introduce una regla de frecuente aplicación práctica cuando el siniestro afecta a contenido que, en el momento del incendio, no se encontraba en la vivienda asegurada (por ejemplo, mobiliario trasladado temporalmente a un guardamuebles con ocasión de una reforma):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47 LCS</w:t>
            </w:r>
          </w:p>
          <w:p>
            <w:pPr>
              <w:spacing w:after="0" w:line="280"/>
              <w:jc w:val="both"/>
            </w:pPr>
            <w:r>
              <w:rPr>
                <w:rFonts w:ascii="IBM Plex Mono" w:cs="IBM Plex Mono" w:eastAsia="IBM Plex Mono" w:hAnsi="IBM Plex Mono"/>
                <w:i/>
                <w:iCs/>
                <w:color w:val="0A2540"/>
                <w:sz w:val="18"/>
                <w:szCs w:val="18"/>
              </w:rPr>
              <w:t xml:space="preserve">La destrucción o deterioro de los objetos asegurados fuera del lugar descrito en la póliza excluirá la indemnización del asegurador, a menos que su traslado o cambio le hubiere sido previamente comunicado por escrito y éste no hubiese manifestado en el plazo de quince días su disconformidad.</w:t>
            </w:r>
          </w:p>
        </w:tc>
      </w:tr>
    </w:tbl>
    <w:p>
      <w:pPr>
        <w:spacing w:after="180" w:line="300"/>
        <w:jc w:val="both"/>
      </w:pPr>
      <w:r>
        <w:rPr>
          <w:rFonts w:ascii="Archivo" w:cs="Archivo" w:eastAsia="Archivo" w:hAnsi="Archivo"/>
          <w:sz w:val="21"/>
          <w:szCs w:val="21"/>
        </w:rPr>
        <w:t xml:space="preserve">La norma configura, en la práctica, un mecanismo de silencio positivo a favor del asegurado: comunicado el traslado por escrito, la falta de respuesta de la aseguradora en quince días equivale a la aceptación de la extensión de cobertura al nuevo emplazamiento.</w:t>
      </w:r>
    </w:p>
    <w:p>
      <w:pPr>
        <w:pStyle w:val="Heading2"/>
        <w:spacing w:after="160" w:before="400"/>
      </w:pPr>
      <w:r>
        <w:rPr>
          <w:rFonts w:ascii="Fraunces" w:cs="Fraunces" w:eastAsia="Fraunces" w:hAnsi="Fraunces"/>
          <w:b/>
          <w:bCs/>
          <w:color w:val="0A2540"/>
          <w:sz w:val="24"/>
          <w:szCs w:val="24"/>
        </w:rPr>
        <w:t xml:space="preserve">5.6. Los fenómenos eléctricos como riesgo asimilado</w:t>
      </w:r>
    </w:p>
    <w:p>
      <w:pPr>
        <w:spacing w:after="180" w:line="300"/>
        <w:jc w:val="both"/>
      </w:pPr>
      <w:r>
        <w:rPr>
          <w:rFonts w:ascii="Archivo" w:cs="Archivo" w:eastAsia="Archivo" w:hAnsi="Archivo"/>
          <w:sz w:val="21"/>
          <w:szCs w:val="21"/>
        </w:rPr>
        <w:t xml:space="preserve">Las condiciones generales de las pólizas de hogar incorporan, junto a la garantía de incendio propiamente dicha, una garantía asimilada de daños eléctricos (cortocircuitos, sobretensiones, descargas atmosféricas indirectas) que, en sentido estricto, no siempre reúne los elementos del concepto legal de incendio del art. 45 LCS —en particular, la combustión con llama—, por lo que su alcance depende enteramente de la extensión pactada en condiciones particulares. Se trata, por ello, de una garantía predominantemente contractual, sometida al régimen general del art. 3 LCS y a la distinción entre cláusulas delimitadoras y limitativas estudiada en el capítulo 1, más que al régimen legal específico e imperativo de los arts. 45 a 49 LCS.</w:t>
      </w:r>
    </w:p>
    <w:p>
      <w:pPr>
        <w:pStyle w:val="Heading2"/>
        <w:spacing w:after="160" w:before="400"/>
      </w:pPr>
      <w:r>
        <w:rPr>
          <w:rFonts w:ascii="Fraunces" w:cs="Fraunces" w:eastAsia="Fraunces" w:hAnsi="Fraunces"/>
          <w:b/>
          <w:bCs/>
          <w:color w:val="0A2540"/>
          <w:sz w:val="24"/>
          <w:szCs w:val="24"/>
        </w:rPr>
        <w:t xml:space="preserve">5.7.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en un siniestro de incendio</w:t>
            </w:r>
          </w:p>
          <w:p>
            <w:pPr>
              <w:pStyle w:val="ListParagraph"/>
              <w:numPr>
                <w:ilvl w:val="0"/>
                <w:numId w:val="2"/>
              </w:numPr>
              <w:spacing w:after="80" w:line="280"/>
            </w:pPr>
            <w:r>
              <w:rPr>
                <w:rFonts w:ascii="Archivo" w:cs="Archivo" w:eastAsia="Archivo" w:hAnsi="Archivo"/>
                <w:sz w:val="19"/>
                <w:szCs w:val="19"/>
              </w:rPr>
              <w:t xml:space="preserve">Verificar si concurren los tres elementos del concepto legal de incendio (art. 45 LCS): combustión, llama con capacidad de propagación, y objeto no destinado a ser quemado en ese lugar y momento.</w:t>
            </w:r>
          </w:p>
          <w:p>
            <w:pPr>
              <w:pStyle w:val="ListParagraph"/>
              <w:numPr>
                <w:ilvl w:val="0"/>
                <w:numId w:val="2"/>
              </w:numPr>
              <w:spacing w:after="80" w:line="280"/>
            </w:pPr>
            <w:r>
              <w:rPr>
                <w:rFonts w:ascii="Archivo" w:cs="Archivo" w:eastAsia="Archivo" w:hAnsi="Archivo"/>
                <w:sz w:val="19"/>
                <w:szCs w:val="19"/>
              </w:rPr>
              <w:t xml:space="preserve">Ante la invocación de dolo o culpa grave por la aseguradora, exigir la prueba cumplida de dicha causa de exoneración, recordando que la negligencia leve —incluso del propio asegurado— está cubierta ex art. 48 LCS.</w:t>
            </w:r>
          </w:p>
          <w:p>
            <w:pPr>
              <w:pStyle w:val="ListParagraph"/>
              <w:numPr>
                <w:ilvl w:val="0"/>
                <w:numId w:val="2"/>
              </w:numPr>
              <w:spacing w:after="80" w:line="280"/>
            </w:pPr>
            <w:r>
              <w:rPr>
                <w:rFonts w:ascii="Archivo" w:cs="Archivo" w:eastAsia="Archivo" w:hAnsi="Archivo"/>
                <w:sz w:val="19"/>
                <w:szCs w:val="19"/>
              </w:rPr>
              <w:t xml:space="preserve">Ante la invocación de «malquerencia de extraños» como base de la reclamación, o de su exclusión por la aseguradora, aplicar el criterio de la STS de 15 de julio de 2026 (ROJ: STS 3443/2026): solo excluye la vinculación directa con el entorno del asegurado.</w:t>
            </w:r>
          </w:p>
          <w:p>
            <w:pPr>
              <w:pStyle w:val="ListParagraph"/>
              <w:numPr>
                <w:ilvl w:val="0"/>
                <w:numId w:val="2"/>
              </w:numPr>
              <w:spacing w:after="80" w:line="280"/>
            </w:pPr>
            <w:r>
              <w:rPr>
                <w:rFonts w:ascii="Archivo" w:cs="Archivo" w:eastAsia="Archivo" w:hAnsi="Archivo"/>
                <w:sz w:val="19"/>
                <w:szCs w:val="19"/>
              </w:rPr>
              <w:t xml:space="preserve">Verificar la cobertura efectiva de objetos de valor (art. 46 LCS) mediante pacto expreso en condiciones particulares, no presunta.</w:t>
            </w:r>
          </w:p>
          <w:p>
            <w:pPr>
              <w:pStyle w:val="ListParagraph"/>
              <w:numPr>
                <w:ilvl w:val="0"/>
                <w:numId w:val="2"/>
              </w:numPr>
              <w:spacing w:after="80" w:line="280"/>
            </w:pPr>
            <w:r>
              <w:rPr>
                <w:rFonts w:ascii="Archivo" w:cs="Archivo" w:eastAsia="Archivo" w:hAnsi="Archivo"/>
                <w:sz w:val="19"/>
                <w:szCs w:val="19"/>
              </w:rPr>
              <w:t xml:space="preserve">En caso de desplazamiento temporal de contenido fuera de la vivienda, comprobar si se comunicó por escrito y si la aseguradora guardó silencio durante quince días (art. 47 LCS).</w:t>
            </w:r>
          </w:p>
        </w:tc>
      </w:tr>
    </w:tbl>
    <w:p>
      <w:pPr>
        <w:pStyle w:val="Heading2"/>
        <w:spacing w:after="160" w:before="400"/>
      </w:pPr>
      <w:r>
        <w:rPr>
          <w:rFonts w:ascii="Fraunces" w:cs="Fraunces" w:eastAsia="Fraunces" w:hAnsi="Fraunces"/>
          <w:b/>
          <w:bCs/>
          <w:color w:val="0A2540"/>
          <w:sz w:val="24"/>
          <w:szCs w:val="24"/>
        </w:rPr>
        <w:t xml:space="preserve">5.8.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hacer tras un incendio en su vivienda</w:t>
            </w:r>
          </w:p>
          <w:p>
            <w:pPr>
              <w:pStyle w:val="ListParagraph"/>
              <w:numPr>
                <w:ilvl w:val="0"/>
                <w:numId w:val="2"/>
              </w:numPr>
              <w:spacing w:after="80" w:line="280"/>
            </w:pPr>
            <w:r>
              <w:rPr>
                <w:rFonts w:ascii="Archivo" w:cs="Archivo" w:eastAsia="Archivo" w:hAnsi="Archivo"/>
                <w:sz w:val="19"/>
                <w:szCs w:val="19"/>
              </w:rPr>
              <w:t xml:space="preserve">Comunique el siniestro a la aseguradora dentro del plazo de la póliza (nunca superior a siete días desde que tuvo conocimiento, salvo plazo más amplio pactado).</w:t>
            </w:r>
          </w:p>
          <w:p>
            <w:pPr>
              <w:pStyle w:val="ListParagraph"/>
              <w:numPr>
                <w:ilvl w:val="0"/>
                <w:numId w:val="2"/>
              </w:numPr>
              <w:spacing w:after="80" w:line="280"/>
            </w:pPr>
            <w:r>
              <w:rPr>
                <w:rFonts w:ascii="Archivo" w:cs="Archivo" w:eastAsia="Archivo" w:hAnsi="Archivo"/>
                <w:sz w:val="19"/>
                <w:szCs w:val="19"/>
              </w:rPr>
              <w:t xml:space="preserve">Conserve, en la medida de lo posible, los restos y objetos dañados hasta la inspección pericial; no los deseche antes de que un perito los examine.</w:t>
            </w:r>
          </w:p>
          <w:p>
            <w:pPr>
              <w:pStyle w:val="ListParagraph"/>
              <w:numPr>
                <w:ilvl w:val="0"/>
                <w:numId w:val="2"/>
              </w:numPr>
              <w:spacing w:after="80" w:line="280"/>
            </w:pPr>
            <w:r>
              <w:rPr>
                <w:rFonts w:ascii="Archivo" w:cs="Archivo" w:eastAsia="Archivo" w:hAnsi="Archivo"/>
                <w:sz w:val="19"/>
                <w:szCs w:val="19"/>
              </w:rPr>
              <w:t xml:space="preserve">Si va a trasladar temporalmente sus enseres (por ejemplo, con ocasión de una reforma tras el incendio), comuníquelo por escrito a la aseguradora.</w:t>
            </w:r>
          </w:p>
          <w:p>
            <w:pPr>
              <w:pStyle w:val="ListParagraph"/>
              <w:numPr>
                <w:ilvl w:val="0"/>
                <w:numId w:val="2"/>
              </w:numPr>
              <w:spacing w:after="80" w:line="280"/>
            </w:pPr>
            <w:r>
              <w:rPr>
                <w:rFonts w:ascii="Archivo" w:cs="Archivo" w:eastAsia="Archivo" w:hAnsi="Archivo"/>
                <w:sz w:val="19"/>
                <w:szCs w:val="19"/>
              </w:rPr>
              <w:t xml:space="preserve">Guarde facturas o cualquier prueba de la preexistencia de los objetos desaparecidos: la ley le favorece con una presunción, pero cuanta más prueba aporte, más sólida será su reclamación.</w:t>
            </w:r>
          </w:p>
        </w:tc>
      </w:tr>
    </w:tbl>
    <w:p>
      <w:pPr>
        <w:pStyle w:val="Heading2"/>
        <w:spacing w:after="160" w:before="400"/>
      </w:pPr>
      <w:r>
        <w:rPr>
          <w:rFonts w:ascii="Fraunces" w:cs="Fraunces" w:eastAsia="Fraunces" w:hAnsi="Fraunces"/>
          <w:b/>
          <w:bCs/>
          <w:color w:val="0A2540"/>
          <w:sz w:val="24"/>
          <w:szCs w:val="24"/>
        </w:rPr>
        <w:t xml:space="preserve">5.9. Checklist: acreditación de un siniestro de incendio</w:t>
      </w:r>
    </w:p>
    <w:p>
      <w:pPr>
        <w:pStyle w:val="ListParagraph"/>
        <w:numPr>
          <w:ilvl w:val="0"/>
          <w:numId w:val="2"/>
        </w:numPr>
        <w:spacing w:after="100" w:line="290"/>
      </w:pPr>
      <w:r>
        <w:rPr>
          <w:rFonts w:ascii="Archivo" w:cs="Archivo" w:eastAsia="Archivo" w:hAnsi="Archivo"/>
          <w:sz w:val="21"/>
          <w:szCs w:val="21"/>
        </w:rPr>
        <w:t xml:space="preserve">1. ¿Existe informe de bomberos o atestado policial sobre el origen y las circunstancias del incendio?</w:t>
      </w:r>
    </w:p>
    <w:p>
      <w:pPr>
        <w:pStyle w:val="ListParagraph"/>
        <w:numPr>
          <w:ilvl w:val="0"/>
          <w:numId w:val="2"/>
        </w:numPr>
        <w:spacing w:after="100" w:line="290"/>
      </w:pPr>
      <w:r>
        <w:rPr>
          <w:rFonts w:ascii="Archivo" w:cs="Archivo" w:eastAsia="Archivo" w:hAnsi="Archivo"/>
          <w:sz w:val="21"/>
          <w:szCs w:val="21"/>
        </w:rPr>
        <w:t xml:space="preserve">2. ¿Se ha designado perito de parte conforme al art. 38 LCS (capítulo 18)?</w:t>
      </w:r>
    </w:p>
    <w:p>
      <w:pPr>
        <w:pStyle w:val="ListParagraph"/>
        <w:numPr>
          <w:ilvl w:val="0"/>
          <w:numId w:val="2"/>
        </w:numPr>
        <w:spacing w:after="100" w:line="290"/>
      </w:pPr>
      <w:r>
        <w:rPr>
          <w:rFonts w:ascii="Archivo" w:cs="Archivo" w:eastAsia="Archivo" w:hAnsi="Archivo"/>
          <w:sz w:val="21"/>
          <w:szCs w:val="21"/>
        </w:rPr>
        <w:t xml:space="preserve">3. ¿Existe prueba de la preexistencia de los objetos desaparecidos (facturas, fotografías, tasaciones)?</w:t>
      </w:r>
    </w:p>
    <w:p>
      <w:pPr>
        <w:pStyle w:val="ListParagraph"/>
        <w:numPr>
          <w:ilvl w:val="0"/>
          <w:numId w:val="2"/>
        </w:numPr>
        <w:spacing w:after="100" w:line="290"/>
      </w:pPr>
      <w:r>
        <w:rPr>
          <w:rFonts w:ascii="Archivo" w:cs="Archivo" w:eastAsia="Archivo" w:hAnsi="Archivo"/>
          <w:sz w:val="21"/>
          <w:szCs w:val="21"/>
        </w:rPr>
        <w:t xml:space="preserve">4. ¿Se han conservado los restos y objetos dañados para su inspección?</w:t>
      </w:r>
    </w:p>
    <w:p>
      <w:pPr>
        <w:pStyle w:val="ListParagraph"/>
        <w:numPr>
          <w:ilvl w:val="0"/>
          <w:numId w:val="2"/>
        </w:numPr>
        <w:spacing w:after="100" w:line="290"/>
      </w:pPr>
      <w:r>
        <w:rPr>
          <w:rFonts w:ascii="Archivo" w:cs="Archivo" w:eastAsia="Archivo" w:hAnsi="Archivo"/>
          <w:sz w:val="21"/>
          <w:szCs w:val="21"/>
        </w:rPr>
        <w:t xml:space="preserve">5. ¿Existen indicios de intervención de terceros? En tal caso, ¿cuál es su vinculación con el asegurado?</w:t>
      </w:r>
    </w:p>
    <w:p>
      <w:pPr>
        <w:pStyle w:val="ListParagraph"/>
        <w:numPr>
          <w:ilvl w:val="0"/>
          <w:numId w:val="2"/>
        </w:numPr>
        <w:spacing w:after="100" w:line="290"/>
      </w:pPr>
      <w:r>
        <w:rPr>
          <w:rFonts w:ascii="Archivo" w:cs="Archivo" w:eastAsia="Archivo" w:hAnsi="Archivo"/>
          <w:sz w:val="21"/>
          <w:szCs w:val="21"/>
        </w:rPr>
        <w:t xml:space="preserve">6. ¿Se comunicaron a la aseguradora traslados temporales del contenido asegurado?</w:t>
      </w:r>
    </w:p>
    <w:p>
      <w:pPr>
        <w:pStyle w:val="ListParagraph"/>
        <w:numPr>
          <w:ilvl w:val="0"/>
          <w:numId w:val="2"/>
        </w:numPr>
        <w:spacing w:after="100" w:line="290"/>
      </w:pPr>
      <w:r>
        <w:rPr>
          <w:rFonts w:ascii="Archivo" w:cs="Archivo" w:eastAsia="Archivo" w:hAnsi="Archivo"/>
          <w:sz w:val="21"/>
          <w:szCs w:val="21"/>
        </w:rPr>
        <w:t xml:space="preserve">7. ¿Se ha verificado la cobertura efectiva de objetos de valor mediante pacto expreso?</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8. </w:t>
      </w:r>
      <w:r>
        <w:rPr>
          <w:rFonts w:ascii="Fraunces" w:cs="Fraunces" w:eastAsia="Fraunces" w:hAnsi="Fraunces"/>
          <w:b/>
          <w:bCs/>
          <w:color w:val="0A2540"/>
          <w:sz w:val="30"/>
          <w:szCs w:val="30"/>
        </w:rPr>
        <w:t xml:space="preserve">Daños por agua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6.1. Una cobertura sin régimen legal propio: la remisión al clausulado</w:t>
            </w:r>
          </w:p>
          <w:p>
            <w:pPr>
              <w:spacing w:after="40" w:line="260"/>
            </w:pPr>
            <w:r>
              <w:rPr>
                <w:rFonts w:ascii="Archivo" w:cs="Archivo" w:eastAsia="Archivo" w:hAnsi="Archivo"/>
                <w:sz w:val="18"/>
                <w:szCs w:val="18"/>
              </w:rPr>
              <w:t xml:space="preserve">6.2. Tipología de siniestros de agua en el seguro de hogar</w:t>
            </w:r>
          </w:p>
          <w:p>
            <w:pPr>
              <w:spacing w:after="40" w:line="260"/>
            </w:pPr>
            <w:r>
              <w:rPr>
                <w:rFonts w:ascii="Archivo" w:cs="Archivo" w:eastAsia="Archivo" w:hAnsi="Archivo"/>
                <w:sz w:val="18"/>
                <w:szCs w:val="18"/>
              </w:rPr>
              <w:t xml:space="preserve">6.3. La causa del daño como campo de batalla: vicio, desgaste y falta de mantenimiento</w:t>
            </w:r>
          </w:p>
          <w:p>
            <w:pPr>
              <w:spacing w:after="40" w:line="260"/>
            </w:pPr>
            <w:r>
              <w:rPr>
                <w:rFonts w:ascii="Archivo" w:cs="Archivo" w:eastAsia="Archivo" w:hAnsi="Archivo"/>
                <w:sz w:val="18"/>
                <w:szCs w:val="18"/>
              </w:rPr>
              <w:t xml:space="preserve">6.3.1. La confirmación de las Audiencias Provinciales: exclusión clara y no sorpresiva</w:t>
            </w:r>
          </w:p>
          <w:p>
            <w:pPr>
              <w:spacing w:after="40" w:line="260"/>
            </w:pPr>
            <w:r>
              <w:rPr>
                <w:rFonts w:ascii="Archivo" w:cs="Archivo" w:eastAsia="Archivo" w:hAnsi="Archivo"/>
                <w:sz w:val="18"/>
                <w:szCs w:val="18"/>
              </w:rPr>
              <w:t xml:space="preserve">6.4. Daños entre vecinos y comunidades de propietarios: elementos privativos y comunes</w:t>
            </w:r>
          </w:p>
          <w:p>
            <w:pPr>
              <w:spacing w:after="40" w:line="260"/>
            </w:pPr>
            <w:r>
              <w:rPr>
                <w:rFonts w:ascii="Archivo" w:cs="Archivo" w:eastAsia="Archivo" w:hAnsi="Archivo"/>
                <w:sz w:val="18"/>
                <w:szCs w:val="18"/>
              </w:rPr>
              <w:t xml:space="preserve">6.5. Concurrencia de seguros en el ámbito del arrendamiento y la propiedad horizontal</w:t>
            </w:r>
          </w:p>
          <w:p>
            <w:pPr>
              <w:spacing w:after="40" w:line="260"/>
            </w:pPr>
            <w:r>
              <w:rPr>
                <w:rFonts w:ascii="Archivo" w:cs="Archivo" w:eastAsia="Archivo" w:hAnsi="Archivo"/>
                <w:sz w:val="18"/>
                <w:szCs w:val="18"/>
              </w:rPr>
              <w:t xml:space="preserve">6.6. Daños continuados y determinación del dies a quo</w:t>
            </w:r>
          </w:p>
          <w:p>
            <w:pPr>
              <w:spacing w:after="40" w:line="260"/>
            </w:pPr>
            <w:r>
              <w:rPr>
                <w:rFonts w:ascii="Archivo" w:cs="Archivo" w:eastAsia="Archivo" w:hAnsi="Archivo"/>
                <w:sz w:val="18"/>
                <w:szCs w:val="18"/>
              </w:rPr>
              <w:t xml:space="preserve">6.7. Ficha para el profesional</w:t>
            </w:r>
          </w:p>
          <w:p>
            <w:pPr>
              <w:spacing w:after="40" w:line="260"/>
            </w:pPr>
            <w:r>
              <w:rPr>
                <w:rFonts w:ascii="Archivo" w:cs="Archivo" w:eastAsia="Archivo" w:hAnsi="Archivo"/>
                <w:sz w:val="18"/>
                <w:szCs w:val="18"/>
              </w:rPr>
              <w:t xml:space="preserve">6.8. Ficha para el asegurado</w:t>
            </w:r>
          </w:p>
          <w:p>
            <w:pPr>
              <w:spacing w:after="40" w:line="260"/>
            </w:pPr>
            <w:r>
              <w:rPr>
                <w:rFonts w:ascii="Archivo" w:cs="Archivo" w:eastAsia="Archivo" w:hAnsi="Archivo"/>
                <w:sz w:val="18"/>
                <w:szCs w:val="18"/>
              </w:rPr>
              <w:t xml:space="preserve">6.9. Checklist: gestión de un siniestro de daños por agua</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Los daños por agua constituyen, en volumen de siniestros, la primera causa de reclamación en el seguro de hogar español, pese a carecer de régimen legal propio en la LCS: su tratamiento jurídico se construye enteramente sobre el clausulado contractual, el régimen general del seguro de daños y la jurisprudencia sobre concurrencia de seguros y responsabilidad civil en la propiedad horizontal. El capítulo sistematiza los criterios aplicados por la Sala Primera del Tribunal Supremo a la atribución de causas, a la concurrencia de pólizas entre propietario y arrendatario, y a la determinación del dies a quo en los daños de producción continuada.</w:t>
            </w:r>
          </w:p>
          <w:p>
            <w:pPr>
              <w:spacing w:after="160"/>
            </w:pPr>
            <w:r>
              <w:rPr>
                <w:rFonts w:ascii="Archivo" w:cs="Archivo" w:eastAsia="Archivo" w:hAnsi="Archivo"/>
                <w:b/>
                <w:bCs/>
                <w:sz w:val="17"/>
                <w:szCs w:val="17"/>
              </w:rPr>
              <w:t xml:space="preserve">Palabras clave: daños por agua, propiedad horizontal, concurrencia de seguros, art. 32 LCS, daño continuado, prescripción.</w:t>
            </w:r>
          </w:p>
          <w:p>
            <w:pPr>
              <w:spacing w:after="100"/>
              <w:jc w:val="both"/>
            </w:pPr>
            <w:r>
              <w:rPr>
                <w:rFonts w:ascii="Archivo" w:cs="Archivo" w:eastAsia="Archivo" w:hAnsi="Archivo"/>
                <w:i/>
                <w:iCs/>
                <w:sz w:val="18"/>
                <w:szCs w:val="18"/>
              </w:rPr>
              <w:t xml:space="preserve">Water damage claims are, by volume, the leading cause of homeowners' insurance claims in Spain, despite lacking a dedicated statutory regime under the Insurance Contract Act: their legal treatment rests entirely on policy wording, the general rules on indemnity insurance, and case law on concurrent insurance and condominium liability. This chapter systematises the criteria applied by the Supreme Court to causation disputes, to the concurrence of landlord and tenant policies, and to the starting point for limitation in cases of continuing damage.</w:t>
            </w:r>
          </w:p>
          <w:p>
            <w:pPr>
              <w:spacing w:after="0"/>
            </w:pPr>
            <w:r>
              <w:rPr>
                <w:rFonts w:ascii="Archivo" w:cs="Archivo" w:eastAsia="Archivo" w:hAnsi="Archivo"/>
                <w:b/>
                <w:bCs/>
                <w:sz w:val="17"/>
                <w:szCs w:val="17"/>
              </w:rPr>
              <w:t xml:space="preserve">Keywords: water damage, condominium liability, concurrent insurance, continuing damage, limitation period.</w:t>
            </w:r>
          </w:p>
        </w:tc>
      </w:tr>
    </w:tbl>
    <w:p>
      <w:pPr>
        <w:spacing w:after="200"/>
      </w:pPr>
    </w:p>
    <w:p>
      <w:pPr>
        <w:pStyle w:val="Heading2"/>
        <w:spacing w:after="160" w:before="400"/>
      </w:pPr>
      <w:r>
        <w:rPr>
          <w:rFonts w:ascii="Fraunces" w:cs="Fraunces" w:eastAsia="Fraunces" w:hAnsi="Fraunces"/>
          <w:b/>
          <w:bCs/>
          <w:color w:val="0A2540"/>
          <w:sz w:val="24"/>
          <w:szCs w:val="24"/>
        </w:rPr>
        <w:t xml:space="preserve">6.1. Una cobertura sin régimen legal propio: la remisión al clausulado</w:t>
      </w:r>
    </w:p>
    <w:p>
      <w:pPr>
        <w:spacing w:after="180" w:line="300"/>
        <w:jc w:val="both"/>
      </w:pPr>
      <w:r>
        <w:rPr>
          <w:rFonts w:ascii="Archivo" w:cs="Archivo" w:eastAsia="Archivo" w:hAnsi="Archivo"/>
          <w:sz w:val="21"/>
          <w:szCs w:val="21"/>
        </w:rPr>
        <w:t xml:space="preserve">A diferencia del incendio y del robo, la LCS no dedica un régimen específico a los daños por agua: se trata de una garantía de creación puramente contractual, nacida de la práctica aseguradora y hoy universalmente incorporada a las pólizas de hogar como una de sus coberturas troncales</w:t>
      </w:r>
      <w:r>
        <w:rPr>
          <w:rStyle w:val="FootnoteReference"/>
        </w:rPr>
        <w:footnoteReference w:id="19"/>
      </w:r>
      <w:r>
        <w:rPr>
          <w:rFonts w:ascii="Archivo" w:cs="Archivo" w:eastAsia="Archivo" w:hAnsi="Archivo"/>
          <w:sz w:val="21"/>
          <w:szCs w:val="21"/>
        </w:rPr>
        <w:t xml:space="preserve">. Esta circunstancia tiene una consecuencia metodológica de primer orden: el alcance exacto de la cobertura de daños por agua debe reconstruirse, en cada caso, a partir de las condiciones generales y particulares de la póliza concreta, sometidas al régimen general de los arts. 1 a 44 LCS y, en particular, a la distinción entre cláusulas delimitadoras y limitativas estudiada en los capítulos 1 y 5.</w:t>
      </w:r>
    </w:p>
    <w:p>
      <w:pPr>
        <w:spacing w:after="180" w:line="300"/>
        <w:jc w:val="both"/>
      </w:pPr>
      <w:r>
        <w:rPr>
          <w:rFonts w:ascii="Archivo" w:cs="Archivo" w:eastAsia="Archivo" w:hAnsi="Archivo"/>
          <w:sz w:val="21"/>
          <w:szCs w:val="21"/>
        </w:rPr>
        <w:t xml:space="preserve">La práctica aseguradora española distingue, dentro de esta garantía genérica, varias submodalidades que conviene identificar al leer una póliza: daños por agua propiamente dichos (rotura, fuga o desbordamiento de instalaciones fijas de suministro, calefacción o evacuación), daños estéticos derivados de humedades, búsqueda y reparación de la avería causante (garantía frecuentemente sujeta a sublímite propio) y responsabilidad civil frente a terceros por daños de agua causados desde la vivienda asegurada.</w:t>
      </w:r>
    </w:p>
    <w:p>
      <w:pPr>
        <w:pStyle w:val="Heading2"/>
        <w:spacing w:after="160" w:before="400"/>
      </w:pPr>
      <w:r>
        <w:rPr>
          <w:rFonts w:ascii="Fraunces" w:cs="Fraunces" w:eastAsia="Fraunces" w:hAnsi="Fraunces"/>
          <w:b/>
          <w:bCs/>
          <w:color w:val="0A2540"/>
          <w:sz w:val="24"/>
          <w:szCs w:val="24"/>
        </w:rPr>
        <w:t xml:space="preserve">6.2. Tipología de siniestros de agua en el seguro de hogar</w:t>
      </w:r>
    </w:p>
    <w:p>
      <w:pPr>
        <w:pStyle w:val="ListParagraph"/>
        <w:numPr>
          <w:ilvl w:val="0"/>
          <w:numId w:val="2"/>
        </w:numPr>
        <w:spacing w:after="100" w:line="290"/>
      </w:pPr>
      <w:r>
        <w:rPr>
          <w:rFonts w:ascii="Archivo" w:cs="Archivo" w:eastAsia="Archivo" w:hAnsi="Archivo"/>
          <w:b/>
          <w:bCs/>
          <w:sz w:val="21"/>
          <w:szCs w:val="21"/>
        </w:rPr>
        <w:t xml:space="preserve">Rotura de tuberías y accesorios: </w:t>
      </w:r>
      <w:r>
        <w:rPr>
          <w:rFonts w:ascii="Archivo" w:cs="Archivo" w:eastAsia="Archivo" w:hAnsi="Archivo"/>
          <w:sz w:val="21"/>
          <w:szCs w:val="21"/>
        </w:rPr>
        <w:t xml:space="preserve">la causa más frecuente; puede afectar a instalaciones propias (privativas) o comunes, con las consecuencias sobre legitimación pasiva que se estudian en el epígrafe 6.4.</w:t>
      </w:r>
    </w:p>
    <w:p>
      <w:pPr>
        <w:pStyle w:val="ListParagraph"/>
        <w:numPr>
          <w:ilvl w:val="0"/>
          <w:numId w:val="2"/>
        </w:numPr>
        <w:spacing w:after="100" w:line="290"/>
      </w:pPr>
      <w:r>
        <w:rPr>
          <w:rFonts w:ascii="Archivo" w:cs="Archivo" w:eastAsia="Archivo" w:hAnsi="Archivo"/>
          <w:b/>
          <w:bCs/>
          <w:sz w:val="21"/>
          <w:szCs w:val="21"/>
        </w:rPr>
        <w:t xml:space="preserve">Filtraciones por cubierta o fachada: </w:t>
      </w:r>
      <w:r>
        <w:rPr>
          <w:rFonts w:ascii="Archivo" w:cs="Archivo" w:eastAsia="Archivo" w:hAnsi="Archivo"/>
          <w:sz w:val="21"/>
          <w:szCs w:val="21"/>
        </w:rPr>
        <w:t xml:space="preserve">frecuentemente calificadas contractualmente como «humedades» y sometidas a exclusiones específicas, distintas de la rotura súbita y accidental de una instalación (capítulo 16).</w:t>
      </w:r>
    </w:p>
    <w:p>
      <w:pPr>
        <w:pStyle w:val="ListParagraph"/>
        <w:numPr>
          <w:ilvl w:val="0"/>
          <w:numId w:val="2"/>
        </w:numPr>
        <w:spacing w:after="100" w:line="290"/>
      </w:pPr>
      <w:r>
        <w:rPr>
          <w:rFonts w:ascii="Archivo" w:cs="Archivo" w:eastAsia="Archivo" w:hAnsi="Archivo"/>
          <w:b/>
          <w:bCs/>
          <w:sz w:val="21"/>
          <w:szCs w:val="21"/>
        </w:rPr>
        <w:t xml:space="preserve">Desbordamiento de electrodomésticos: </w:t>
      </w:r>
      <w:r>
        <w:rPr>
          <w:rFonts w:ascii="Archivo" w:cs="Archivo" w:eastAsia="Archivo" w:hAnsi="Archivo"/>
          <w:sz w:val="21"/>
          <w:szCs w:val="21"/>
        </w:rPr>
        <w:t xml:space="preserve">lavadoras, lavavajillas y calentadores, generalmente cubiertos como supuesto asimilado al daño por agua propiamente dicho.</w:t>
      </w:r>
    </w:p>
    <w:p>
      <w:pPr>
        <w:pStyle w:val="ListParagraph"/>
        <w:numPr>
          <w:ilvl w:val="0"/>
          <w:numId w:val="2"/>
        </w:numPr>
        <w:spacing w:after="100" w:line="290"/>
      </w:pPr>
      <w:r>
        <w:rPr>
          <w:rFonts w:ascii="Archivo" w:cs="Archivo" w:eastAsia="Archivo" w:hAnsi="Archivo"/>
          <w:b/>
          <w:bCs/>
          <w:sz w:val="21"/>
          <w:szCs w:val="21"/>
        </w:rPr>
        <w:t xml:space="preserve">Daños causados a terceros (a la vivienda inferior o colindante): </w:t>
      </w:r>
      <w:r>
        <w:rPr>
          <w:rFonts w:ascii="Archivo" w:cs="Archivo" w:eastAsia="Archivo" w:hAnsi="Archivo"/>
          <w:sz w:val="21"/>
          <w:szCs w:val="21"/>
        </w:rPr>
        <w:t xml:space="preserve">activan, simultáneamente, la cobertura de daños propios del causante (si la tiene) y su cobertura de responsabilidad civil de cabeza de familia (capítulo 13), lo que exige coordinar dos garantías de la misma póliza.</w:t>
      </w:r>
    </w:p>
    <w:p>
      <w:pPr>
        <w:pStyle w:val="Heading2"/>
        <w:spacing w:after="160" w:before="400"/>
      </w:pPr>
      <w:r>
        <w:rPr>
          <w:rFonts w:ascii="Fraunces" w:cs="Fraunces" w:eastAsia="Fraunces" w:hAnsi="Fraunces"/>
          <w:b/>
          <w:bCs/>
          <w:color w:val="0A2540"/>
          <w:sz w:val="24"/>
          <w:szCs w:val="24"/>
        </w:rPr>
        <w:t xml:space="preserve">6.3. La causa del daño como campo de batalla: vicio, desgaste y falta de mantenimiento</w:t>
      </w:r>
    </w:p>
    <w:p>
      <w:pPr>
        <w:spacing w:after="180" w:line="300"/>
        <w:jc w:val="both"/>
      </w:pPr>
      <w:r>
        <w:rPr>
          <w:rFonts w:ascii="Archivo" w:cs="Archivo" w:eastAsia="Archivo" w:hAnsi="Archivo"/>
          <w:sz w:val="21"/>
          <w:szCs w:val="21"/>
        </w:rPr>
        <w:t xml:space="preserve">La práctica totalidad de la litigiosidad en materia de daños por agua gira en torno a la causa del siniestro, porque las condiciones generales excluyen de forma prácticamente universal los daños derivados del simple desgaste, la falta de mantenimiento o el vicio propio de las instalaciones, reservando la cobertura a la rotura súbita y accidental. La correcta calificación de esta exclusión —delimitadora en su formulación típica, potencialmente limitativa si se aplica de forma extensiva y sorpresiva— exige aplicar sistemáticamente la metodología fijada en el capítulo 5: verificar si la cláusula de exclusión fue destacada y, en caso de duda razonable sobre si el daño obedece a una rotura súbita o a un desgaste progresivo, proyectar la regla contra proferentem del art. 1288 CC a favor del asegurado.</w:t>
      </w:r>
    </w:p>
    <w:p>
      <w:pPr>
        <w:spacing w:after="180" w:line="300"/>
        <w:jc w:val="both"/>
      </w:pPr>
      <w:r>
        <w:rPr>
          <w:rFonts w:ascii="Archivo" w:cs="Archivo" w:eastAsia="Archivo" w:hAnsi="Archivo"/>
          <w:sz w:val="21"/>
          <w:szCs w:val="21"/>
        </w:rPr>
        <w:t xml:space="preserve">En la práctica pericial, esta distinción exige normalmente un informe técnico que determine si la causa generadora fue un evento puntual (por ejemplo, la rotura de una junta o de un latiguillo de conexión) o un proceso de deterioro prolongado (por ejemplo, la corrosión generalizada de una red de fontanería envejecida), correspondiendo a la aseguradora, cuando invoca la exclusión, acreditar cumplidamente que el segundo supuesto es el que concurre.</w:t>
      </w:r>
    </w:p>
    <w:p>
      <w:pPr>
        <w:pStyle w:val="Heading3"/>
        <w:spacing w:after="120" w:before="280"/>
      </w:pPr>
      <w:r>
        <w:rPr>
          <w:rFonts w:ascii="Archivo" w:cs="Archivo" w:eastAsia="Archivo" w:hAnsi="Archivo"/>
          <w:b/>
          <w:bCs/>
          <w:color w:val="1B6DF0"/>
          <w:sz w:val="21"/>
          <w:szCs w:val="21"/>
        </w:rPr>
        <w:t xml:space="preserve">6.3.1. La confirmación de las Audiencias Provinciales: exclusión clara y no sorpresiva</w:t>
      </w:r>
    </w:p>
    <w:p>
      <w:pPr>
        <w:spacing w:after="180" w:line="300"/>
        <w:jc w:val="both"/>
      </w:pPr>
      <w:r>
        <w:rPr>
          <w:rFonts w:ascii="Archivo" w:cs="Archivo" w:eastAsia="Archivo" w:hAnsi="Archivo"/>
          <w:sz w:val="21"/>
          <w:szCs w:val="21"/>
        </w:rPr>
        <w:t xml:space="preserve">La jurisprudencia menor confirma, de forma reiterada, la calificación de esta exclusión como delimitadora —no limitativa— cuando está redactada con claridad y no se aparta del contenido típico del ramo, lo que la libera de los estrictos requisitos formales del art. 3 LCS:</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SAP Valencia (Sección 5.ª), de 30 de junio de 2021 (ROJ: SAP V 2845/2021; ECLI:ES:APV:2021:2845; MP: Viguer Soler)</w:t>
            </w:r>
          </w:p>
          <w:p>
            <w:pPr>
              <w:spacing w:after="0" w:line="280"/>
              <w:jc w:val="both"/>
            </w:pPr>
            <w:r>
              <w:rPr>
                <w:rFonts w:ascii="Archivo" w:cs="Archivo" w:eastAsia="Archivo" w:hAnsi="Archivo"/>
                <w:color w:val="0A2540"/>
                <w:sz w:val="19"/>
                <w:szCs w:val="19"/>
              </w:rPr>
              <w:t xml:space="preserve">«La cláusula contenida en las condiciones generales y particulares por la que excluye los daños por filtraciones debidas a falta de mantenimiento o desgastes notorios del inmueble, es una cláusula delimitadora del riesgo pues establece una ‘exclusión objetiva’ de la póliza [...], cláusula que además es clara en su redacción, está exenta de oscuridad alguna y figura resaltada en la póliza, por lo que en absoluto puede considerarse sorpresiva o inusual sino al contrario es habitual en este tipo de seguros multirriesgo [...], ya que responde a un propósito de eliminar ambigüedades y concretar la naturaleza del riesgo en coherencia con el objeto del contrato, por lo que era o debía ser razonablemente esperada por el asegurado.»</w:t>
            </w:r>
          </w:p>
        </w:tc>
      </w:tr>
    </w:tbl>
    <w:p>
      <w:pPr>
        <w:spacing w:after="180" w:line="300"/>
        <w:jc w:val="both"/>
      </w:pPr>
      <w:r>
        <w:rPr>
          <w:rFonts w:ascii="Archivo" w:cs="Archivo" w:eastAsia="Archivo" w:hAnsi="Archivo"/>
          <w:sz w:val="21"/>
          <w:szCs w:val="21"/>
        </w:rPr>
        <w:t xml:space="preserve">La Audiencia Provincial de Barcelona, por su parte, matiza el alcance de esta misma exclusión cuando la causa real del daño no es el desgaste sino un defecto de origen de la construcción, distinción de gran relevancia práctica y de conexión directa con el régimen de la Ley de Ordenación de la Edificación</w:t>
      </w:r>
      <w:r>
        <w:rPr>
          <w:rStyle w:val="FootnoteReference"/>
        </w:rPr>
        <w:footnoteReference w:id="20"/>
      </w:r>
      <w:r>
        <w:rPr>
          <w:rFonts w:ascii="Archivo" w:cs="Archivo" w:eastAsia="Archivo" w:hAnsi="Archivo"/>
          <w:sz w:val="21"/>
          <w:szCs w:val="21"/>
        </w:rPr>
        <w:t xml:space="preserve">:</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SAP Barcelona (Sección 1.ª), de 29 de junio de 2018 (ROJ: SAP B 6782/2018; ECLI:ES:APB:2018:6782; MP: Holgado Madruga)</w:t>
            </w:r>
          </w:p>
          <w:p>
            <w:pPr>
              <w:spacing w:after="0" w:line="280"/>
              <w:jc w:val="both"/>
            </w:pPr>
            <w:r>
              <w:rPr>
                <w:rFonts w:ascii="Archivo" w:cs="Archivo" w:eastAsia="Archivo" w:hAnsi="Archivo"/>
                <w:color w:val="0A2540"/>
                <w:sz w:val="19"/>
                <w:szCs w:val="19"/>
              </w:rPr>
              <w:t xml:space="preserve">«La viabilidad de aquella alegación exige, como premisa inexcusable [...], la acreditación de que el siniestro aconteció por alguna de aquellas circunstancias enunciadas en la póliza, pero [...] no puede estimarse demostrado que los daños se relacionasen directamente con una falta de mantenimiento o conservación [...] toda la normativa de seguros está enfocada a su protección, [habiéndose] de resolver a su favor las dudas interpretativas derivadas de una redacción del contrato o sus cláusulas oscuras o confusas [...]. Se insiste en que las cláusulas que se analizan, por su naturaleza limitativa y por no constar que fueran conocidas y consentidas [...]», no resultan oponibles a la asegurada.</w:t>
            </w:r>
          </w:p>
        </w:tc>
      </w:tr>
    </w:tbl>
    <w:p>
      <w:pPr>
        <w:spacing w:after="180" w:line="300"/>
        <w:jc w:val="both"/>
      </w:pPr>
      <w:r>
        <w:rPr>
          <w:rFonts w:ascii="Archivo" w:cs="Archivo" w:eastAsia="Archivo" w:hAnsi="Archivo"/>
          <w:sz w:val="21"/>
          <w:szCs w:val="21"/>
        </w:rPr>
        <w:t xml:space="preserve">La combinación de ambos criterios ofrece al profesional una pauta de trabajo clara: la exclusión por falta de mantenimiento, en su formulación estándar y destacada, es plenamente oponible al asegurado (doctrina de la SAP de Valencia); pero decae, por falta de acreditación de su presupuesto fáctico, cuando la causa real del daño es un defecto constructivo de origen ajeno a cualquier negligencia conservativa del asegurado (doctrina de la SAP de Barcelona), lo que sitúa de nuevo el centro de gravedad del litigio en la prueba pericial sobre la causa técnica exacta del daño.</w:t>
      </w:r>
    </w:p>
    <w:p>
      <w:pPr>
        <w:pStyle w:val="Heading2"/>
        <w:spacing w:after="160" w:before="400"/>
      </w:pPr>
      <w:r>
        <w:rPr>
          <w:rFonts w:ascii="Fraunces" w:cs="Fraunces" w:eastAsia="Fraunces" w:hAnsi="Fraunces"/>
          <w:b/>
          <w:bCs/>
          <w:color w:val="0A2540"/>
          <w:sz w:val="24"/>
          <w:szCs w:val="24"/>
        </w:rPr>
        <w:t xml:space="preserve">6.4. Daños entre vecinos y comunidades de propietarios: elementos privativos y comunes</w:t>
      </w:r>
    </w:p>
    <w:p>
      <w:pPr>
        <w:spacing w:after="180" w:line="300"/>
        <w:jc w:val="both"/>
      </w:pPr>
      <w:r>
        <w:rPr>
          <w:rFonts w:ascii="Archivo" w:cs="Archivo" w:eastAsia="Archivo" w:hAnsi="Archivo"/>
          <w:sz w:val="21"/>
          <w:szCs w:val="21"/>
        </w:rPr>
        <w:t xml:space="preserve">Cuando el daño por agua se origina en un elemento común del edificio (bajantes, columnas generales, cubierta) y afecta a una vivienda privativa, se plantea la cuestión de la responsabilidad de la comunidad de propietarios, regida por el art. 10 LPH (deber de conservación de elementos comunes) en conexión con el art. 1902 CC. La jurisprudencia reconoce en estos supuestos la posibilidad de daños de producción continuada, cuya trascendencia sobre el cómputo de la prescripción es notable</w:t>
      </w:r>
      <w:r>
        <w:rPr>
          <w:rStyle w:val="FootnoteReference"/>
        </w:rPr>
        <w:footnoteReference w:id="21"/>
      </w:r>
      <w:r>
        <w:rPr>
          <w:rFonts w:ascii="Archivo" w:cs="Archivo" w:eastAsia="Archivo" w:hAnsi="Archivo"/>
          <w:sz w:val="21"/>
          <w:szCs w:val="21"/>
        </w:rPr>
        <w:t xml:space="preserve">, como ilustra la STS, Sala de lo Civil, de 20 de febrero de 2019 (ROJ: STS 511/2019; ECLI:ES:TS:2019:511; MP: Salas Carceller), referida a filtraciones desde elementos comunes de un edificio a una vivienda privativa:</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20 de febrero de 2019 (ROJ: STS 511/2019; ECLI:ES:TS:2019:511; MP: Salas Carceller)</w:t>
            </w:r>
          </w:p>
          <w:p>
            <w:pPr>
              <w:spacing w:after="0" w:line="280"/>
              <w:jc w:val="both"/>
            </w:pPr>
            <w:r>
              <w:rPr>
                <w:rFonts w:ascii="Archivo" w:cs="Archivo" w:eastAsia="Archivo" w:hAnsi="Archivo"/>
                <w:color w:val="0A2540"/>
                <w:sz w:val="19"/>
                <w:szCs w:val="19"/>
              </w:rPr>
              <w:t xml:space="preserve">«En los casos de daños continuados o de producción sucesiva no se inicia el cómputo del plazo de prescripción hasta la consolidación del definitivo resultado [...]. El artículo 1969 CC establece que el comienzo del plazo de la prescripción coincide con el momento en que la acción ‘pudo ejercitarse’, para lo que no basta el conocimiento del daño sino que es necesario, además, que se conozca la identidad del responsable del mismo a efectos de poder ejercer adecuadamente la acción.»</w:t>
            </w:r>
          </w:p>
        </w:tc>
      </w:tr>
    </w:tbl>
    <w:p>
      <w:pPr>
        <w:spacing w:after="180" w:line="300"/>
        <w:jc w:val="both"/>
      </w:pPr>
      <w:r>
        <w:rPr>
          <w:rFonts w:ascii="Archivo" w:cs="Archivo" w:eastAsia="Archivo" w:hAnsi="Archivo"/>
          <w:sz w:val="21"/>
          <w:szCs w:val="21"/>
        </w:rPr>
        <w:t xml:space="preserve">Aunque esta sentencia resuelve una acción de responsabilidad civil contra la comunidad —no una reclamación frente a la aseguradora—, su doctrina es directamente relevante para el profesional del seguro de hogar por una doble vía: de un lado, orienta el ejercicio de la acción de subrogación que la aseguradora del propietario afectado puede dirigir contra la comunidad o contra el propietario del elemento causante tras indemnizar a su asegurado (art. 43 LCS); de otro, ilustra la importancia de fijar con precisión, mediante prueba pericial, el momento de consolidación del daño cuando este se prolonga en el tiempo, cuestión que se retoma en el capítulo 22 al tratar la prescripción de la acción derivada del propio contrato de seguro.</w:t>
      </w:r>
    </w:p>
    <w:p>
      <w:pPr>
        <w:pStyle w:val="Heading2"/>
        <w:spacing w:after="160" w:before="400"/>
      </w:pPr>
      <w:r>
        <w:rPr>
          <w:rFonts w:ascii="Fraunces" w:cs="Fraunces" w:eastAsia="Fraunces" w:hAnsi="Fraunces"/>
          <w:b/>
          <w:bCs/>
          <w:color w:val="0A2540"/>
          <w:sz w:val="24"/>
          <w:szCs w:val="24"/>
        </w:rPr>
        <w:t xml:space="preserve">6.5. Concurrencia de seguros en el ámbito del arrendamiento y la propiedad horizontal</w:t>
      </w:r>
    </w:p>
    <w:p>
      <w:pPr>
        <w:spacing w:after="180" w:line="300"/>
        <w:jc w:val="both"/>
      </w:pPr>
      <w:r>
        <w:rPr>
          <w:rFonts w:ascii="Archivo" w:cs="Archivo" w:eastAsia="Archivo" w:hAnsi="Archivo"/>
          <w:sz w:val="21"/>
          <w:szCs w:val="21"/>
        </w:rPr>
        <w:t xml:space="preserve">Es habitual que sobre un mismo inmueble arrendado concurran dos pólizas de daños: la del propietario-arrendador (que asegura el continente) y la del arrendatario (que asegura el contenido y, en ocasiones, su responsabilidad civil como ocupante). Un supuesto similar se produce entre el seguro individual del propietario y el seguro de la comunidad en régimen de propiedad horizontal. El artículo 32 LCS, que regula la concurrencia de seguros, exige identidad de tomador, lo que en rigor excluiría su aplicación literal a estos casos; sin embargo, el Tribunal Supremo ha extendido el principio indemnizatorio subyacente —la prohibición de enriquecimiento mediante el seguro— a estos supuestos de pluralidad de aseguradores con distintos tomadores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32 LCS (extracto)</w:t>
            </w:r>
          </w:p>
          <w:p>
            <w:pPr>
              <w:spacing w:after="0" w:line="280"/>
              <w:jc w:val="both"/>
            </w:pPr>
            <w:r>
              <w:rPr>
                <w:rFonts w:ascii="IBM Plex Mono" w:cs="IBM Plex Mono" w:eastAsia="IBM Plex Mono" w:hAnsi="IBM Plex Mono"/>
                <w:i/>
                <w:iCs/>
                <w:color w:val="0A2540"/>
                <w:sz w:val="18"/>
                <w:szCs w:val="18"/>
              </w:rPr>
              <w:t xml:space="preserve">Cuando en dos o más contratos estipulados por el mismo tomador con distintos aseguradores se cubran los efectos que un mismo riesgo puede producir sobre el mismo interés y durante idéntico período de tiempo [...] los aseguradores contribuirán al abono de la indemnización en proporción a la propia suma asegurada, sin que pueda superarse la cuantía del daño.</w:t>
            </w:r>
          </w:p>
        </w:tc>
      </w:tr>
    </w:tbl>
    <w:p>
      <w:pPr>
        <w:spacing w:after="180" w:line="300"/>
        <w:jc w:val="both"/>
      </w:pPr>
      <w:r>
        <w:rPr>
          <w:rFonts w:ascii="Archivo" w:cs="Archivo" w:eastAsia="Archivo" w:hAnsi="Archivo"/>
          <w:sz w:val="21"/>
          <w:szCs w:val="21"/>
        </w:rPr>
        <w:t xml:space="preserve">La STS, Sala de lo Civil, de 25 de marzo de 2025 (ROJ: STS 1227/2025; ECLI:ES:TS:2025:1227; MP: Vela Torres), referida precisamente a la concurrencia entre el seguro del propietario-arrendador y el del arrendatario sobre un mismo inmueble, fija un criterio de gran utilidad práctica: la mera coincidencia física del bien asegurado no basta para apreciar concurrencia de seguros; es necesario, además, que exista coincidencia de riesgo y de interés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25 de marzo de 2025 (ROJ: STS 1227/2025; ECLI:ES:TS:2025:1227; MP: Vela Torres)</w:t>
            </w:r>
          </w:p>
          <w:p>
            <w:pPr>
              <w:spacing w:after="0" w:line="280"/>
              <w:jc w:val="both"/>
            </w:pPr>
            <w:r>
              <w:rPr>
                <w:rFonts w:ascii="Archivo" w:cs="Archivo" w:eastAsia="Archivo" w:hAnsi="Archivo"/>
                <w:color w:val="0A2540"/>
                <w:sz w:val="19"/>
                <w:szCs w:val="19"/>
              </w:rPr>
              <w:t xml:space="preserve">«Identidad o unicidad de tomador que, de por sí, excluye situaciones como la presente en la que sobre un mismo inmueble arrendado se conciertan dos pólizas de seguros de daños, una por parte del propietario arrendador y otra por el arrendatario [...]. Habrá que ver en cada caso qué es lo que estaba asegurado para determinar si existía tal coincidencia de riesgo, interés y simultaneidad temporal [...]. En determinados casos, generalmente coberturas concurrentes de elementos privativos de inmuebles en propiedad horizontal [...], es más fácil apreciar la identidad del riesgo y del interés asegurado. Pero en los casos de arrendamiento de inmuebles [...] el interés asegurado puede ser distinto [...]. Por ello, no cabe la distribución de la indemnización entre las dos compañías por no existir coincidencia de intereses asegurados.»</w:t>
            </w:r>
          </w:p>
        </w:tc>
      </w:tr>
    </w:tbl>
    <w:p>
      <w:pPr>
        <w:spacing w:after="180" w:line="300"/>
        <w:jc w:val="both"/>
      </w:pPr>
      <w:r>
        <w:rPr>
          <w:rFonts w:ascii="Archivo" w:cs="Archivo" w:eastAsia="Archivo" w:hAnsi="Archivo"/>
          <w:sz w:val="21"/>
          <w:szCs w:val="21"/>
        </w:rPr>
        <w:t xml:space="preserve">La regla práctica que se extrae es clara: ante un siniestro de agua que afecta a un inmueble con dos pólizas potencialmente concurrentes, el profesional debe comparar el objeto exacto de cada cobertura —qué asegura cada póliza y sobre qué interés— antes de asumir, sin más, que existe concurrencia de seguros y la consiguiente distribución proporcional del art. 32 LCS; en el caso de las coberturas de elementos privativos en régimen de propiedad horizontal, por el contrario, la identidad de riesgo e interés es normalmente más fácil de apreciar, con la consiguiente aplicación de la regla de contribución proporcional.</w:t>
      </w:r>
    </w:p>
    <w:p>
      <w:pPr>
        <w:pStyle w:val="Heading2"/>
        <w:spacing w:after="160" w:before="400"/>
      </w:pPr>
      <w:r>
        <w:rPr>
          <w:rFonts w:ascii="Fraunces" w:cs="Fraunces" w:eastAsia="Fraunces" w:hAnsi="Fraunces"/>
          <w:b/>
          <w:bCs/>
          <w:color w:val="0A2540"/>
          <w:sz w:val="24"/>
          <w:szCs w:val="24"/>
        </w:rPr>
        <w:t xml:space="preserve">6.6. Daños continuados y determinación del dies a quo</w:t>
      </w:r>
    </w:p>
    <w:p>
      <w:pPr>
        <w:spacing w:after="180" w:line="300"/>
        <w:jc w:val="both"/>
      </w:pPr>
      <w:r>
        <w:rPr>
          <w:rFonts w:ascii="Archivo" w:cs="Archivo" w:eastAsia="Archivo" w:hAnsi="Archivo"/>
          <w:sz w:val="21"/>
          <w:szCs w:val="21"/>
        </w:rPr>
        <w:t xml:space="preserve">La distinción entre daño permanente (de producción instantánea, aunque sus efectos se proyecten en el tiempo) y daño continuado (de producción sucesiva, sin consolidación hasta que cesa la causa generadora) resulta decisiva no solo para la prescripción de la acción de responsabilidad civil frente a terceros, sino también, de forma indirecta, para la correcta fijación de la fecha del siniestro a efectos del propio contrato de seguro: la determinación de qué póliza estaba en vigor cuando el daño se «produjo» —a efectos del art. 1 LCS— exige, en los siniestros de filtración lenta o de humedad progresiva, la misma prueba pericial sobre el momento de consolidación del resultado que exige la jurisprudencia sobre prescripción, por lo que ambas cuestiones deben abordarse conjuntamente desde el inicio del expediente.</w:t>
      </w:r>
    </w:p>
    <w:p>
      <w:pPr>
        <w:pStyle w:val="Heading2"/>
        <w:spacing w:after="160" w:before="400"/>
      </w:pPr>
      <w:r>
        <w:rPr>
          <w:rFonts w:ascii="Fraunces" w:cs="Fraunces" w:eastAsia="Fraunces" w:hAnsi="Fraunces"/>
          <w:b/>
          <w:bCs/>
          <w:color w:val="0A2540"/>
          <w:sz w:val="24"/>
          <w:szCs w:val="24"/>
        </w:rPr>
        <w:t xml:space="preserve">6.7.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en un siniestro de daños por agua</w:t>
            </w:r>
          </w:p>
          <w:p>
            <w:pPr>
              <w:pStyle w:val="ListParagraph"/>
              <w:numPr>
                <w:ilvl w:val="0"/>
                <w:numId w:val="2"/>
              </w:numPr>
              <w:spacing w:after="80" w:line="280"/>
            </w:pPr>
            <w:r>
              <w:rPr>
                <w:rFonts w:ascii="Archivo" w:cs="Archivo" w:eastAsia="Archivo" w:hAnsi="Archivo"/>
                <w:sz w:val="19"/>
                <w:szCs w:val="19"/>
              </w:rPr>
              <w:t xml:space="preserve">Determinar, mediante prueba pericial, si la causa es una rotura súbita y accidental (cubierta) o un desgaste/falta de mantenimiento (frecuentemente excluido), y exigir a la aseguradora la acreditación cumplida de la exclusión que invoque.</w:t>
            </w:r>
          </w:p>
          <w:p>
            <w:pPr>
              <w:pStyle w:val="ListParagraph"/>
              <w:numPr>
                <w:ilvl w:val="0"/>
                <w:numId w:val="2"/>
              </w:numPr>
              <w:spacing w:after="80" w:line="280"/>
            </w:pPr>
            <w:r>
              <w:rPr>
                <w:rFonts w:ascii="Archivo" w:cs="Archivo" w:eastAsia="Archivo" w:hAnsi="Archivo"/>
                <w:sz w:val="19"/>
                <w:szCs w:val="19"/>
              </w:rPr>
              <w:t xml:space="preserve">Identificar si el origen está en un elemento privativo o común, para dirigir correctamente la reclamación (aseguradora propia, aseguradora de la comunidad, o ambas mediante subrogación posterior).</w:t>
            </w:r>
          </w:p>
          <w:p>
            <w:pPr>
              <w:pStyle w:val="ListParagraph"/>
              <w:numPr>
                <w:ilvl w:val="0"/>
                <w:numId w:val="2"/>
              </w:numPr>
              <w:spacing w:after="80" w:line="280"/>
            </w:pPr>
            <w:r>
              <w:rPr>
                <w:rFonts w:ascii="Archivo" w:cs="Archivo" w:eastAsia="Archivo" w:hAnsi="Archivo"/>
                <w:sz w:val="19"/>
                <w:szCs w:val="19"/>
              </w:rPr>
              <w:t xml:space="preserve">Ante una posible concurrencia de seguros (propietario/arrendatario o propietario/comunidad), verificar la identidad de riesgo e interés asegurado conforme a la doctrina de la STS 1227/2025 (ROJ: STS 1227/2025) antes de aplicar automáticamente la regla de contribución proporcional del art. 32 LCS.</w:t>
            </w:r>
          </w:p>
          <w:p>
            <w:pPr>
              <w:pStyle w:val="ListParagraph"/>
              <w:numPr>
                <w:ilvl w:val="0"/>
                <w:numId w:val="2"/>
              </w:numPr>
              <w:spacing w:after="80" w:line="280"/>
            </w:pPr>
            <w:r>
              <w:rPr>
                <w:rFonts w:ascii="Archivo" w:cs="Archivo" w:eastAsia="Archivo" w:hAnsi="Archivo"/>
                <w:sz w:val="19"/>
                <w:szCs w:val="19"/>
              </w:rPr>
              <w:t xml:space="preserve">En daños de filtración lenta o humedad progresiva, fijar con prueba pericial el momento de consolidación del resultado dañoso, relevante tanto para la vigencia de la póliza aplicable como para el cómputo de plazos de prescripción (capítulo 22).</w:t>
            </w:r>
          </w:p>
        </w:tc>
      </w:tr>
    </w:tbl>
    <w:p>
      <w:pPr>
        <w:pStyle w:val="Heading2"/>
        <w:spacing w:after="160" w:before="400"/>
      </w:pPr>
      <w:r>
        <w:rPr>
          <w:rFonts w:ascii="Fraunces" w:cs="Fraunces" w:eastAsia="Fraunces" w:hAnsi="Fraunces"/>
          <w:b/>
          <w:bCs/>
          <w:color w:val="0A2540"/>
          <w:sz w:val="24"/>
          <w:szCs w:val="24"/>
        </w:rPr>
        <w:t xml:space="preserve">6.8.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hacer ante una gotera o filtración en su vivienda</w:t>
            </w:r>
          </w:p>
          <w:p>
            <w:pPr>
              <w:pStyle w:val="ListParagraph"/>
              <w:numPr>
                <w:ilvl w:val="0"/>
                <w:numId w:val="2"/>
              </w:numPr>
              <w:spacing w:after="80" w:line="280"/>
            </w:pPr>
            <w:r>
              <w:rPr>
                <w:rFonts w:ascii="Archivo" w:cs="Archivo" w:eastAsia="Archivo" w:hAnsi="Archivo"/>
                <w:sz w:val="19"/>
                <w:szCs w:val="19"/>
              </w:rPr>
              <w:t xml:space="preserve">Corte el suministro de agua en la zona afectada si es posible, para minimizar el daño, y fotografíe el estado inicial antes de cualquier reparación.</w:t>
            </w:r>
          </w:p>
          <w:p>
            <w:pPr>
              <w:pStyle w:val="ListParagraph"/>
              <w:numPr>
                <w:ilvl w:val="0"/>
                <w:numId w:val="2"/>
              </w:numPr>
              <w:spacing w:after="80" w:line="280"/>
            </w:pPr>
            <w:r>
              <w:rPr>
                <w:rFonts w:ascii="Archivo" w:cs="Archivo" w:eastAsia="Archivo" w:hAnsi="Archivo"/>
                <w:sz w:val="19"/>
                <w:szCs w:val="19"/>
              </w:rPr>
              <w:t xml:space="preserve">Comunique el siniestro a su aseguradora y, si sospecha que el origen está en la vivienda de un vecino o en un elemento común, comuníqueselo también a la comunidad de propietarios.</w:t>
            </w:r>
          </w:p>
          <w:p>
            <w:pPr>
              <w:pStyle w:val="ListParagraph"/>
              <w:numPr>
                <w:ilvl w:val="0"/>
                <w:numId w:val="2"/>
              </w:numPr>
              <w:spacing w:after="80" w:line="280"/>
            </w:pPr>
            <w:r>
              <w:rPr>
                <w:rFonts w:ascii="Archivo" w:cs="Archivo" w:eastAsia="Archivo" w:hAnsi="Archivo"/>
                <w:sz w:val="19"/>
                <w:szCs w:val="19"/>
              </w:rPr>
              <w:t xml:space="preserve">No repare de forma definitiva la avería antes de que el perito de la aseguradora la examine, salvo urgencia para evitar daños mayores, en cuyo caso documente todo con fotografías y, si es posible, informe técnico previo.</w:t>
            </w:r>
          </w:p>
          <w:p>
            <w:pPr>
              <w:pStyle w:val="ListParagraph"/>
              <w:numPr>
                <w:ilvl w:val="0"/>
                <w:numId w:val="2"/>
              </w:numPr>
              <w:spacing w:after="80" w:line="280"/>
            </w:pPr>
            <w:r>
              <w:rPr>
                <w:rFonts w:ascii="Archivo" w:cs="Archivo" w:eastAsia="Archivo" w:hAnsi="Archivo"/>
                <w:sz w:val="19"/>
                <w:szCs w:val="19"/>
              </w:rPr>
              <w:t xml:space="preserve">Si le indican que el daño no está cubierto por «falta de mantenimiento», pida que se lo motiven por escrito y con base en un informe pericial: usted tiene derecho a conocer los motivos concretos de la denegación.</w:t>
            </w:r>
          </w:p>
        </w:tc>
      </w:tr>
    </w:tbl>
    <w:p>
      <w:pPr>
        <w:pStyle w:val="Heading2"/>
        <w:spacing w:after="160" w:before="400"/>
      </w:pPr>
      <w:r>
        <w:rPr>
          <w:rFonts w:ascii="Fraunces" w:cs="Fraunces" w:eastAsia="Fraunces" w:hAnsi="Fraunces"/>
          <w:b/>
          <w:bCs/>
          <w:color w:val="0A2540"/>
          <w:sz w:val="24"/>
          <w:szCs w:val="24"/>
        </w:rPr>
        <w:t xml:space="preserve">6.9. Checklist: gestión de un siniestro de daños por agua</w:t>
      </w:r>
    </w:p>
    <w:p>
      <w:pPr>
        <w:pStyle w:val="ListParagraph"/>
        <w:numPr>
          <w:ilvl w:val="0"/>
          <w:numId w:val="2"/>
        </w:numPr>
        <w:spacing w:after="100" w:line="290"/>
      </w:pPr>
      <w:r>
        <w:rPr>
          <w:rFonts w:ascii="Archivo" w:cs="Archivo" w:eastAsia="Archivo" w:hAnsi="Archivo"/>
          <w:sz w:val="21"/>
          <w:szCs w:val="21"/>
        </w:rPr>
        <w:t xml:space="preserve">1. ¿Cuál es la causa técnica identificada por el perito: rotura súbita o desgaste/falta de mantenimiento?</w:t>
      </w:r>
    </w:p>
    <w:p>
      <w:pPr>
        <w:pStyle w:val="ListParagraph"/>
        <w:numPr>
          <w:ilvl w:val="0"/>
          <w:numId w:val="2"/>
        </w:numPr>
        <w:spacing w:after="100" w:line="290"/>
      </w:pPr>
      <w:r>
        <w:rPr>
          <w:rFonts w:ascii="Archivo" w:cs="Archivo" w:eastAsia="Archivo" w:hAnsi="Archivo"/>
          <w:sz w:val="21"/>
          <w:szCs w:val="21"/>
        </w:rPr>
        <w:t xml:space="preserve">2. ¿El origen está en un elemento privativo o en un elemento común del edificio?</w:t>
      </w:r>
    </w:p>
    <w:p>
      <w:pPr>
        <w:pStyle w:val="ListParagraph"/>
        <w:numPr>
          <w:ilvl w:val="0"/>
          <w:numId w:val="2"/>
        </w:numPr>
        <w:spacing w:after="100" w:line="290"/>
      </w:pPr>
      <w:r>
        <w:rPr>
          <w:rFonts w:ascii="Archivo" w:cs="Archivo" w:eastAsia="Archivo" w:hAnsi="Archivo"/>
          <w:sz w:val="21"/>
          <w:szCs w:val="21"/>
        </w:rPr>
        <w:t xml:space="preserve">3. ¿Existen otras pólizas potencialmente concurrentes (arrendatario, comunidad)?</w:t>
      </w:r>
    </w:p>
    <w:p>
      <w:pPr>
        <w:pStyle w:val="ListParagraph"/>
        <w:numPr>
          <w:ilvl w:val="0"/>
          <w:numId w:val="2"/>
        </w:numPr>
        <w:spacing w:after="100" w:line="290"/>
      </w:pPr>
      <w:r>
        <w:rPr>
          <w:rFonts w:ascii="Archivo" w:cs="Archivo" w:eastAsia="Archivo" w:hAnsi="Archivo"/>
          <w:sz w:val="21"/>
          <w:szCs w:val="21"/>
        </w:rPr>
        <w:t xml:space="preserve">4. En caso de concurrencia, ¿existe identidad de riesgo e interés asegurado entre las pólizas?</w:t>
      </w:r>
    </w:p>
    <w:p>
      <w:pPr>
        <w:pStyle w:val="ListParagraph"/>
        <w:numPr>
          <w:ilvl w:val="0"/>
          <w:numId w:val="2"/>
        </w:numPr>
        <w:spacing w:after="100" w:line="290"/>
      </w:pPr>
      <w:r>
        <w:rPr>
          <w:rFonts w:ascii="Archivo" w:cs="Archivo" w:eastAsia="Archivo" w:hAnsi="Archivo"/>
          <w:sz w:val="21"/>
          <w:szCs w:val="21"/>
        </w:rPr>
        <w:t xml:space="preserve">5. ¿Se trata de un daño instantáneo o de un proceso de filtración/humedad progresiva?</w:t>
      </w:r>
    </w:p>
    <w:p>
      <w:pPr>
        <w:pStyle w:val="ListParagraph"/>
        <w:numPr>
          <w:ilvl w:val="0"/>
          <w:numId w:val="2"/>
        </w:numPr>
        <w:spacing w:after="100" w:line="290"/>
      </w:pPr>
      <w:r>
        <w:rPr>
          <w:rFonts w:ascii="Archivo" w:cs="Archivo" w:eastAsia="Archivo" w:hAnsi="Archivo"/>
          <w:sz w:val="21"/>
          <w:szCs w:val="21"/>
        </w:rPr>
        <w:t xml:space="preserve">6. ¿Está cubierta la garantía de localización y reparación de la avería, y con qué sublímite?</w:t>
      </w:r>
    </w:p>
    <w:p>
      <w:pPr>
        <w:pStyle w:val="ListParagraph"/>
        <w:numPr>
          <w:ilvl w:val="0"/>
          <w:numId w:val="2"/>
        </w:numPr>
        <w:spacing w:after="100" w:line="290"/>
      </w:pPr>
      <w:r>
        <w:rPr>
          <w:rFonts w:ascii="Archivo" w:cs="Archivo" w:eastAsia="Archivo" w:hAnsi="Archivo"/>
          <w:sz w:val="21"/>
          <w:szCs w:val="21"/>
        </w:rPr>
        <w:t xml:space="preserve">7. ¿Se ha comunicado el siniestro tanto a la propia aseguradora como, en su caso, a la comunidad de propietarios?</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BATALLER GRAU, J.; BOQUERA MATARREDONA, J.; OLAVARRÍA IGLESIA, J. (coords.), Comentarios a la Ley de Contrato de Seguro, Tirant lo Blanch, Valencia.</w:t>
      </w:r>
    </w:p>
    <w:p>
      <w:pPr>
        <w:spacing w:after="180" w:line="300"/>
        <w:jc w:val="both"/>
      </w:pPr>
      <w:r>
        <w:rPr>
          <w:rFonts w:ascii="Archivo" w:cs="Archivo" w:eastAsia="Archivo" w:hAnsi="Archivo"/>
          <w:sz w:val="21"/>
          <w:szCs w:val="21"/>
        </w:rPr>
        <w:t xml:space="preserve">Revista Española de Seguros (RES), Sección Española de la Asociación Internacional de Derecho de Seguros (SEAIDA), Madrid.</w:t>
      </w:r>
    </w:p>
    <w:p>
      <w:pPr>
        <w:pStyle w:val="Heading1"/>
        <w:pageBreakBefore/>
        <w:spacing w:after="300" w:before="200"/>
      </w:pPr>
      <w:r>
        <w:rPr>
          <w:rFonts w:ascii="Archivo" w:cs="Archivo" w:eastAsia="Archivo" w:hAnsi="Archivo"/>
          <w:b/>
          <w:bCs/>
          <w:color w:val="1B6DF0"/>
          <w:sz w:val="22"/>
          <w:szCs w:val="22"/>
        </w:rPr>
        <w:t xml:space="preserve">Capítulo 9. </w:t>
      </w:r>
      <w:r>
        <w:rPr>
          <w:rFonts w:ascii="Fraunces" w:cs="Fraunces" w:eastAsia="Fraunces" w:hAnsi="Fraunces"/>
          <w:b/>
          <w:bCs/>
          <w:color w:val="0A2540"/>
          <w:sz w:val="30"/>
          <w:szCs w:val="30"/>
        </w:rPr>
        <w:t xml:space="preserve">Robo, expoliación y hurto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7.1. El concepto legal de robo a efectos aseguraticios (art. 50 LCS)</w:t>
            </w:r>
          </w:p>
          <w:p>
            <w:pPr>
              <w:spacing w:after="40" w:line="260"/>
            </w:pPr>
            <w:r>
              <w:rPr>
                <w:rFonts w:ascii="Archivo" w:cs="Archivo" w:eastAsia="Archivo" w:hAnsi="Archivo"/>
                <w:sz w:val="18"/>
                <w:szCs w:val="18"/>
              </w:rPr>
              <w:t xml:space="preserve">7.2. Alcance de la indemnización (art. 51 LCS)</w:t>
            </w:r>
          </w:p>
          <w:p>
            <w:pPr>
              <w:spacing w:after="40" w:line="260"/>
            </w:pPr>
            <w:r>
              <w:rPr>
                <w:rFonts w:ascii="Archivo" w:cs="Archivo" w:eastAsia="Archivo" w:hAnsi="Archivo"/>
                <w:sz w:val="18"/>
                <w:szCs w:val="18"/>
              </w:rPr>
              <w:t xml:space="preserve">7.3. Causas legales de exoneración (art. 52 LCS)</w:t>
            </w:r>
          </w:p>
          <w:p>
            <w:pPr>
              <w:spacing w:after="40" w:line="260"/>
            </w:pPr>
            <w:r>
              <w:rPr>
                <w:rFonts w:ascii="Archivo" w:cs="Archivo" w:eastAsia="Archivo" w:hAnsi="Archivo"/>
                <w:sz w:val="18"/>
                <w:szCs w:val="18"/>
              </w:rPr>
              <w:t xml:space="preserve">7.4. La recuperación del objeto sustraído (art. 53 LCS)</w:t>
            </w:r>
          </w:p>
          <w:p>
            <w:pPr>
              <w:spacing w:after="40" w:line="260"/>
            </w:pPr>
            <w:r>
              <w:rPr>
                <w:rFonts w:ascii="Archivo" w:cs="Archivo" w:eastAsia="Archivo" w:hAnsi="Archivo"/>
                <w:sz w:val="18"/>
                <w:szCs w:val="18"/>
              </w:rPr>
              <w:t xml:space="preserve">7.5. Hurto y expoliación: la frontera con el robo en sentido técnico</w:t>
            </w:r>
          </w:p>
          <w:p>
            <w:pPr>
              <w:spacing w:after="40" w:line="260"/>
            </w:pPr>
            <w:r>
              <w:rPr>
                <w:rFonts w:ascii="Archivo" w:cs="Archivo" w:eastAsia="Archivo" w:hAnsi="Archivo"/>
                <w:sz w:val="18"/>
                <w:szCs w:val="18"/>
              </w:rPr>
              <w:t xml:space="preserve">7.6. La prueba del siniestro de robo</w:t>
            </w:r>
          </w:p>
          <w:p>
            <w:pPr>
              <w:spacing w:after="40" w:line="260"/>
            </w:pPr>
            <w:r>
              <w:rPr>
                <w:rFonts w:ascii="Archivo" w:cs="Archivo" w:eastAsia="Archivo" w:hAnsi="Archivo"/>
                <w:sz w:val="18"/>
                <w:szCs w:val="18"/>
              </w:rPr>
              <w:t xml:space="preserve">7.7. Ficha para el profesional</w:t>
            </w:r>
          </w:p>
          <w:p>
            <w:pPr>
              <w:spacing w:after="40" w:line="260"/>
            </w:pPr>
            <w:r>
              <w:rPr>
                <w:rFonts w:ascii="Archivo" w:cs="Archivo" w:eastAsia="Archivo" w:hAnsi="Archivo"/>
                <w:sz w:val="18"/>
                <w:szCs w:val="18"/>
              </w:rPr>
              <w:t xml:space="preserve">7.8. Ficha para el asegurado</w:t>
            </w:r>
          </w:p>
          <w:p>
            <w:pPr>
              <w:spacing w:after="40" w:line="260"/>
            </w:pPr>
            <w:r>
              <w:rPr>
                <w:rFonts w:ascii="Archivo" w:cs="Archivo" w:eastAsia="Archivo" w:hAnsi="Archivo"/>
                <w:sz w:val="18"/>
                <w:szCs w:val="18"/>
              </w:rPr>
              <w:t xml:space="preserve">7.9. Checklist: acreditación de un siniestro de robo</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estudia el régimen legal del seguro contra robo (arts. 50 a 53 LCS), de aplicación supletoria a la garantía homónima del seguro multirriesgo de hogar, con atención especial a las causas legales de exoneración del art. 52 LCS —negligencia grave del asegurado, sustracción fuera del lugar asegurado y sustracción con ocasión de riesgos extraordinarios— y a la problemática probatoria que domina la litigiosidad de esta cobertura, estructuralmente más compleja que la de incendio por la dificultad de acreditar la preexistencia y sustracción de los bienes reclamados.</w:t>
            </w:r>
          </w:p>
          <w:p>
            <w:pPr>
              <w:spacing w:after="160"/>
            </w:pPr>
            <w:r>
              <w:rPr>
                <w:rFonts w:ascii="Archivo" w:cs="Archivo" w:eastAsia="Archivo" w:hAnsi="Archivo"/>
                <w:b/>
                <w:bCs/>
                <w:sz w:val="17"/>
                <w:szCs w:val="17"/>
              </w:rPr>
              <w:t xml:space="preserve">Palabras clave: seguro de robo, art. 50 LCS, art. 52 LCS, hurto, expoliación, carga de la prueba, preexistencia.</w:t>
            </w:r>
          </w:p>
          <w:p>
            <w:pPr>
              <w:spacing w:after="100"/>
              <w:jc w:val="both"/>
            </w:pPr>
            <w:r>
              <w:rPr>
                <w:rFonts w:ascii="Archivo" w:cs="Archivo" w:eastAsia="Archivo" w:hAnsi="Archivo"/>
                <w:i/>
                <w:iCs/>
                <w:sz w:val="18"/>
                <w:szCs w:val="18"/>
              </w:rPr>
              <w:t xml:space="preserve">This chapter examines the statutory theft insurance regime under Articles 50 to 53 of the Spanish Insurance Contract Act, suppletorily applicable to the theft cover of homeowners' multi-risk policies, focusing on the exoneration grounds of Article 52 —the insured's gross negligence, theft occurring outside the insured location, and theft arising from extraordinary risks— and on the evidentiary difficulties that dominate litigation in this line, structurally more complex than fire claims given the burden of proving the pre-existence and theft of the claimed items.</w:t>
            </w:r>
          </w:p>
          <w:p>
            <w:pPr>
              <w:spacing w:after="0"/>
            </w:pPr>
            <w:r>
              <w:rPr>
                <w:rFonts w:ascii="Archivo" w:cs="Archivo" w:eastAsia="Archivo" w:hAnsi="Archivo"/>
                <w:b/>
                <w:bCs/>
                <w:sz w:val="17"/>
                <w:szCs w:val="17"/>
              </w:rPr>
              <w:t xml:space="preserve">Keywords: theft insurance, burglary, gross negligence, burden of proof, pre-existence of goods.</w:t>
            </w:r>
          </w:p>
        </w:tc>
      </w:tr>
    </w:tbl>
    <w:p>
      <w:pPr>
        <w:spacing w:after="200"/>
      </w:pPr>
    </w:p>
    <w:p>
      <w:pPr>
        <w:pStyle w:val="Heading2"/>
        <w:spacing w:after="160" w:before="400"/>
      </w:pPr>
      <w:r>
        <w:rPr>
          <w:rFonts w:ascii="Fraunces" w:cs="Fraunces" w:eastAsia="Fraunces" w:hAnsi="Fraunces"/>
          <w:b/>
          <w:bCs/>
          <w:color w:val="0A2540"/>
          <w:sz w:val="24"/>
          <w:szCs w:val="24"/>
        </w:rPr>
        <w:t xml:space="preserve">7.1. El concepto legal de robo a efectos aseguraticios</w:t>
      </w:r>
    </w:p>
    <w:p>
      <w:pPr>
        <w:spacing w:after="180" w:line="300"/>
        <w:jc w:val="both"/>
      </w:pPr>
      <w:r>
        <w:rPr>
          <w:rFonts w:ascii="Archivo" w:cs="Archivo" w:eastAsia="Archivo" w:hAnsi="Archivo"/>
          <w:sz w:val="21"/>
          <w:szCs w:val="21"/>
        </w:rPr>
        <w:t xml:space="preserve">El seguro de robo cuenta, al igual que el de incendio, con un régimen legal propio en los arts. 50 a 53 LCS, de aplicación supletoria a la garantía de robo del seguro multirriesgo de hogar. El concepto legal de robo a efectos aseguraticios es, significativamente, más amplio que el concepto técnico-penal</w:t>
      </w:r>
      <w:r>
        <w:rPr>
          <w:rStyle w:val="FootnoteReference"/>
        </w:rPr>
        <w:footnoteReference w:id="22"/>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50 LCS</w:t>
            </w:r>
          </w:p>
          <w:p>
            <w:pPr>
              <w:spacing w:after="0" w:line="280"/>
              <w:jc w:val="both"/>
            </w:pPr>
            <w:r>
              <w:rPr>
                <w:rFonts w:ascii="IBM Plex Mono" w:cs="IBM Plex Mono" w:eastAsia="IBM Plex Mono" w:hAnsi="IBM Plex Mono"/>
                <w:i/>
                <w:iCs/>
                <w:color w:val="0A2540"/>
                <w:sz w:val="18"/>
                <w:szCs w:val="18"/>
              </w:rPr>
              <w:t xml:space="preserve">Por el seguro contra robo, el asegurador se obliga, dentro de los límites establecidos en la Ley y en el contrato a indemnizar los daños derivados de la sustracción ilegítima por parte de terceros de las cosas aseguradas. La cobertura comprende el daño causado por la comisión del delito en cualquiera de sus formas.</w:t>
            </w:r>
          </w:p>
        </w:tc>
      </w:tr>
    </w:tbl>
    <w:p>
      <w:pPr>
        <w:spacing w:after="180" w:line="300"/>
        <w:jc w:val="both"/>
      </w:pPr>
      <w:r>
        <w:rPr>
          <w:rFonts w:ascii="Archivo" w:cs="Archivo" w:eastAsia="Archivo" w:hAnsi="Archivo"/>
          <w:sz w:val="21"/>
          <w:szCs w:val="21"/>
        </w:rPr>
        <w:t xml:space="preserve">La remisión a «cualquiera de sus formas» de comisión del delito permite entender cubiertos, salvo exclusión expresa, tanto el robo con fuerza en las cosas (la modalidad más habitual en el ámbito doméstico: fractura de puerta, ventana o cerradura) como el robo con violencia o intimidación en las personas, mientras que el hurto (sustracción sin fuerza ni violencia) y la apropiación indebida quedan, en la práctica de las pólizas de hogar, sujetos a régimen contractual específico, según se analiza en el epígrafe 7.5.</w:t>
      </w:r>
    </w:p>
    <w:p>
      <w:pPr>
        <w:pStyle w:val="Heading2"/>
        <w:spacing w:after="160" w:before="400"/>
      </w:pPr>
      <w:r>
        <w:rPr>
          <w:rFonts w:ascii="Fraunces" w:cs="Fraunces" w:eastAsia="Fraunces" w:hAnsi="Fraunces"/>
          <w:b/>
          <w:bCs/>
          <w:color w:val="0A2540"/>
          <w:sz w:val="24"/>
          <w:szCs w:val="24"/>
        </w:rPr>
        <w:t xml:space="preserve">7.2. Alcance de la indemnización</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51 LCS</w:t>
            </w:r>
          </w:p>
          <w:p>
            <w:pPr>
              <w:spacing w:after="0" w:line="280"/>
              <w:jc w:val="both"/>
            </w:pPr>
            <w:r>
              <w:rPr>
                <w:rFonts w:ascii="IBM Plex Mono" w:cs="IBM Plex Mono" w:eastAsia="IBM Plex Mono" w:hAnsi="IBM Plex Mono"/>
                <w:i/>
                <w:iCs/>
                <w:color w:val="0A2540"/>
                <w:sz w:val="18"/>
                <w:szCs w:val="18"/>
              </w:rPr>
              <w:t xml:space="preserve">La indemnización del asegurador comprenderá necesariamente, de acuerdo con lo dispuesto en el artículo veintisiete: 1.º El valor del interés asegurado cuando el objeto asegurado, efectivamente sea sustraído y no fuera hallado en el plazo señalado en el contrato. 2.º El daño que la comisión del delito, en cualquiera de sus formas, causare en el objeto asegurado.</w:t>
            </w:r>
          </w:p>
        </w:tc>
      </w:tr>
    </w:tbl>
    <w:p>
      <w:pPr>
        <w:spacing w:after="180" w:line="300"/>
        <w:jc w:val="both"/>
      </w:pPr>
      <w:r>
        <w:rPr>
          <w:rFonts w:ascii="Archivo" w:cs="Archivo" w:eastAsia="Archivo" w:hAnsi="Archivo"/>
          <w:sz w:val="21"/>
          <w:szCs w:val="21"/>
        </w:rPr>
        <w:t xml:space="preserve">La norma diferencia, con ello, dos partidas indemnizables que en la práctica pericial conviene documentar por separado: el valor de los bienes efectivamente sustraídos y no recuperados, de un lado, y los daños materiales causados en el proceso de comisión del delito (por ejemplo, la puerta forzada, la cerradura dañada o el mobiliario destrozado durante el registro de la vivienda), de otro, partida esta última que con frecuencia se indemniza incluso cuando la sustracción resulta frustrada o de escasa entidad.</w:t>
      </w:r>
    </w:p>
    <w:p>
      <w:pPr>
        <w:pStyle w:val="Heading2"/>
        <w:spacing w:after="160" w:before="400"/>
      </w:pPr>
      <w:r>
        <w:rPr>
          <w:rFonts w:ascii="Fraunces" w:cs="Fraunces" w:eastAsia="Fraunces" w:hAnsi="Fraunces"/>
          <w:b/>
          <w:bCs/>
          <w:color w:val="0A2540"/>
          <w:sz w:val="24"/>
          <w:szCs w:val="24"/>
        </w:rPr>
        <w:t xml:space="preserve">7.3. Causas legales de exoneración</w:t>
      </w:r>
    </w:p>
    <w:p>
      <w:pPr>
        <w:spacing w:after="180" w:line="300"/>
        <w:jc w:val="both"/>
      </w:pPr>
      <w:r>
        <w:rPr>
          <w:rFonts w:ascii="Archivo" w:cs="Archivo" w:eastAsia="Archivo" w:hAnsi="Archivo"/>
          <w:sz w:val="21"/>
          <w:szCs w:val="21"/>
        </w:rPr>
        <w:t xml:space="preserve">El artículo 52 LCS, a diferencia del amplio régimen de cobertura del incendio, restringe la obligación del asegurador en tres supuestos legales, aplicables salvo pacto en contrario: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52 LCS</w:t>
            </w:r>
          </w:p>
          <w:p>
            <w:pPr>
              <w:spacing w:after="0" w:line="280"/>
              <w:jc w:val="both"/>
            </w:pPr>
            <w:r>
              <w:rPr>
                <w:rFonts w:ascii="IBM Plex Mono" w:cs="IBM Plex Mono" w:eastAsia="IBM Plex Mono" w:hAnsi="IBM Plex Mono"/>
                <w:i/>
                <w:iCs/>
                <w:color w:val="0A2540"/>
                <w:sz w:val="18"/>
                <w:szCs w:val="18"/>
              </w:rPr>
              <w:t xml:space="preserve">El asegurador, salvo pacto en contrario, no vendrá obligado a reparar los efectos del siniestro cuando éste se haya producido por cualquiera de las siguientes causas: 1.ª Por negligencia grave del asegurado, del tomador del seguro o de las personas que de ellos dependan o con ellos convivan. 2.ª Cuando el objeto asegurado sea sustraído fuera del lugar descrito en la póliza o con ocasión de su transporte, a no ser que una u otras circunstancias hubieran sido expresamente consentidas por el asegurador. 3.ª Cuando la sustracción se produzca con ocasión de siniestros derivados de riesgos extraordinarios.</w:t>
            </w:r>
          </w:p>
        </w:tc>
      </w:tr>
    </w:tbl>
    <w:p>
      <w:pPr>
        <w:spacing w:after="180" w:line="300"/>
        <w:jc w:val="both"/>
      </w:pPr>
      <w:r>
        <w:rPr>
          <w:rFonts w:ascii="Archivo" w:cs="Archivo" w:eastAsia="Archivo" w:hAnsi="Archivo"/>
          <w:sz w:val="21"/>
          <w:szCs w:val="21"/>
        </w:rPr>
        <w:t xml:space="preserve">A diferencia del régimen del incendio (donde solo el dolo o la culpa grave exoneran, y la negligencia leve del propio asegurado está cubierta), en el seguro de robo la negligencia grave —no solo el dolo— exonera al asegurador, umbral de diligencia sensiblemente más exigente para el asegurado. En la práctica del hogar, esta causa se invoca con frecuencia en supuestos de puertas o ventanas dejadas abiertas, ausencia de activación de sistemas de alarma contratados como condición de la cobertura, o entrega de llaves a terceros sin la diligencia debida, correspondiendo en todo caso a la aseguradora la prueba de que el estándar de negligencia grave —y no meramente leve— resulta superado.</w:t>
      </w:r>
    </w:p>
    <w:p>
      <w:pPr>
        <w:spacing w:after="180" w:line="300"/>
        <w:jc w:val="both"/>
      </w:pPr>
      <w:r>
        <w:rPr>
          <w:rFonts w:ascii="Archivo" w:cs="Archivo" w:eastAsia="Archivo" w:hAnsi="Archivo"/>
          <w:sz w:val="21"/>
          <w:szCs w:val="21"/>
        </w:rPr>
        <w:t xml:space="preserve">La tercera causa legal de exoneración —sustracción con ocasión de riesgos extraordinarios, como los disturbios o tumultos populares— conecta directamente con el régimen del Consorcio de Compensación de Seguros estudiado en el capítulo 10, al que corresponde, en su caso, la cobertura de estos supuestos excluidos del seguro privado.</w:t>
      </w:r>
    </w:p>
    <w:p>
      <w:pPr>
        <w:spacing w:after="180" w:line="300"/>
        <w:jc w:val="both"/>
      </w:pPr>
      <w:r>
        <w:rPr>
          <w:rFonts w:ascii="Archivo" w:cs="Archivo" w:eastAsia="Archivo" w:hAnsi="Archivo"/>
          <w:sz w:val="21"/>
          <w:szCs w:val="21"/>
        </w:rPr>
        <w:t xml:space="preserve">La aplicación práctica del umbral de negligencia grave por las Audiencias Provinciales exige algo más que un simple descuido: la jurisprudencia menor reserva la exoneración a supuestos de auténtico abandono o dejación en la custodia del bien, como ilustra un caso en el que el objeto sustraído —una embarcación— se hallaba amarrada de forma manifiestamente precaria e insegura</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SAP Barcelona (Sección 16.ª), de 11 de enero de 2017 (ROJ: SAP B 5946/2017; ECLI:ES:APB:2017:5946; MP: Martín de la Sierra García-Fogeda)</w:t>
            </w:r>
          </w:p>
          <w:p>
            <w:pPr>
              <w:spacing w:after="0" w:line="280"/>
              <w:jc w:val="both"/>
            </w:pPr>
            <w:r>
              <w:rPr>
                <w:rFonts w:ascii="Archivo" w:cs="Archivo" w:eastAsia="Archivo" w:hAnsi="Archivo"/>
                <w:color w:val="0A2540"/>
                <w:sz w:val="19"/>
                <w:szCs w:val="19"/>
              </w:rPr>
              <w:t xml:space="preserve">«De conformidad con lo dispuesto en el artículo 52.1 de la LCS [...], la aseguradora demandada estaría exonerada de abonar cantidad de tipo alguna, dada la situación de abandono y precariedad en que tenía el objeto asegurado.»</w:t>
            </w:r>
          </w:p>
        </w:tc>
      </w:tr>
    </w:tbl>
    <w:p>
      <w:pPr>
        <w:spacing w:after="180" w:line="300"/>
        <w:jc w:val="both"/>
      </w:pPr>
      <w:r>
        <w:rPr>
          <w:rFonts w:ascii="Archivo" w:cs="Archivo" w:eastAsia="Archivo" w:hAnsi="Archivo"/>
          <w:sz w:val="21"/>
          <w:szCs w:val="21"/>
        </w:rPr>
        <w:t xml:space="preserve">La sentencia recuerda, además, un matiz conceptual importante sobre el propio concepto de robo a efectos civiles: el art. 50 LCS, al emplear la expresión «sustracción ilegítima por parte de terceros», elude deliberadamente la calificación técnico-penal definitiva del hecho, lo que permite calificar el siniestro como «robo» a efectos de la póliza aunque las diligencias penales se archiven por no haberse identificado al autor, sin que ello prive al asegurado de la cobertura contratada.</w:t>
      </w:r>
    </w:p>
    <w:p>
      <w:pPr>
        <w:pStyle w:val="Heading2"/>
        <w:spacing w:after="160" w:before="400"/>
      </w:pPr>
      <w:r>
        <w:rPr>
          <w:rFonts w:ascii="Fraunces" w:cs="Fraunces" w:eastAsia="Fraunces" w:hAnsi="Fraunces"/>
          <w:b/>
          <w:bCs/>
          <w:color w:val="0A2540"/>
          <w:sz w:val="24"/>
          <w:szCs w:val="24"/>
        </w:rPr>
        <w:t xml:space="preserve">7.4. La recuperación del objeto sustraído</w:t>
      </w:r>
    </w:p>
    <w:p>
      <w:pPr>
        <w:spacing w:after="180" w:line="300"/>
        <w:jc w:val="both"/>
      </w:pPr>
      <w:r>
        <w:rPr>
          <w:rFonts w:ascii="Archivo" w:cs="Archivo" w:eastAsia="Archivo" w:hAnsi="Archivo"/>
          <w:sz w:val="21"/>
          <w:szCs w:val="21"/>
        </w:rPr>
        <w:t xml:space="preserve">El artículo 53 LCS regula un supuesto de frecuente aparición práctica: la recuperación del bien sustraído, ya sea antes o después del pago de la indemnización.</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53 LCS</w:t>
            </w:r>
          </w:p>
          <w:p>
            <w:pPr>
              <w:spacing w:after="0" w:line="280"/>
              <w:jc w:val="both"/>
            </w:pPr>
            <w:r>
              <w:rPr>
                <w:rFonts w:ascii="IBM Plex Mono" w:cs="IBM Plex Mono" w:eastAsia="IBM Plex Mono" w:hAnsi="IBM Plex Mono"/>
                <w:i/>
                <w:iCs/>
                <w:color w:val="0A2540"/>
                <w:sz w:val="18"/>
                <w:szCs w:val="18"/>
              </w:rPr>
              <w:t xml:space="preserve">Producido y debidamente comunicado el siniestro al asegurador, se observarán las reglas siguientes: 1.ª Si el objeto asegurado es recuperado antes del transcurso del plazo señalado en la póliza, el asegurado deberá recibirlo, a menos que en ella le hubiera reconocido expresamente la facultad de su abandono al asegurador. 2.ª Si el objeto asegurado es recuperado transcurrido el plazo pactado, y una vez pagada la indemnización, el asegurado podrá retener la indemnización percibida abandonando al asegurador la propiedad del objeto asegurado, o readquirirlo, restituyendo, en este caso, la indemnización percibida por la cosa o cosas restituidas.</w:t>
            </w:r>
          </w:p>
        </w:tc>
      </w:tr>
    </w:tbl>
    <w:p>
      <w:pPr>
        <w:spacing w:after="180" w:line="300"/>
        <w:jc w:val="both"/>
      </w:pPr>
      <w:r>
        <w:rPr>
          <w:rFonts w:ascii="Archivo" w:cs="Archivo" w:eastAsia="Archivo" w:hAnsi="Archivo"/>
          <w:sz w:val="21"/>
          <w:szCs w:val="21"/>
        </w:rPr>
        <w:t xml:space="preserve">La regla articula un mecanismo de opción a favor del asegurado en el segundo supuesto —recuperación tras el pago— que conviene explicar con claridad al cliente: puede quedarse con el dinero y renunciar al bien recuperado (que pasa a ser propiedad de la aseguradora), o recuperar el bien devolviendo la indemnización percibida por él.</w:t>
      </w:r>
    </w:p>
    <w:p>
      <w:pPr>
        <w:pStyle w:val="Heading2"/>
        <w:spacing w:after="160" w:before="400"/>
      </w:pPr>
      <w:r>
        <w:rPr>
          <w:rFonts w:ascii="Fraunces" w:cs="Fraunces" w:eastAsia="Fraunces" w:hAnsi="Fraunces"/>
          <w:b/>
          <w:bCs/>
          <w:color w:val="0A2540"/>
          <w:sz w:val="24"/>
          <w:szCs w:val="24"/>
        </w:rPr>
        <w:t xml:space="preserve">7.5. Hurto y expoliación: la frontera con el robo en sentido técnico</w:t>
      </w:r>
    </w:p>
    <w:p>
      <w:pPr>
        <w:spacing w:after="180" w:line="300"/>
        <w:jc w:val="both"/>
      </w:pPr>
      <w:r>
        <w:rPr>
          <w:rFonts w:ascii="Archivo" w:cs="Archivo" w:eastAsia="Archivo" w:hAnsi="Archivo"/>
          <w:sz w:val="21"/>
          <w:szCs w:val="21"/>
        </w:rPr>
        <w:t xml:space="preserve">La práctica aseguradora distingue, dentro de la cobertura genérica de «robo» de las pólizas de hogar, entre el robo en sentido estricto (con fuerza en las cosas o violencia/intimidación en las personas) y otras figuras afines cuyo tratamiento contractual conviene verificar en cada póliza:</w:t>
      </w:r>
    </w:p>
    <w:p>
      <w:pPr>
        <w:pStyle w:val="ListParagraph"/>
        <w:numPr>
          <w:ilvl w:val="0"/>
          <w:numId w:val="2"/>
        </w:numPr>
        <w:spacing w:after="100" w:line="290"/>
      </w:pPr>
      <w:r>
        <w:rPr>
          <w:rFonts w:ascii="Archivo" w:cs="Archivo" w:eastAsia="Archivo" w:hAnsi="Archivo"/>
          <w:b/>
          <w:bCs/>
          <w:sz w:val="21"/>
          <w:szCs w:val="21"/>
        </w:rPr>
        <w:t xml:space="preserve">Hurto: </w:t>
      </w:r>
      <w:r>
        <w:rPr>
          <w:rFonts w:ascii="Archivo" w:cs="Archivo" w:eastAsia="Archivo" w:hAnsi="Archivo"/>
          <w:sz w:val="21"/>
          <w:szCs w:val="21"/>
        </w:rPr>
        <w:t xml:space="preserve">sustracción sin fuerza ni violencia (por ejemplo, el descuido de un bolso en una terraza); frecuentemente excluido de la cobertura estándar de robo en el hogar, salvo pacto expreso o garantía específica de «expoliación» fuera del domicilio.</w:t>
      </w:r>
    </w:p>
    <w:p>
      <w:pPr>
        <w:pStyle w:val="ListParagraph"/>
        <w:numPr>
          <w:ilvl w:val="0"/>
          <w:numId w:val="2"/>
        </w:numPr>
        <w:spacing w:after="100" w:line="290"/>
      </w:pPr>
      <w:r>
        <w:rPr>
          <w:rFonts w:ascii="Archivo" w:cs="Archivo" w:eastAsia="Archivo" w:hAnsi="Archivo"/>
          <w:b/>
          <w:bCs/>
          <w:sz w:val="21"/>
          <w:szCs w:val="21"/>
        </w:rPr>
        <w:t xml:space="preserve">Expoliación o robo con violencia o intimidación en las personas (atraco): </w:t>
      </w:r>
      <w:r>
        <w:rPr>
          <w:rFonts w:ascii="Archivo" w:cs="Archivo" w:eastAsia="Archivo" w:hAnsi="Archivo"/>
          <w:sz w:val="21"/>
          <w:szCs w:val="21"/>
        </w:rPr>
        <w:t xml:space="preserve">generalmente cubierta como submodalidad agravada, con posible sublímite propio para el dinero en efectivo y objetos personales sustraídos fuera del domicilio (por ejemplo, en el trayecto al banco).</w:t>
      </w:r>
    </w:p>
    <w:p>
      <w:pPr>
        <w:pStyle w:val="ListParagraph"/>
        <w:numPr>
          <w:ilvl w:val="0"/>
          <w:numId w:val="2"/>
        </w:numPr>
        <w:spacing w:after="100" w:line="290"/>
      </w:pPr>
      <w:r>
        <w:rPr>
          <w:rFonts w:ascii="Archivo" w:cs="Archivo" w:eastAsia="Archivo" w:hAnsi="Archivo"/>
          <w:b/>
          <w:bCs/>
          <w:sz w:val="21"/>
          <w:szCs w:val="21"/>
        </w:rPr>
        <w:t xml:space="preserve">Apropiación indebida por personal doméstico o de confianza: </w:t>
      </w:r>
      <w:r>
        <w:rPr>
          <w:rFonts w:ascii="Archivo" w:cs="Archivo" w:eastAsia="Archivo" w:hAnsi="Archivo"/>
          <w:sz w:val="21"/>
          <w:szCs w:val="21"/>
        </w:rPr>
        <w:t xml:space="preserve">sujeta, en la mayoría de las pólizas, a exclusión expresa o a condiciones particulares específicas, por no encajar con naturalidad en el concepto de «sustracción ilegítima por parte de terceros» del art. 50 LCS cuando el autor tenía acceso lícito a los bienes.</w:t>
      </w:r>
    </w:p>
    <w:p>
      <w:pPr>
        <w:pStyle w:val="Heading2"/>
        <w:spacing w:after="160" w:before="400"/>
      </w:pPr>
      <w:r>
        <w:rPr>
          <w:rFonts w:ascii="Fraunces" w:cs="Fraunces" w:eastAsia="Fraunces" w:hAnsi="Fraunces"/>
          <w:b/>
          <w:bCs/>
          <w:color w:val="0A2540"/>
          <w:sz w:val="24"/>
          <w:szCs w:val="24"/>
        </w:rPr>
        <w:t xml:space="preserve">7.6. La prueba del siniestro de robo</w:t>
      </w:r>
    </w:p>
    <w:p>
      <w:pPr>
        <w:spacing w:after="180" w:line="300"/>
        <w:jc w:val="both"/>
      </w:pPr>
      <w:r>
        <w:rPr>
          <w:rFonts w:ascii="Archivo" w:cs="Archivo" w:eastAsia="Archivo" w:hAnsi="Archivo"/>
          <w:sz w:val="21"/>
          <w:szCs w:val="21"/>
        </w:rPr>
        <w:t xml:space="preserve">La cobertura de robo plantea, con mayor intensidad que la de incendio, un problema probatorio estructural: el asegurado debe acreditar tanto la preexistencia de los bienes sustraídos como su sustracción efectiva, sin que exista, a diferencia del art. 49.4.º LCS para el incendio, una presunción legal equivalente que invierta la carga de la prueba de la preexistencia. La práctica pericial y judicial admite, no obstante, prueba indiciaria suficiente (fotografías, facturas de compra, tasaciones previas, testificales, denuncia policial coetánea con descripción de los efectos sustraídos), correspondiendo a los tribunales ponderar el conjunto de la prueba indiciaria aportada conforme a las reglas generales de la sana crítica.</w:t>
      </w:r>
    </w:p>
    <w:p>
      <w:pPr>
        <w:pStyle w:val="Heading2"/>
        <w:spacing w:after="160" w:before="400"/>
      </w:pPr>
      <w:r>
        <w:rPr>
          <w:rFonts w:ascii="Fraunces" w:cs="Fraunces" w:eastAsia="Fraunces" w:hAnsi="Fraunces"/>
          <w:b/>
          <w:bCs/>
          <w:color w:val="0A2540"/>
          <w:sz w:val="24"/>
          <w:szCs w:val="24"/>
        </w:rPr>
        <w:t xml:space="preserve">7.7.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en un siniestro de robo</w:t>
            </w:r>
          </w:p>
          <w:p>
            <w:pPr>
              <w:pStyle w:val="ListParagraph"/>
              <w:numPr>
                <w:ilvl w:val="0"/>
                <w:numId w:val="2"/>
              </w:numPr>
              <w:spacing w:after="80" w:line="280"/>
            </w:pPr>
            <w:r>
              <w:rPr>
                <w:rFonts w:ascii="Archivo" w:cs="Archivo" w:eastAsia="Archivo" w:hAnsi="Archivo"/>
                <w:sz w:val="19"/>
                <w:szCs w:val="19"/>
              </w:rPr>
              <w:t xml:space="preserve">Verificar si la denuncia penal describe con suficiente detalle los objetos sustraídos: es el primer documento de prueba indiciaria y conviene que el asegurado la presente con la mayor precisión posible.</w:t>
            </w:r>
          </w:p>
          <w:p>
            <w:pPr>
              <w:pStyle w:val="ListParagraph"/>
              <w:numPr>
                <w:ilvl w:val="0"/>
                <w:numId w:val="2"/>
              </w:numPr>
              <w:spacing w:after="80" w:line="280"/>
            </w:pPr>
            <w:r>
              <w:rPr>
                <w:rFonts w:ascii="Archivo" w:cs="Archivo" w:eastAsia="Archivo" w:hAnsi="Archivo"/>
                <w:sz w:val="19"/>
                <w:szCs w:val="19"/>
              </w:rPr>
              <w:t xml:space="preserve">Reunir toda la prueba disponible sobre la preexistencia de los bienes (facturas, fotografías, tasaciones, garantías, capturas de compra online).</w:t>
            </w:r>
          </w:p>
          <w:p>
            <w:pPr>
              <w:pStyle w:val="ListParagraph"/>
              <w:numPr>
                <w:ilvl w:val="0"/>
                <w:numId w:val="2"/>
              </w:numPr>
              <w:spacing w:after="80" w:line="280"/>
            </w:pPr>
            <w:r>
              <w:rPr>
                <w:rFonts w:ascii="Archivo" w:cs="Archivo" w:eastAsia="Archivo" w:hAnsi="Archivo"/>
                <w:sz w:val="19"/>
                <w:szCs w:val="19"/>
              </w:rPr>
              <w:t xml:space="preserve">Ante la invocación de negligencia grave (art. 52.1.ª LCS), exigir a la aseguradora la prueba cumplida de que el estándar de diligencia superado es el grave, no el leve.</w:t>
            </w:r>
          </w:p>
          <w:p>
            <w:pPr>
              <w:pStyle w:val="ListParagraph"/>
              <w:numPr>
                <w:ilvl w:val="0"/>
                <w:numId w:val="2"/>
              </w:numPr>
              <w:spacing w:after="80" w:line="280"/>
            </w:pPr>
            <w:r>
              <w:rPr>
                <w:rFonts w:ascii="Archivo" w:cs="Archivo" w:eastAsia="Archivo" w:hAnsi="Archivo"/>
                <w:sz w:val="19"/>
                <w:szCs w:val="19"/>
              </w:rPr>
              <w:t xml:space="preserve">Verificar si existían medidas de seguridad pactadas como condición de la cobertura (alarma conectada, cerraduras de seguridad) y si su falta de activación es realmente imputable al asegurado.</w:t>
            </w:r>
          </w:p>
          <w:p>
            <w:pPr>
              <w:pStyle w:val="ListParagraph"/>
              <w:numPr>
                <w:ilvl w:val="0"/>
                <w:numId w:val="2"/>
              </w:numPr>
              <w:spacing w:after="80" w:line="280"/>
            </w:pPr>
            <w:r>
              <w:rPr>
                <w:rFonts w:ascii="Archivo" w:cs="Archivo" w:eastAsia="Archivo" w:hAnsi="Archivo"/>
                <w:sz w:val="19"/>
                <w:szCs w:val="19"/>
              </w:rPr>
              <w:t xml:space="preserve">Distinguir con precisión, según la póliza concreta, la cobertura de robo en sentido estricto, hurto, expoliación y apropiación indebida por personal doméstico, cada una con su propio régimen contractual.</w:t>
            </w:r>
          </w:p>
        </w:tc>
      </w:tr>
    </w:tbl>
    <w:p>
      <w:pPr>
        <w:pStyle w:val="Heading2"/>
        <w:spacing w:after="160" w:before="400"/>
      </w:pPr>
      <w:r>
        <w:rPr>
          <w:rFonts w:ascii="Fraunces" w:cs="Fraunces" w:eastAsia="Fraunces" w:hAnsi="Fraunces"/>
          <w:b/>
          <w:bCs/>
          <w:color w:val="0A2540"/>
          <w:sz w:val="24"/>
          <w:szCs w:val="24"/>
        </w:rPr>
        <w:t xml:space="preserve">7.8.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hacer tras un robo en su vivienda</w:t>
            </w:r>
          </w:p>
          <w:p>
            <w:pPr>
              <w:pStyle w:val="ListParagraph"/>
              <w:numPr>
                <w:ilvl w:val="0"/>
                <w:numId w:val="2"/>
              </w:numPr>
              <w:spacing w:after="80" w:line="280"/>
            </w:pPr>
            <w:r>
              <w:rPr>
                <w:rFonts w:ascii="Archivo" w:cs="Archivo" w:eastAsia="Archivo" w:hAnsi="Archivo"/>
                <w:sz w:val="19"/>
                <w:szCs w:val="19"/>
              </w:rPr>
              <w:t xml:space="preserve">Denuncie el robo ante la Policía o la Guardia Civil lo antes posible, describiendo con el mayor detalle posible los objetos sustraídos.</w:t>
            </w:r>
          </w:p>
          <w:p>
            <w:pPr>
              <w:pStyle w:val="ListParagraph"/>
              <w:numPr>
                <w:ilvl w:val="0"/>
                <w:numId w:val="2"/>
              </w:numPr>
              <w:spacing w:after="80" w:line="280"/>
            </w:pPr>
            <w:r>
              <w:rPr>
                <w:rFonts w:ascii="Archivo" w:cs="Archivo" w:eastAsia="Archivo" w:hAnsi="Archivo"/>
                <w:sz w:val="19"/>
                <w:szCs w:val="19"/>
              </w:rPr>
              <w:t xml:space="preserve">No toque ni limpie las zonas de acceso forzado hasta que la Policía Científica o el perito de la aseguradora las hayan examinado, si es razonablemente posible.</w:t>
            </w:r>
          </w:p>
          <w:p>
            <w:pPr>
              <w:pStyle w:val="ListParagraph"/>
              <w:numPr>
                <w:ilvl w:val="0"/>
                <w:numId w:val="2"/>
              </w:numPr>
              <w:spacing w:after="80" w:line="280"/>
            </w:pPr>
            <w:r>
              <w:rPr>
                <w:rFonts w:ascii="Archivo" w:cs="Archivo" w:eastAsia="Archivo" w:hAnsi="Archivo"/>
                <w:sz w:val="19"/>
                <w:szCs w:val="19"/>
              </w:rPr>
              <w:t xml:space="preserve">Reúna toda la documentación que acredite que tenía esos bienes antes del robo: facturas, fotografías, tasaciones, capturas de pantalla de compras.</w:t>
            </w:r>
          </w:p>
          <w:p>
            <w:pPr>
              <w:pStyle w:val="ListParagraph"/>
              <w:numPr>
                <w:ilvl w:val="0"/>
                <w:numId w:val="2"/>
              </w:numPr>
              <w:spacing w:after="80" w:line="280"/>
            </w:pPr>
            <w:r>
              <w:rPr>
                <w:rFonts w:ascii="Archivo" w:cs="Archivo" w:eastAsia="Archivo" w:hAnsi="Archivo"/>
                <w:sz w:val="19"/>
                <w:szCs w:val="19"/>
              </w:rPr>
              <w:t xml:space="preserve">Revise si su póliza cubre el robo fuera de casa (expoliación, hurto en la calle) y si tiene sublímite propio, distinto del aplicable dentro de la vivienda.</w:t>
            </w:r>
          </w:p>
        </w:tc>
      </w:tr>
    </w:tbl>
    <w:p>
      <w:pPr>
        <w:pStyle w:val="Heading2"/>
        <w:spacing w:after="160" w:before="400"/>
      </w:pPr>
      <w:r>
        <w:rPr>
          <w:rFonts w:ascii="Fraunces" w:cs="Fraunces" w:eastAsia="Fraunces" w:hAnsi="Fraunces"/>
          <w:b/>
          <w:bCs/>
          <w:color w:val="0A2540"/>
          <w:sz w:val="24"/>
          <w:szCs w:val="24"/>
        </w:rPr>
        <w:t xml:space="preserve">7.9. Checklist: acreditación de un siniestro de robo</w:t>
      </w:r>
    </w:p>
    <w:p>
      <w:pPr>
        <w:pStyle w:val="ListParagraph"/>
        <w:numPr>
          <w:ilvl w:val="0"/>
          <w:numId w:val="2"/>
        </w:numPr>
        <w:spacing w:after="100" w:line="290"/>
      </w:pPr>
      <w:r>
        <w:rPr>
          <w:rFonts w:ascii="Archivo" w:cs="Archivo" w:eastAsia="Archivo" w:hAnsi="Archivo"/>
          <w:sz w:val="21"/>
          <w:szCs w:val="21"/>
        </w:rPr>
        <w:t xml:space="preserve">1. ¿Existe denuncia penal presentada y con qué grado de detalle describe los objetos sustraídos?</w:t>
      </w:r>
    </w:p>
    <w:p>
      <w:pPr>
        <w:pStyle w:val="ListParagraph"/>
        <w:numPr>
          <w:ilvl w:val="0"/>
          <w:numId w:val="2"/>
        </w:numPr>
        <w:spacing w:after="100" w:line="290"/>
      </w:pPr>
      <w:r>
        <w:rPr>
          <w:rFonts w:ascii="Archivo" w:cs="Archivo" w:eastAsia="Archivo" w:hAnsi="Archivo"/>
          <w:sz w:val="21"/>
          <w:szCs w:val="21"/>
        </w:rPr>
        <w:t xml:space="preserve">2. ¿Hay indicios de fuerza en las cosas o violencia/intimidación, o se trata de un hurto sin fuerza?</w:t>
      </w:r>
    </w:p>
    <w:p>
      <w:pPr>
        <w:pStyle w:val="ListParagraph"/>
        <w:numPr>
          <w:ilvl w:val="0"/>
          <w:numId w:val="2"/>
        </w:numPr>
        <w:spacing w:after="100" w:line="290"/>
      </w:pPr>
      <w:r>
        <w:rPr>
          <w:rFonts w:ascii="Archivo" w:cs="Archivo" w:eastAsia="Archivo" w:hAnsi="Archivo"/>
          <w:sz w:val="21"/>
          <w:szCs w:val="21"/>
        </w:rPr>
        <w:t xml:space="preserve">3. ¿Qué prueba de preexistencia se puede aportar respecto de cada bien reclamado?</w:t>
      </w:r>
    </w:p>
    <w:p>
      <w:pPr>
        <w:pStyle w:val="ListParagraph"/>
        <w:numPr>
          <w:ilvl w:val="0"/>
          <w:numId w:val="2"/>
        </w:numPr>
        <w:spacing w:after="100" w:line="290"/>
      </w:pPr>
      <w:r>
        <w:rPr>
          <w:rFonts w:ascii="Archivo" w:cs="Archivo" w:eastAsia="Archivo" w:hAnsi="Archivo"/>
          <w:sz w:val="21"/>
          <w:szCs w:val="21"/>
        </w:rPr>
        <w:t xml:space="preserve">4. ¿Existían medidas de seguridad pactadas como condición de la cobertura? ¿Estaban activas?</w:t>
      </w:r>
    </w:p>
    <w:p>
      <w:pPr>
        <w:pStyle w:val="ListParagraph"/>
        <w:numPr>
          <w:ilvl w:val="0"/>
          <w:numId w:val="2"/>
        </w:numPr>
        <w:spacing w:after="100" w:line="290"/>
      </w:pPr>
      <w:r>
        <w:rPr>
          <w:rFonts w:ascii="Archivo" w:cs="Archivo" w:eastAsia="Archivo" w:hAnsi="Archivo"/>
          <w:sz w:val="21"/>
          <w:szCs w:val="21"/>
        </w:rPr>
        <w:t xml:space="preserve">5. ¿La sustracción se produjo dentro o fuera del lugar descrito en la póliza?</w:t>
      </w:r>
    </w:p>
    <w:p>
      <w:pPr>
        <w:pStyle w:val="ListParagraph"/>
        <w:numPr>
          <w:ilvl w:val="0"/>
          <w:numId w:val="2"/>
        </w:numPr>
        <w:spacing w:after="100" w:line="290"/>
      </w:pPr>
      <w:r>
        <w:rPr>
          <w:rFonts w:ascii="Archivo" w:cs="Archivo" w:eastAsia="Archivo" w:hAnsi="Archivo"/>
          <w:sz w:val="21"/>
          <w:szCs w:val="21"/>
        </w:rPr>
        <w:t xml:space="preserve">6. ¿Se han producido, además de la sustracción, daños materiales por la comisión del delito (puertas, cerraduras)?</w:t>
      </w:r>
    </w:p>
    <w:p>
      <w:pPr>
        <w:pStyle w:val="ListParagraph"/>
        <w:numPr>
          <w:ilvl w:val="0"/>
          <w:numId w:val="2"/>
        </w:numPr>
        <w:spacing w:after="100" w:line="290"/>
      </w:pPr>
      <w:r>
        <w:rPr>
          <w:rFonts w:ascii="Archivo" w:cs="Archivo" w:eastAsia="Archivo" w:hAnsi="Archivo"/>
          <w:sz w:val="21"/>
          <w:szCs w:val="21"/>
        </w:rPr>
        <w:t xml:space="preserve">7. ¿Existe posibilidad de recuperación posterior de los bienes? ¿Qué opción del art. 53 LCS interesa al asegurado?</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pStyle w:val="Heading1"/>
        <w:pageBreakBefore/>
        <w:spacing w:after="300" w:before="200"/>
      </w:pPr>
      <w:r>
        <w:rPr>
          <w:rFonts w:ascii="Archivo" w:cs="Archivo" w:eastAsia="Archivo" w:hAnsi="Archivo"/>
          <w:b/>
          <w:bCs/>
          <w:color w:val="1B6DF0"/>
          <w:sz w:val="22"/>
          <w:szCs w:val="22"/>
        </w:rPr>
        <w:t xml:space="preserve">Capítulo 10. </w:t>
      </w:r>
      <w:r>
        <w:rPr>
          <w:rFonts w:ascii="Fraunces" w:cs="Fraunces" w:eastAsia="Fraunces" w:hAnsi="Fraunces"/>
          <w:b/>
          <w:bCs/>
          <w:color w:val="0A2540"/>
          <w:sz w:val="30"/>
          <w:szCs w:val="30"/>
        </w:rPr>
        <w:t xml:space="preserve">Fenómenos atmosféricos y riesgos extraordinarios: el Consorcio de Compensación de Seguros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8.1. Riesgos ordinarios y riesgos extraordinarios: dos regímenes distintos</w:t>
            </w:r>
          </w:p>
          <w:p>
            <w:pPr>
              <w:spacing w:after="40" w:line="260"/>
            </w:pPr>
            <w:r>
              <w:rPr>
                <w:rFonts w:ascii="Archivo" w:cs="Archivo" w:eastAsia="Archivo" w:hAnsi="Archivo"/>
                <w:sz w:val="18"/>
                <w:szCs w:val="18"/>
              </w:rPr>
              <w:t xml:space="preserve">8.2. Fenómenos atmosféricos ordinarios en el clausulado privado</w:t>
            </w:r>
          </w:p>
          <w:p>
            <w:pPr>
              <w:spacing w:after="40" w:line="260"/>
            </w:pPr>
            <w:r>
              <w:rPr>
                <w:rFonts w:ascii="Archivo" w:cs="Archivo" w:eastAsia="Archivo" w:hAnsi="Archivo"/>
                <w:sz w:val="18"/>
                <w:szCs w:val="18"/>
              </w:rPr>
              <w:t xml:space="preserve">8.3. El Consorcio de Compensación de Seguros: naturaleza y ámbito</w:t>
            </w:r>
          </w:p>
          <w:p>
            <w:pPr>
              <w:spacing w:after="40" w:line="260"/>
            </w:pPr>
            <w:r>
              <w:rPr>
                <w:rFonts w:ascii="Archivo" w:cs="Archivo" w:eastAsia="Archivo" w:hAnsi="Archivo"/>
                <w:sz w:val="18"/>
                <w:szCs w:val="18"/>
              </w:rPr>
              <w:t xml:space="preserve">8.4. Los acontecimientos extraordinarios legalmente tipificados</w:t>
            </w:r>
          </w:p>
          <w:p>
            <w:pPr>
              <w:spacing w:after="40" w:line="260"/>
            </w:pPr>
            <w:r>
              <w:rPr>
                <w:rFonts w:ascii="Archivo" w:cs="Archivo" w:eastAsia="Archivo" w:hAnsi="Archivo"/>
                <w:sz w:val="18"/>
                <w:szCs w:val="18"/>
              </w:rPr>
              <w:t xml:space="preserve">8.5. Presupuestos y límites de la cobertura del Consorcio</w:t>
            </w:r>
          </w:p>
          <w:p>
            <w:pPr>
              <w:spacing w:after="40" w:line="260"/>
            </w:pPr>
            <w:r>
              <w:rPr>
                <w:rFonts w:ascii="Archivo" w:cs="Archivo" w:eastAsia="Archivo" w:hAnsi="Archivo"/>
                <w:sz w:val="18"/>
                <w:szCs w:val="18"/>
              </w:rPr>
              <w:t xml:space="preserve">8.6. Riesgos expresamente excluidos de la cobertura del Consorcio</w:t>
            </w:r>
          </w:p>
          <w:p>
            <w:pPr>
              <w:spacing w:after="40" w:line="260"/>
            </w:pPr>
            <w:r>
              <w:rPr>
                <w:rFonts w:ascii="Archivo" w:cs="Archivo" w:eastAsia="Archivo" w:hAnsi="Archivo"/>
                <w:sz w:val="18"/>
                <w:szCs w:val="18"/>
              </w:rPr>
              <w:t xml:space="preserve">8.7. Procedimiento de reclamación ante el Consorcio</w:t>
            </w:r>
          </w:p>
          <w:p>
            <w:pPr>
              <w:spacing w:after="40" w:line="260"/>
            </w:pPr>
            <w:r>
              <w:rPr>
                <w:rFonts w:ascii="Archivo" w:cs="Archivo" w:eastAsia="Archivo" w:hAnsi="Archivo"/>
                <w:sz w:val="18"/>
                <w:szCs w:val="18"/>
              </w:rPr>
              <w:t xml:space="preserve">8.8. Ficha para el profesional</w:t>
            </w:r>
          </w:p>
          <w:p>
            <w:pPr>
              <w:spacing w:after="40" w:line="260"/>
            </w:pPr>
            <w:r>
              <w:rPr>
                <w:rFonts w:ascii="Archivo" w:cs="Archivo" w:eastAsia="Archivo" w:hAnsi="Archivo"/>
                <w:sz w:val="18"/>
                <w:szCs w:val="18"/>
              </w:rPr>
              <w:t xml:space="preserve">8.9. Ficha para el asegurado</w:t>
            </w:r>
          </w:p>
          <w:p>
            <w:pPr>
              <w:spacing w:after="40" w:line="260"/>
            </w:pPr>
            <w:r>
              <w:rPr>
                <w:rFonts w:ascii="Archivo" w:cs="Archivo" w:eastAsia="Archivo" w:hAnsi="Archivo"/>
                <w:sz w:val="18"/>
                <w:szCs w:val="18"/>
              </w:rPr>
              <w:t xml:space="preserve">8.10. Checklist: seguro privado o Consorcio</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delimita la frontera, con frecuencia mal comprendida por el asegurado medio, entre los fenómenos atmosféricos cubiertos por el clausulado ordinario de la póliza de hogar y los acontecimientos extraordinarios cuya cobertura corresponde, por mandato legal, al Consorcio de Compensación de Seguros (RDL 7/2004), examinando los presupuestos, límites y procedimiento de esta cobertura pública complementaria, esencial en episodios de inundación, tempestad ciclónica atípica o terremoto.</w:t>
            </w:r>
          </w:p>
          <w:p>
            <w:pPr>
              <w:spacing w:after="160"/>
            </w:pPr>
            <w:r>
              <w:rPr>
                <w:rFonts w:ascii="Archivo" w:cs="Archivo" w:eastAsia="Archivo" w:hAnsi="Archivo"/>
                <w:b/>
                <w:bCs/>
                <w:sz w:val="17"/>
                <w:szCs w:val="17"/>
              </w:rPr>
              <w:t xml:space="preserve">Palabras clave: Consorcio de Compensación de Seguros, riesgos extraordinarios, inundación, tempestad ciclónica atípica, recargo obligatorio.</w:t>
            </w:r>
          </w:p>
          <w:p>
            <w:pPr>
              <w:spacing w:after="100"/>
              <w:jc w:val="both"/>
            </w:pPr>
            <w:r>
              <w:rPr>
                <w:rFonts w:ascii="Archivo" w:cs="Archivo" w:eastAsia="Archivo" w:hAnsi="Archivo"/>
                <w:i/>
                <w:iCs/>
                <w:sz w:val="18"/>
                <w:szCs w:val="18"/>
              </w:rPr>
              <w:t xml:space="preserve">This chapter draws the often misunderstood line between ordinary weather perils covered by standard homeowners' policy wording and extraordinary events whose coverage is, by statutory mandate, assumed by the Spanish Insurance Compensation Consortium, examining the requirements, limits and claims procedure of this complementary public scheme, essential in episodes of flooding, atypical cyclonic storms or earthquakes.</w:t>
            </w:r>
          </w:p>
          <w:p>
            <w:pPr>
              <w:spacing w:after="0"/>
            </w:pPr>
            <w:r>
              <w:rPr>
                <w:rFonts w:ascii="Archivo" w:cs="Archivo" w:eastAsia="Archivo" w:hAnsi="Archivo"/>
                <w:b/>
                <w:bCs/>
                <w:sz w:val="17"/>
                <w:szCs w:val="17"/>
              </w:rPr>
              <w:t xml:space="preserve">Keywords: Insurance Compensation Consortium, extraordinary risks, flooding, atypical cyclonic storm, mandatory surcharge.</w:t>
            </w:r>
          </w:p>
        </w:tc>
      </w:tr>
    </w:tbl>
    <w:p>
      <w:pPr>
        <w:spacing w:after="200"/>
      </w:pPr>
    </w:p>
    <w:p>
      <w:pPr>
        <w:pStyle w:val="Heading2"/>
        <w:spacing w:after="160" w:before="400"/>
      </w:pPr>
      <w:r>
        <w:rPr>
          <w:rFonts w:ascii="Fraunces" w:cs="Fraunces" w:eastAsia="Fraunces" w:hAnsi="Fraunces"/>
          <w:b/>
          <w:bCs/>
          <w:color w:val="0A2540"/>
          <w:sz w:val="24"/>
          <w:szCs w:val="24"/>
        </w:rPr>
        <w:t xml:space="preserve">8.1. Riesgos ordinarios y riesgos extraordinarios: dos regímenes distintos</w:t>
      </w:r>
    </w:p>
    <w:p>
      <w:pPr>
        <w:spacing w:after="180" w:line="300"/>
        <w:jc w:val="both"/>
      </w:pPr>
      <w:r>
        <w:rPr>
          <w:rFonts w:ascii="Archivo" w:cs="Archivo" w:eastAsia="Archivo" w:hAnsi="Archivo"/>
          <w:sz w:val="21"/>
          <w:szCs w:val="21"/>
        </w:rPr>
        <w:t xml:space="preserve">El sistema español de cobertura de catástrofes se articula sobre una summa divisio esencial que el profesional debe explicar con claridad a cualquier asegurado: los fenómenos atmosféricos ordinarios (viento, lluvia y pedrisco de intensidad habitual) se cubren, cuando la póliza lo prevea, por la propia aseguradora privada conforme a sus condiciones generales; los acontecimientos extraordinarios legalmente tipificados —inundación extraordinaria, terremoto, tempestad ciclónica atípica, entre otros— quedan excluidos, con carácter general, del seguro privado y son asumidos, en régimen de compensación, por el Consorcio de Compensación de Seguros (CCS), entidad pública empresarial adscrita al Ministerio de Economía</w:t>
      </w:r>
      <w:r>
        <w:rPr>
          <w:rStyle w:val="FootnoteReference"/>
        </w:rPr>
        <w:footnoteReference w:id="23"/>
      </w:r>
      <w:r>
        <w:rPr>
          <w:rFonts w:ascii="Archivo" w:cs="Archivo" w:eastAsia="Archivo" w:hAnsi="Archivo"/>
          <w:sz w:val="21"/>
          <w:szCs w:val="21"/>
        </w:rPr>
        <w:t xml:space="preserve">.</w:t>
      </w:r>
    </w:p>
    <w:p>
      <w:pPr>
        <w:pStyle w:val="Heading2"/>
        <w:spacing w:after="160" w:before="400"/>
      </w:pPr>
      <w:r>
        <w:rPr>
          <w:rFonts w:ascii="Fraunces" w:cs="Fraunces" w:eastAsia="Fraunces" w:hAnsi="Fraunces"/>
          <w:b/>
          <w:bCs/>
          <w:color w:val="0A2540"/>
          <w:sz w:val="24"/>
          <w:szCs w:val="24"/>
        </w:rPr>
        <w:t xml:space="preserve">8.2. Fenómenos atmosféricos ordinarios en el clausulado privado</w:t>
      </w:r>
    </w:p>
    <w:p>
      <w:pPr>
        <w:spacing w:after="180" w:line="300"/>
        <w:jc w:val="both"/>
      </w:pPr>
      <w:r>
        <w:rPr>
          <w:rFonts w:ascii="Archivo" w:cs="Archivo" w:eastAsia="Archivo" w:hAnsi="Archivo"/>
          <w:sz w:val="21"/>
          <w:szCs w:val="21"/>
        </w:rPr>
        <w:t xml:space="preserve">Las condiciones generales de las pólizas de hogar suelen incorporar una garantía de «fenómenos atmosféricos» que cubre daños causados por viento, lluvia, pedrisco o nieve de intensidad ordinaria, normalmente sujeta a umbrales técnicos de intensidad (por ejemplo, viento con rachas superiores a un determinado número de kilómetros por hora, medido por estaciones meteorológicas de referencia) por debajo de los cuales el daño se reconduce a la garantía general de daños al continente y por encima de los cuales, si alcanza la calificación de «extraordinario» conforme al RDL 7/2004, la cobertura corresponde al Consorcio y no a la aseguradora privada.</w:t>
      </w:r>
    </w:p>
    <w:p>
      <w:pPr>
        <w:pStyle w:val="Heading2"/>
        <w:spacing w:after="160" w:before="400"/>
      </w:pPr>
      <w:r>
        <w:rPr>
          <w:rFonts w:ascii="Fraunces" w:cs="Fraunces" w:eastAsia="Fraunces" w:hAnsi="Fraunces"/>
          <w:b/>
          <w:bCs/>
          <w:color w:val="0A2540"/>
          <w:sz w:val="24"/>
          <w:szCs w:val="24"/>
        </w:rPr>
        <w:t xml:space="preserve">8.3. El Consorcio de Compensación de Seguros: naturaleza y ámbito</w:t>
      </w:r>
    </w:p>
    <w:p>
      <w:pPr>
        <w:spacing w:after="180" w:line="300"/>
        <w:jc w:val="both"/>
      </w:pPr>
      <w:r>
        <w:rPr>
          <w:rFonts w:ascii="Archivo" w:cs="Archivo" w:eastAsia="Archivo" w:hAnsi="Archivo"/>
          <w:sz w:val="21"/>
          <w:szCs w:val="21"/>
        </w:rPr>
        <w:t xml:space="preserve">El régimen legal del Consorcio se contiene en el Real Decreto Legislativo 7/2004, de 29 de octubre, por el que se aprueba el texto refundido del Estatuto Legal del Consorcio de Compensación de Seguros, desarrollado reglamentariamente por el Real Decreto 300/2004. Su función, en materia de riesgos extraordinarios sobre bienes, es indemnizar, en régimen de compensación (no de seguro en sentido estricto), las pérdidas derivadas de acontecimientos extraordinarios: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6.1 del Estatuto Legal del CCS (RDL 7/2004)</w:t>
            </w:r>
          </w:p>
          <w:p>
            <w:pPr>
              <w:spacing w:after="0" w:line="280"/>
              <w:jc w:val="both"/>
            </w:pPr>
            <w:r>
              <w:rPr>
                <w:rFonts w:ascii="IBM Plex Mono" w:cs="IBM Plex Mono" w:eastAsia="IBM Plex Mono" w:hAnsi="IBM Plex Mono"/>
                <w:i/>
                <w:iCs/>
                <w:color w:val="0A2540"/>
                <w:sz w:val="18"/>
                <w:szCs w:val="18"/>
              </w:rPr>
              <w:t xml:space="preserve">El Consorcio, en materia de riesgos extraordinarios, tendrá por objeto indemnizar, en la forma establecida en este Estatuto Legal, en régimen de compensación, las pérdidas derivadas de acontecimientos extraordinarios acaecidos en España y que afecten a riesgos en ella situados. [...] A estos efectos, serán pérdidas los daños directos en las personas y en los bienes, así como [...] las pérdidas pecuniarias como consecuencia de aquéllos.</w:t>
            </w:r>
          </w:p>
        </w:tc>
      </w:tr>
    </w:tbl>
    <w:p>
      <w:pPr>
        <w:spacing w:after="180" w:line="300"/>
        <w:jc w:val="both"/>
      </w:pPr>
      <w:r>
        <w:rPr>
          <w:rFonts w:ascii="Archivo" w:cs="Archivo" w:eastAsia="Archivo" w:hAnsi="Archivo"/>
          <w:sz w:val="21"/>
          <w:szCs w:val="21"/>
        </w:rPr>
        <w:t xml:space="preserve">La cobertura del Consorcio no es, técnicamente, un seguro adicional que el asegurado contrate de forma independiente, sino un régimen de compensación financiado mediante un recargo obligatorio que se aplica automáticamente a determinadas pólizas de seguro de daños —entre ellas, las de hogar— y cuya gestión corresponde íntegramente al propio Consorcio, al margen de la aseguradora privada.</w:t>
      </w:r>
    </w:p>
    <w:p>
      <w:pPr>
        <w:pStyle w:val="Heading2"/>
        <w:spacing w:after="160" w:before="400"/>
      </w:pPr>
      <w:r>
        <w:rPr>
          <w:rFonts w:ascii="Fraunces" w:cs="Fraunces" w:eastAsia="Fraunces" w:hAnsi="Fraunces"/>
          <w:b/>
          <w:bCs/>
          <w:color w:val="0A2540"/>
          <w:sz w:val="24"/>
          <w:szCs w:val="24"/>
        </w:rPr>
        <w:t xml:space="preserve">8.4. Los acontecimientos extraordinarios legalmente tipificados</w:t>
      </w:r>
    </w:p>
    <w:p>
      <w:pPr>
        <w:spacing w:after="180" w:line="300"/>
        <w:jc w:val="both"/>
      </w:pPr>
      <w:r>
        <w:rPr>
          <w:rFonts w:ascii="Archivo" w:cs="Archivo" w:eastAsia="Archivo" w:hAnsi="Archivo"/>
          <w:sz w:val="21"/>
          <w:szCs w:val="21"/>
        </w:rPr>
        <w:t xml:space="preserve">El artículo 6.1 del Estatuto Legal enumera con carácter tasado los acontecimientos que reciben la calificación de «extraordinarios» a efectos de esta cobertura: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6.1.a)-c) del Estatuto Legal del CCS (RDL 7/2004)</w:t>
            </w:r>
          </w:p>
          <w:p>
            <w:pPr>
              <w:spacing w:after="0" w:line="280"/>
              <w:jc w:val="both"/>
            </w:pPr>
            <w:r>
              <w:rPr>
                <w:rFonts w:ascii="IBM Plex Mono" w:cs="IBM Plex Mono" w:eastAsia="IBM Plex Mono" w:hAnsi="IBM Plex Mono"/>
                <w:i/>
                <w:iCs/>
                <w:color w:val="0A2540"/>
                <w:sz w:val="18"/>
                <w:szCs w:val="18"/>
              </w:rPr>
              <w:t xml:space="preserve">Se entenderán [...] por acontecimientos extraordinarios: a) Los siguientes fenómenos de la naturaleza: terremotos y maremotos, las inundaciones extraordinarias, las erupciones volcánicas, la tempestad ciclónica atípica y las caídas de cuerpos siderales y aerolitos. b) Los ocasionados violentamente como consecuencia de terrorismo, rebelión, sedición, motín y tumulto popular. c) Hechos o actuaciones de las Fuerzas Armadas o de las Fuerzas y Cuerpos de Seguridad en tiempo de paz.</w:t>
            </w:r>
          </w:p>
        </w:tc>
      </w:tr>
    </w:tbl>
    <w:p>
      <w:pPr>
        <w:spacing w:after="180" w:line="300"/>
        <w:jc w:val="both"/>
      </w:pPr>
      <w:r>
        <w:rPr>
          <w:rFonts w:ascii="Archivo" w:cs="Archivo" w:eastAsia="Archivo" w:hAnsi="Archivo"/>
          <w:sz w:val="21"/>
          <w:szCs w:val="21"/>
        </w:rPr>
        <w:t xml:space="preserve">La calificación técnica de un episodio concreto como «inundación extraordinaria» o «tempestad ciclónica atípica» —a diferencia de una lluvia o un viento intensos pero ordinarios— corresponde al propio Consorcio, con arreglo a criterios técnicos e hidrológicos o meteorológicos objetivos, lo que en la práctica exige al profesional verificar, ante cada episodio de fuertes lluvias o viento, si el Consorcio ha calificado el evento como extraordinario para la zona y fecha del siniestro, dato habitualmente publicado por el propio organismo.</w:t>
      </w:r>
    </w:p>
    <w:p>
      <w:pPr>
        <w:pStyle w:val="Heading2"/>
        <w:spacing w:after="160" w:before="400"/>
      </w:pPr>
      <w:r>
        <w:rPr>
          <w:rFonts w:ascii="Fraunces" w:cs="Fraunces" w:eastAsia="Fraunces" w:hAnsi="Fraunces"/>
          <w:b/>
          <w:bCs/>
          <w:color w:val="0A2540"/>
          <w:sz w:val="24"/>
          <w:szCs w:val="24"/>
        </w:rPr>
        <w:t xml:space="preserve">8.5. Presupuestos y límites de la cobertura del Consorcio</w:t>
      </w:r>
    </w:p>
    <w:p>
      <w:pPr>
        <w:spacing w:after="180" w:line="300"/>
        <w:jc w:val="both"/>
      </w:pPr>
      <w:r>
        <w:rPr>
          <w:rFonts w:ascii="Archivo" w:cs="Archivo" w:eastAsia="Archivo" w:hAnsi="Archivo"/>
          <w:sz w:val="21"/>
          <w:szCs w:val="21"/>
        </w:rPr>
        <w:t xml:space="preserve">La obligación del Consorcio de indemnizar un siniestro derivado de un acontecimiento extraordinario está sujeta a presupuestos precisos que conviene verificar sistemáticamente: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8.1 y 8.2 del Estatuto Legal del CCS (RDL 7/2004)</w:t>
            </w:r>
          </w:p>
          <w:p>
            <w:pPr>
              <w:spacing w:after="0" w:line="280"/>
              <w:jc w:val="both"/>
            </w:pPr>
            <w:r>
              <w:rPr>
                <w:rFonts w:ascii="IBM Plex Mono" w:cs="IBM Plex Mono" w:eastAsia="IBM Plex Mono" w:hAnsi="IBM Plex Mono"/>
                <w:i/>
                <w:iCs/>
                <w:color w:val="0A2540"/>
                <w:sz w:val="18"/>
                <w:szCs w:val="18"/>
              </w:rPr>
              <w:t xml:space="preserve">El Consorcio estará obligado a satisfacer las indemnizaciones derivadas de siniestros producidos por acontecimientos extraordinarios a los asegurados que hayan satisfecho los correspondientes recargos en favor de aquel y se encuentren en alguna de las situaciones siguientes: a) Que el riesgo extraordinario cubierto por el Consorcio no esté amparado por póliza de seguro. b) Que, aun estando amparado por póliza de seguro, las obligaciones de la entidad aseguradora no pudieran ser cumplidas por haber sido declarada judicialmente en concurso [...]. La obligación del Consorcio amparará necesaria y exclusivamente a las mismas personas o bienes y por las mismas sumas aseguradas que se hayan establecido en las pólizas de seguro [...]. Esta obligación se limitará a las indemnizaciones que proceda abonar conforme a la ley española de contrato de seguro.</w:t>
            </w:r>
          </w:p>
        </w:tc>
      </w:tr>
    </w:tbl>
    <w:p>
      <w:pPr>
        <w:pStyle w:val="ListParagraph"/>
        <w:numPr>
          <w:ilvl w:val="0"/>
          <w:numId w:val="2"/>
        </w:numPr>
        <w:spacing w:after="100" w:line="290"/>
      </w:pPr>
      <w:r>
        <w:rPr>
          <w:rFonts w:ascii="Archivo" w:cs="Archivo" w:eastAsia="Archivo" w:hAnsi="Archivo"/>
          <w:b/>
          <w:bCs/>
          <w:sz w:val="21"/>
          <w:szCs w:val="21"/>
        </w:rPr>
        <w:t xml:space="preserve">Existencia de póliza de seguro de daños vigente: </w:t>
      </w:r>
      <w:r>
        <w:rPr>
          <w:rFonts w:ascii="Archivo" w:cs="Archivo" w:eastAsia="Archivo" w:hAnsi="Archivo"/>
          <w:sz w:val="21"/>
          <w:szCs w:val="21"/>
        </w:rPr>
        <w:t xml:space="preserve">el Consorcio actúa, con carácter general, como complemento de una póliza privada de daños que incluya el recargo obligatorio; un inmueble sin ningún seguro de daños contratado no queda, con carácter general, amparado por el Consorcio para riesgos extraordinarios sobre bienes.</w:t>
      </w:r>
    </w:p>
    <w:p>
      <w:pPr>
        <w:pStyle w:val="ListParagraph"/>
        <w:numPr>
          <w:ilvl w:val="0"/>
          <w:numId w:val="2"/>
        </w:numPr>
        <w:spacing w:after="100" w:line="290"/>
      </w:pPr>
      <w:r>
        <w:rPr>
          <w:rFonts w:ascii="Archivo" w:cs="Archivo" w:eastAsia="Archivo" w:hAnsi="Archivo"/>
          <w:b/>
          <w:bCs/>
          <w:sz w:val="21"/>
          <w:szCs w:val="21"/>
        </w:rPr>
        <w:t xml:space="preserve">Pago del recargo: </w:t>
      </w:r>
      <w:r>
        <w:rPr>
          <w:rFonts w:ascii="Archivo" w:cs="Archivo" w:eastAsia="Archivo" w:hAnsi="Archivo"/>
          <w:sz w:val="21"/>
          <w:szCs w:val="21"/>
        </w:rPr>
        <w:t xml:space="preserve">el recargo se incorpora automáticamente al recibo de la póliza privada por mandato legal, sin que el tomador pueda, en la práctica, excluirlo respecto de los riesgos y bienes amparados por la póliza.</w:t>
      </w:r>
    </w:p>
    <w:p>
      <w:pPr>
        <w:pStyle w:val="ListParagraph"/>
        <w:numPr>
          <w:ilvl w:val="0"/>
          <w:numId w:val="2"/>
        </w:numPr>
        <w:spacing w:after="100" w:line="290"/>
      </w:pPr>
      <w:r>
        <w:rPr>
          <w:rFonts w:ascii="Archivo" w:cs="Archivo" w:eastAsia="Archivo" w:hAnsi="Archivo"/>
          <w:b/>
          <w:bCs/>
          <w:sz w:val="21"/>
          <w:szCs w:val="21"/>
        </w:rPr>
        <w:t xml:space="preserve">Límite cuantitativo: </w:t>
      </w:r>
      <w:r>
        <w:rPr>
          <w:rFonts w:ascii="Archivo" w:cs="Archivo" w:eastAsia="Archivo" w:hAnsi="Archivo"/>
          <w:sz w:val="21"/>
          <w:szCs w:val="21"/>
        </w:rPr>
        <w:t xml:space="preserve">la indemnización del Consorcio se limita a las mismas personas, bienes y sumas aseguradas que figuren en la póliza privada subyacente, sin que pueda exceder dichos límites.</w:t>
      </w:r>
    </w:p>
    <w:p>
      <w:pPr>
        <w:pStyle w:val="Heading2"/>
        <w:spacing w:after="160" w:before="400"/>
      </w:pPr>
      <w:r>
        <w:rPr>
          <w:rFonts w:ascii="Fraunces" w:cs="Fraunces" w:eastAsia="Fraunces" w:hAnsi="Fraunces"/>
          <w:b/>
          <w:bCs/>
          <w:color w:val="0A2540"/>
          <w:sz w:val="24"/>
          <w:szCs w:val="24"/>
        </w:rPr>
        <w:t xml:space="preserve">8.6. Riesgos expresamente excluidos de la cobertura del Consorcio</w:t>
      </w:r>
    </w:p>
    <w:p>
      <w:pPr>
        <w:spacing w:after="180" w:line="300"/>
        <w:jc w:val="both"/>
      </w:pPr>
      <w:r>
        <w:rPr>
          <w:rFonts w:ascii="Archivo" w:cs="Archivo" w:eastAsia="Archivo" w:hAnsi="Archivo"/>
          <w:sz w:val="21"/>
          <w:szCs w:val="21"/>
        </w:rPr>
        <w:t xml:space="preserve">El artículo 6.3 del Estatuto Legal excluye expresamente determinados supuestos, de particular relevancia práctica en el ramo de hogar:</w:t>
      </w:r>
    </w:p>
    <w:p>
      <w:pPr>
        <w:pStyle w:val="ListParagraph"/>
        <w:numPr>
          <w:ilvl w:val="0"/>
          <w:numId w:val="2"/>
        </w:numPr>
        <w:spacing w:after="100" w:line="290"/>
      </w:pPr>
      <w:r>
        <w:rPr>
          <w:rFonts w:ascii="Archivo" w:cs="Archivo" w:eastAsia="Archivo" w:hAnsi="Archivo"/>
          <w:b/>
          <w:bCs/>
          <w:sz w:val="21"/>
          <w:szCs w:val="21"/>
        </w:rPr>
        <w:t xml:space="preserve">Vicio o defecto propio de la cosa asegurada: </w:t>
      </w:r>
      <w:r>
        <w:rPr>
          <w:rFonts w:ascii="Archivo" w:cs="Archivo" w:eastAsia="Archivo" w:hAnsi="Archivo"/>
          <w:sz w:val="21"/>
          <w:szCs w:val="21"/>
        </w:rPr>
        <w:t xml:space="preserve">un daño causado por defectos constructivos previos, aunque coincida temporalmente con un episodio de lluvias intensas, no queda amparado por esta vía.</w:t>
      </w:r>
    </w:p>
    <w:p>
      <w:pPr>
        <w:pStyle w:val="ListParagraph"/>
        <w:numPr>
          <w:ilvl w:val="0"/>
          <w:numId w:val="2"/>
        </w:numPr>
        <w:spacing w:after="100" w:line="290"/>
      </w:pPr>
      <w:r>
        <w:rPr>
          <w:rFonts w:ascii="Archivo" w:cs="Archivo" w:eastAsia="Archivo" w:hAnsi="Archivo"/>
          <w:b/>
          <w:bCs/>
          <w:sz w:val="21"/>
          <w:szCs w:val="21"/>
        </w:rPr>
        <w:t xml:space="preserve">Mera acción del tiempo o agentes atmosféricos ordinarios: </w:t>
      </w:r>
      <w:r>
        <w:rPr>
          <w:rFonts w:ascii="Archivo" w:cs="Archivo" w:eastAsia="Archivo" w:hAnsi="Archivo"/>
          <w:sz w:val="21"/>
          <w:szCs w:val="21"/>
        </w:rPr>
        <w:t xml:space="preserve">distintos de los fenómenos de la naturaleza expresamente tipificados como extraordinarios, lo que reconduce estos daños a la cobertura ordinaria de la póliza privada, si existe.</w:t>
      </w:r>
    </w:p>
    <w:p>
      <w:pPr>
        <w:pStyle w:val="ListParagraph"/>
        <w:numPr>
          <w:ilvl w:val="0"/>
          <w:numId w:val="2"/>
        </w:numPr>
        <w:spacing w:after="100" w:line="290"/>
      </w:pPr>
      <w:r>
        <w:rPr>
          <w:rFonts w:ascii="Archivo" w:cs="Archivo" w:eastAsia="Archivo" w:hAnsi="Archivo"/>
          <w:b/>
          <w:bCs/>
          <w:sz w:val="21"/>
          <w:szCs w:val="21"/>
        </w:rPr>
        <w:t xml:space="preserve">Siniestros no indemnizables conforme a la LCS: </w:t>
      </w:r>
      <w:r>
        <w:rPr>
          <w:rFonts w:ascii="Archivo" w:cs="Archivo" w:eastAsia="Archivo" w:hAnsi="Archivo"/>
          <w:sz w:val="21"/>
          <w:szCs w:val="21"/>
        </w:rPr>
        <w:t xml:space="preserve">el Consorcio no amplía el régimen causal de la LCS; si un daño no sería indemnizable por un asegurador privado conforme a la Ley (por ejemplo, por dolo del asegurado), tampoco lo es por el Consorcio.</w:t>
      </w:r>
    </w:p>
    <w:p>
      <w:pPr>
        <w:pStyle w:val="Heading2"/>
        <w:spacing w:after="160" w:before="400"/>
      </w:pPr>
      <w:r>
        <w:rPr>
          <w:rFonts w:ascii="Fraunces" w:cs="Fraunces" w:eastAsia="Fraunces" w:hAnsi="Fraunces"/>
          <w:b/>
          <w:bCs/>
          <w:color w:val="0A2540"/>
          <w:sz w:val="24"/>
          <w:szCs w:val="24"/>
        </w:rPr>
        <w:t xml:space="preserve">8.7. Procedimiento de reclamación ante el Consorcio</w:t>
      </w:r>
    </w:p>
    <w:p>
      <w:pPr>
        <w:spacing w:after="180" w:line="300"/>
        <w:jc w:val="both"/>
      </w:pPr>
      <w:r>
        <w:rPr>
          <w:rFonts w:ascii="Archivo" w:cs="Archivo" w:eastAsia="Archivo" w:hAnsi="Archivo"/>
          <w:sz w:val="21"/>
          <w:szCs w:val="21"/>
        </w:rPr>
        <w:t xml:space="preserve">Cuando un siniestro se atribuye a un acontecimiento extraordinario, el asegurado debe dirigir su reclamación directamente al Consorcio de Compensación de Seguros, no a su aseguradora privada, sin perjuicio de que esta última pueda —y en la práctica suela— colaborar en la tramitación inicial del expediente. El Consorcio dispone de su propio cuerpo de peritos y de un procedimiento de valoración específico, regulado reglamentariamente, cuyos plazos y trámites, aunque inspirados en el régimen general de la LCS, presentan especialidades administrativas propias que exceden el objeto de esta obra y que conviene verificar en cada caso en la normativa reglamentaria y en la información oficial del propio organismo.</w:t>
      </w:r>
    </w:p>
    <w:p>
      <w:pPr>
        <w:pStyle w:val="Heading2"/>
        <w:spacing w:after="160" w:before="400"/>
      </w:pPr>
      <w:r>
        <w:rPr>
          <w:rFonts w:ascii="Fraunces" w:cs="Fraunces" w:eastAsia="Fraunces" w:hAnsi="Fraunces"/>
          <w:b/>
          <w:bCs/>
          <w:color w:val="0A2540"/>
          <w:sz w:val="24"/>
          <w:szCs w:val="24"/>
        </w:rPr>
        <w:t xml:space="preserve">8.8.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ante un siniestro atmosférico de entidad</w:t>
            </w:r>
          </w:p>
          <w:p>
            <w:pPr>
              <w:pStyle w:val="ListParagraph"/>
              <w:numPr>
                <w:ilvl w:val="0"/>
                <w:numId w:val="2"/>
              </w:numPr>
              <w:spacing w:after="80" w:line="280"/>
            </w:pPr>
            <w:r>
              <w:rPr>
                <w:rFonts w:ascii="Archivo" w:cs="Archivo" w:eastAsia="Archivo" w:hAnsi="Archivo"/>
                <w:sz w:val="19"/>
                <w:szCs w:val="19"/>
              </w:rPr>
              <w:t xml:space="preserve">Verificar si el Consorcio ha calificado oficialmente el episodio como «acontecimiento extraordinario» para la zona y fecha del siniestro, antes de dirigir la reclamación a la aseguradora privada o al propio Consorcio.</w:t>
            </w:r>
          </w:p>
          <w:p>
            <w:pPr>
              <w:pStyle w:val="ListParagraph"/>
              <w:numPr>
                <w:ilvl w:val="0"/>
                <w:numId w:val="2"/>
              </w:numPr>
              <w:spacing w:after="80" w:line="280"/>
            </w:pPr>
            <w:r>
              <w:rPr>
                <w:rFonts w:ascii="Archivo" w:cs="Archivo" w:eastAsia="Archivo" w:hAnsi="Archivo"/>
                <w:sz w:val="19"/>
                <w:szCs w:val="19"/>
              </w:rPr>
              <w:t xml:space="preserve">Comprobar que la póliza de hogar del cliente está vigente y al corriente de pago (incluido el recargo del Consorcio) en la fecha del siniestro.</w:t>
            </w:r>
          </w:p>
          <w:p>
            <w:pPr>
              <w:pStyle w:val="ListParagraph"/>
              <w:numPr>
                <w:ilvl w:val="0"/>
                <w:numId w:val="2"/>
              </w:numPr>
              <w:spacing w:after="80" w:line="280"/>
            </w:pPr>
            <w:r>
              <w:rPr>
                <w:rFonts w:ascii="Archivo" w:cs="Archivo" w:eastAsia="Archivo" w:hAnsi="Archivo"/>
                <w:sz w:val="19"/>
                <w:szCs w:val="19"/>
              </w:rPr>
              <w:t xml:space="preserve">Distinguir con prueba pericial entre el daño atribuible al fenómeno extraordinario y el atribuible a un vicio o defecto constructivo preexistente, expresamente excluido de la cobertura del Consorcio.</w:t>
            </w:r>
          </w:p>
          <w:p>
            <w:pPr>
              <w:pStyle w:val="ListParagraph"/>
              <w:numPr>
                <w:ilvl w:val="0"/>
                <w:numId w:val="2"/>
              </w:numPr>
              <w:spacing w:after="80" w:line="280"/>
            </w:pPr>
            <w:r>
              <w:rPr>
                <w:rFonts w:ascii="Archivo" w:cs="Archivo" w:eastAsia="Archivo" w:hAnsi="Archivo"/>
                <w:sz w:val="19"/>
                <w:szCs w:val="19"/>
              </w:rPr>
              <w:t xml:space="preserve">Tener presente que la indemnización del Consorcio se limita a los mismos bienes y sumas aseguradas de la póliza privada subyacente: revisar la suficiencia de dichas sumas es tan relevante como en el seguro ordinario.</w:t>
            </w:r>
          </w:p>
        </w:tc>
      </w:tr>
    </w:tbl>
    <w:p>
      <w:pPr>
        <w:pStyle w:val="Heading2"/>
        <w:spacing w:after="160" w:before="400"/>
      </w:pPr>
      <w:r>
        <w:rPr>
          <w:rFonts w:ascii="Fraunces" w:cs="Fraunces" w:eastAsia="Fraunces" w:hAnsi="Fraunces"/>
          <w:b/>
          <w:bCs/>
          <w:color w:val="0A2540"/>
          <w:sz w:val="24"/>
          <w:szCs w:val="24"/>
        </w:rPr>
        <w:t xml:space="preserve">8.9.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sobre la cobertura de catástrofes</w:t>
            </w:r>
          </w:p>
          <w:p>
            <w:pPr>
              <w:pStyle w:val="ListParagraph"/>
              <w:numPr>
                <w:ilvl w:val="0"/>
                <w:numId w:val="2"/>
              </w:numPr>
              <w:spacing w:after="80" w:line="280"/>
            </w:pPr>
            <w:r>
              <w:rPr>
                <w:rFonts w:ascii="Archivo" w:cs="Archivo" w:eastAsia="Archivo" w:hAnsi="Archivo"/>
                <w:sz w:val="19"/>
                <w:szCs w:val="19"/>
              </w:rPr>
              <w:t xml:space="preserve">Si su vivienda sufre daños por una inundación, un terremoto o un temporal de gran intensidad, es posible que la reclamación deba dirigirse al Consorcio de Compensación de Seguros y no (solo) a su aseguradora habitual.</w:t>
            </w:r>
          </w:p>
          <w:p>
            <w:pPr>
              <w:pStyle w:val="ListParagraph"/>
              <w:numPr>
                <w:ilvl w:val="0"/>
                <w:numId w:val="2"/>
              </w:numPr>
              <w:spacing w:after="80" w:line="280"/>
            </w:pPr>
            <w:r>
              <w:rPr>
                <w:rFonts w:ascii="Archivo" w:cs="Archivo" w:eastAsia="Archivo" w:hAnsi="Archivo"/>
                <w:sz w:val="19"/>
                <w:szCs w:val="19"/>
              </w:rPr>
              <w:t xml:space="preserve">El recargo del Consorcio ya está incluido en el recibo de su seguro de hogar: no es una contratación adicional ni puede excluirla si su póliza cubre los bienes correspondientes.</w:t>
            </w:r>
          </w:p>
          <w:p>
            <w:pPr>
              <w:pStyle w:val="ListParagraph"/>
              <w:numPr>
                <w:ilvl w:val="0"/>
                <w:numId w:val="2"/>
              </w:numPr>
              <w:spacing w:after="80" w:line="280"/>
            </w:pPr>
            <w:r>
              <w:rPr>
                <w:rFonts w:ascii="Archivo" w:cs="Archivo" w:eastAsia="Archivo" w:hAnsi="Archivo"/>
                <w:sz w:val="19"/>
                <w:szCs w:val="19"/>
              </w:rPr>
              <w:t xml:space="preserve">Guarde el recibo de su póliza y compruebe que está al corriente de pago: es requisito para la cobertura del Consorcio.</w:t>
            </w:r>
          </w:p>
          <w:p>
            <w:pPr>
              <w:pStyle w:val="ListParagraph"/>
              <w:numPr>
                <w:ilvl w:val="0"/>
                <w:numId w:val="2"/>
              </w:numPr>
              <w:spacing w:after="80" w:line="280"/>
            </w:pPr>
            <w:r>
              <w:rPr>
                <w:rFonts w:ascii="Archivo" w:cs="Archivo" w:eastAsia="Archivo" w:hAnsi="Archivo"/>
                <w:sz w:val="19"/>
                <w:szCs w:val="19"/>
              </w:rPr>
              <w:t xml:space="preserve">La indemnización del Consorcio nunca superará la suma asegurada de su propia póliza: si su vivienda está infraasegurada, esa limitación también le afectará en un siniestro extraordinario.</w:t>
            </w:r>
          </w:p>
        </w:tc>
      </w:tr>
    </w:tbl>
    <w:p>
      <w:pPr>
        <w:pStyle w:val="Heading2"/>
        <w:spacing w:after="160" w:before="400"/>
      </w:pPr>
      <w:r>
        <w:rPr>
          <w:rFonts w:ascii="Fraunces" w:cs="Fraunces" w:eastAsia="Fraunces" w:hAnsi="Fraunces"/>
          <w:b/>
          <w:bCs/>
          <w:color w:val="0A2540"/>
          <w:sz w:val="24"/>
          <w:szCs w:val="24"/>
        </w:rPr>
        <w:t xml:space="preserve">8.10. Checklist: seguro privado o Consorcio</w:t>
      </w:r>
    </w:p>
    <w:p>
      <w:pPr>
        <w:pStyle w:val="ListParagraph"/>
        <w:numPr>
          <w:ilvl w:val="0"/>
          <w:numId w:val="2"/>
        </w:numPr>
        <w:spacing w:after="100" w:line="290"/>
      </w:pPr>
      <w:r>
        <w:rPr>
          <w:rFonts w:ascii="Archivo" w:cs="Archivo" w:eastAsia="Archivo" w:hAnsi="Archivo"/>
          <w:sz w:val="21"/>
          <w:szCs w:val="21"/>
        </w:rPr>
        <w:t xml:space="preserve">1. ¿El fenómeno ha sido calificado oficialmente como acontecimiento extraordinario?</w:t>
      </w:r>
    </w:p>
    <w:p>
      <w:pPr>
        <w:pStyle w:val="ListParagraph"/>
        <w:numPr>
          <w:ilvl w:val="0"/>
          <w:numId w:val="2"/>
        </w:numPr>
        <w:spacing w:after="100" w:line="290"/>
      </w:pPr>
      <w:r>
        <w:rPr>
          <w:rFonts w:ascii="Archivo" w:cs="Archivo" w:eastAsia="Archivo" w:hAnsi="Archivo"/>
          <w:sz w:val="21"/>
          <w:szCs w:val="21"/>
        </w:rPr>
        <w:t xml:space="preserve">2. ¿La póliza de hogar estaba vigente y al corriente de pago del recargo en la fecha del siniestro?</w:t>
      </w:r>
    </w:p>
    <w:p>
      <w:pPr>
        <w:pStyle w:val="ListParagraph"/>
        <w:numPr>
          <w:ilvl w:val="0"/>
          <w:numId w:val="2"/>
        </w:numPr>
        <w:spacing w:after="100" w:line="290"/>
      </w:pPr>
      <w:r>
        <w:rPr>
          <w:rFonts w:ascii="Archivo" w:cs="Archivo" w:eastAsia="Archivo" w:hAnsi="Archivo"/>
          <w:sz w:val="21"/>
          <w:szCs w:val="21"/>
        </w:rPr>
        <w:t xml:space="preserve">3. ¿El daño obedece al fenómeno extraordinario o a un vicio/defecto constructivo preexistente?</w:t>
      </w:r>
    </w:p>
    <w:p>
      <w:pPr>
        <w:pStyle w:val="ListParagraph"/>
        <w:numPr>
          <w:ilvl w:val="0"/>
          <w:numId w:val="2"/>
        </w:numPr>
        <w:spacing w:after="100" w:line="290"/>
      </w:pPr>
      <w:r>
        <w:rPr>
          <w:rFonts w:ascii="Archivo" w:cs="Archivo" w:eastAsia="Archivo" w:hAnsi="Archivo"/>
          <w:sz w:val="21"/>
          <w:szCs w:val="21"/>
        </w:rPr>
        <w:t xml:space="preserve">4. ¿Las sumas aseguradas de la póliza privada son suficientes, dado que limitan también la cobertura del Consorcio?</w:t>
      </w:r>
    </w:p>
    <w:p>
      <w:pPr>
        <w:pStyle w:val="ListParagraph"/>
        <w:numPr>
          <w:ilvl w:val="0"/>
          <w:numId w:val="2"/>
        </w:numPr>
        <w:spacing w:after="100" w:line="290"/>
      </w:pPr>
      <w:r>
        <w:rPr>
          <w:rFonts w:ascii="Archivo" w:cs="Archivo" w:eastAsia="Archivo" w:hAnsi="Archivo"/>
          <w:sz w:val="21"/>
          <w:szCs w:val="21"/>
        </w:rPr>
        <w:t xml:space="preserve">5. ¿Se ha presentado la reclamación ante el organismo competente (Consorcio o aseguradora privada) según la calificación del riesgo?</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11. </w:t>
      </w:r>
      <w:r>
        <w:rPr>
          <w:rFonts w:ascii="Fraunces" w:cs="Fraunces" w:eastAsia="Fraunces" w:hAnsi="Fraunces"/>
          <w:b/>
          <w:bCs/>
          <w:color w:val="0A2540"/>
          <w:sz w:val="30"/>
          <w:szCs w:val="30"/>
        </w:rPr>
        <w:t xml:space="preserve">Rotura de cristales, sanitarios y elementos fijos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11.1. Una garantía de origen exclusivamente contractual</w:t>
            </w:r>
          </w:p>
          <w:p>
            <w:pPr>
              <w:spacing w:after="40" w:line="260"/>
            </w:pPr>
            <w:r>
              <w:rPr>
                <w:rFonts w:ascii="Archivo" w:cs="Archivo" w:eastAsia="Archivo" w:hAnsi="Archivo"/>
                <w:sz w:val="18"/>
                <w:szCs w:val="18"/>
              </w:rPr>
              <w:t xml:space="preserve">11.2. Elementos típicamente cubiertos</w:t>
            </w:r>
          </w:p>
          <w:p>
            <w:pPr>
              <w:spacing w:after="40" w:line="260"/>
            </w:pPr>
            <w:r>
              <w:rPr>
                <w:rFonts w:ascii="Archivo" w:cs="Archivo" w:eastAsia="Archivo" w:hAnsi="Archivo"/>
                <w:sz w:val="18"/>
                <w:szCs w:val="18"/>
              </w:rPr>
              <w:t xml:space="preserve">11.3. Causas cubiertas y exclusiones habituales</w:t>
            </w:r>
          </w:p>
          <w:p>
            <w:pPr>
              <w:spacing w:after="40" w:line="260"/>
            </w:pPr>
            <w:r>
              <w:rPr>
                <w:rFonts w:ascii="Archivo" w:cs="Archivo" w:eastAsia="Archivo" w:hAnsi="Archivo"/>
                <w:sz w:val="18"/>
                <w:szCs w:val="18"/>
              </w:rPr>
              <w:t xml:space="preserve">11.4. La relación con la garantía de responsabilidad civil</w:t>
            </w:r>
          </w:p>
          <w:p>
            <w:pPr>
              <w:spacing w:after="40" w:line="260"/>
            </w:pPr>
            <w:r>
              <w:rPr>
                <w:rFonts w:ascii="Archivo" w:cs="Archivo" w:eastAsia="Archivo" w:hAnsi="Archivo"/>
                <w:sz w:val="18"/>
                <w:szCs w:val="18"/>
              </w:rPr>
              <w:t xml:space="preserve">11.5. Ficha para el profesional</w:t>
            </w:r>
          </w:p>
          <w:p>
            <w:pPr>
              <w:spacing w:after="40" w:line="260"/>
            </w:pPr>
            <w:r>
              <w:rPr>
                <w:rFonts w:ascii="Archivo" w:cs="Archivo" w:eastAsia="Archivo" w:hAnsi="Archivo"/>
                <w:sz w:val="18"/>
                <w:szCs w:val="18"/>
              </w:rPr>
              <w:t xml:space="preserve">11.6. Ficha para el asegurado</w:t>
            </w:r>
          </w:p>
          <w:p>
            <w:pPr>
              <w:spacing w:after="40" w:line="260"/>
            </w:pPr>
            <w:r>
              <w:rPr>
                <w:rFonts w:ascii="Archivo" w:cs="Archivo" w:eastAsia="Archivo" w:hAnsi="Archivo"/>
                <w:sz w:val="18"/>
                <w:szCs w:val="18"/>
              </w:rPr>
              <w:t xml:space="preserve">11.7. Checklist: acreditación de un siniestro de rotura</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estudia la garantía de rotura de cristales, espejos, sanitarios, encimeras y demás elementos fijos frágiles de la vivienda, cobertura de origen puramente contractual —sin correlato en un régimen legal específico de la LCS— cuyo tratamiento jurídico debe reconstruirse íntegramente a partir del clausulado concreto de cada póliza y de los principios generales de calificación de cláusulas ya desarrollados en los capítulos 1 y 5.</w:t>
            </w:r>
          </w:p>
          <w:p>
            <w:pPr>
              <w:spacing w:after="160"/>
            </w:pPr>
            <w:r>
              <w:rPr>
                <w:rFonts w:ascii="Archivo" w:cs="Archivo" w:eastAsia="Archivo" w:hAnsi="Archivo"/>
                <w:b/>
                <w:bCs/>
                <w:sz w:val="17"/>
                <w:szCs w:val="17"/>
              </w:rPr>
              <w:t xml:space="preserve">Palabras clave: rotura de cristales, elementos fijos, sanitarios, encimeras, garantía contractual.</w:t>
            </w:r>
          </w:p>
          <w:p>
            <w:pPr>
              <w:spacing w:after="100"/>
              <w:jc w:val="both"/>
            </w:pPr>
            <w:r>
              <w:rPr>
                <w:rFonts w:ascii="Archivo" w:cs="Archivo" w:eastAsia="Archivo" w:hAnsi="Archivo"/>
                <w:i/>
                <w:iCs/>
                <w:sz w:val="18"/>
                <w:szCs w:val="18"/>
              </w:rPr>
              <w:t xml:space="preserve">This chapter examines the glass, mirror, sanitary ware, worktop and other fixed fragile element breakage cover, a cover of purely contractual origin —without a specific statutory counterpart in the Insurance Contract Act— whose legal treatment must be reconstructed entirely from the specific wording of each policy and the general clause-classification principles already developed in Chapters 1 and 5.</w:t>
            </w:r>
          </w:p>
          <w:p>
            <w:pPr>
              <w:spacing w:after="0"/>
            </w:pPr>
            <w:r>
              <w:rPr>
                <w:rFonts w:ascii="Archivo" w:cs="Archivo" w:eastAsia="Archivo" w:hAnsi="Archivo"/>
                <w:b/>
                <w:bCs/>
                <w:sz w:val="17"/>
                <w:szCs w:val="17"/>
              </w:rPr>
              <w:t xml:space="preserve">Keywords: glass breakage, fixed elements, sanitary ware, worktops, contractual cover.</w:t>
            </w:r>
          </w:p>
        </w:tc>
      </w:tr>
    </w:tbl>
    <w:p>
      <w:pPr>
        <w:spacing w:after="200"/>
      </w:pPr>
    </w:p>
    <w:p>
      <w:pPr>
        <w:pStyle w:val="Heading2"/>
        <w:spacing w:after="160" w:before="400"/>
      </w:pPr>
      <w:r>
        <w:rPr>
          <w:rFonts w:ascii="Fraunces" w:cs="Fraunces" w:eastAsia="Fraunces" w:hAnsi="Fraunces"/>
          <w:b/>
          <w:bCs/>
          <w:color w:val="0A2540"/>
          <w:sz w:val="24"/>
          <w:szCs w:val="24"/>
        </w:rPr>
        <w:t xml:space="preserve">11.1. Una garantía de origen exclusivamente contractual</w:t>
      </w:r>
    </w:p>
    <w:p>
      <w:pPr>
        <w:spacing w:after="180" w:line="300"/>
        <w:jc w:val="both"/>
      </w:pPr>
      <w:r>
        <w:rPr>
          <w:rFonts w:ascii="Archivo" w:cs="Archivo" w:eastAsia="Archivo" w:hAnsi="Archivo"/>
          <w:sz w:val="21"/>
          <w:szCs w:val="21"/>
        </w:rPr>
        <w:t xml:space="preserve">Al igual que ocurre con los daños por agua estudiados en el capítulo 8, la garantía de rotura de cristales y elementos fijos carece de régimen legal propio en la LCS: es una cobertura de creación puramente contractual, incorporada de forma prácticamente universal a las pólizas de hogar como garantía complementaria de las troncales de incendio, agua y robo</w:t>
      </w:r>
      <w:r>
        <w:rPr>
          <w:rStyle w:val="FootnoteReference"/>
        </w:rPr>
        <w:footnoteReference w:id="24"/>
      </w:r>
      <w:r>
        <w:rPr>
          <w:rFonts w:ascii="Archivo" w:cs="Archivo" w:eastAsia="Archivo" w:hAnsi="Archivo"/>
          <w:sz w:val="21"/>
          <w:szCs w:val="21"/>
        </w:rPr>
        <w:t xml:space="preserve">. Su alcance exacto —qué elementos cubre, con qué franquicia, con qué sublímite— debe reconstruirse en cada caso a partir de las condiciones generales y particulares de la póliza concreta.</w:t>
      </w:r>
    </w:p>
    <w:p>
      <w:pPr>
        <w:pStyle w:val="Heading2"/>
        <w:spacing w:after="160" w:before="400"/>
      </w:pPr>
      <w:r>
        <w:rPr>
          <w:rFonts w:ascii="Fraunces" w:cs="Fraunces" w:eastAsia="Fraunces" w:hAnsi="Fraunces"/>
          <w:b/>
          <w:bCs/>
          <w:color w:val="0A2540"/>
          <w:sz w:val="24"/>
          <w:szCs w:val="24"/>
        </w:rPr>
        <w:t xml:space="preserve">11.2. Elementos típicamente cubiertos</w:t>
      </w:r>
    </w:p>
    <w:p>
      <w:pPr>
        <w:spacing w:after="180" w:line="300"/>
        <w:jc w:val="both"/>
      </w:pPr>
      <w:r>
        <w:rPr>
          <w:rFonts w:ascii="Archivo" w:cs="Archivo" w:eastAsia="Archivo" w:hAnsi="Archivo"/>
          <w:sz w:val="21"/>
          <w:szCs w:val="21"/>
        </w:rPr>
        <w:t xml:space="preserve">La práctica aseguradora española incluye, con distinta amplitud según el producto contratado, los siguientes elementos dentro de esta garantía:</w:t>
      </w:r>
    </w:p>
    <w:p>
      <w:pPr>
        <w:pStyle w:val="ListParagraph"/>
        <w:numPr>
          <w:ilvl w:val="0"/>
          <w:numId w:val="2"/>
        </w:numPr>
        <w:spacing w:after="100" w:line="290"/>
      </w:pPr>
      <w:r>
        <w:rPr>
          <w:rFonts w:ascii="Archivo" w:cs="Archivo" w:eastAsia="Archivo" w:hAnsi="Archivo"/>
          <w:b/>
          <w:bCs/>
          <w:sz w:val="21"/>
          <w:szCs w:val="21"/>
        </w:rPr>
        <w:t xml:space="preserve">Cristales y vidrios: </w:t>
      </w:r>
      <w:r>
        <w:rPr>
          <w:rFonts w:ascii="Archivo" w:cs="Archivo" w:eastAsia="Archivo" w:hAnsi="Archivo"/>
          <w:sz w:val="21"/>
          <w:szCs w:val="21"/>
        </w:rPr>
        <w:t xml:space="preserve">ventanas, puertas acristaladas, mamparas de ducha, espejos fijos, y, en pólizas más completas, mobiliario con superficies de cristal.</w:t>
      </w:r>
    </w:p>
    <w:p>
      <w:pPr>
        <w:pStyle w:val="ListParagraph"/>
        <w:numPr>
          <w:ilvl w:val="0"/>
          <w:numId w:val="2"/>
        </w:numPr>
        <w:spacing w:after="100" w:line="290"/>
      </w:pPr>
      <w:r>
        <w:rPr>
          <w:rFonts w:ascii="Archivo" w:cs="Archivo" w:eastAsia="Archivo" w:hAnsi="Archivo"/>
          <w:b/>
          <w:bCs/>
          <w:sz w:val="21"/>
          <w:szCs w:val="21"/>
        </w:rPr>
        <w:t xml:space="preserve">Sanitarios: </w:t>
      </w:r>
      <w:r>
        <w:rPr>
          <w:rFonts w:ascii="Archivo" w:cs="Archivo" w:eastAsia="Archivo" w:hAnsi="Archivo"/>
          <w:sz w:val="21"/>
          <w:szCs w:val="21"/>
        </w:rPr>
        <w:t xml:space="preserve">inodoros, lavabos, bidés y bañeras, cuya rotura, además del coste de reposición del propio elemento, puede generar un daño por agua conexo sujeto a la garantía específica del capítulo 8.</w:t>
      </w:r>
    </w:p>
    <w:p>
      <w:pPr>
        <w:pStyle w:val="ListParagraph"/>
        <w:numPr>
          <w:ilvl w:val="0"/>
          <w:numId w:val="2"/>
        </w:numPr>
        <w:spacing w:after="100" w:line="290"/>
      </w:pPr>
      <w:r>
        <w:rPr>
          <w:rFonts w:ascii="Archivo" w:cs="Archivo" w:eastAsia="Archivo" w:hAnsi="Archivo"/>
          <w:b/>
          <w:bCs/>
          <w:sz w:val="21"/>
          <w:szCs w:val="21"/>
        </w:rPr>
        <w:t xml:space="preserve">Encimeras y superficies de mármol o piedra natural: </w:t>
      </w:r>
      <w:r>
        <w:rPr>
          <w:rFonts w:ascii="Archivo" w:cs="Archivo" w:eastAsia="Archivo" w:hAnsi="Archivo"/>
          <w:sz w:val="21"/>
          <w:szCs w:val="21"/>
        </w:rPr>
        <w:t xml:space="preserve">frecuentemente sujetas a sublímites propios, dado su elevado coste de reposición y la dificultad de encontrar piezas de idénticas características, cuestión que conecta directamente con el criterio de reposición uniforme estudiado en el capítulo 12.</w:t>
      </w:r>
    </w:p>
    <w:p>
      <w:pPr>
        <w:pStyle w:val="ListParagraph"/>
        <w:numPr>
          <w:ilvl w:val="0"/>
          <w:numId w:val="2"/>
        </w:numPr>
        <w:spacing w:after="100" w:line="290"/>
      </w:pPr>
      <w:r>
        <w:rPr>
          <w:rFonts w:ascii="Archivo" w:cs="Archivo" w:eastAsia="Archivo" w:hAnsi="Archivo"/>
          <w:b/>
          <w:bCs/>
          <w:sz w:val="21"/>
          <w:szCs w:val="21"/>
        </w:rPr>
        <w:t xml:space="preserve">Placas vitrocerámicas y de inducción: </w:t>
      </w:r>
      <w:r>
        <w:rPr>
          <w:rFonts w:ascii="Archivo" w:cs="Archivo" w:eastAsia="Archivo" w:hAnsi="Archivo"/>
          <w:sz w:val="21"/>
          <w:szCs w:val="21"/>
        </w:rPr>
        <w:t xml:space="preserve">incluidas en algunas pólizas dentro de esta garantía y, en otras, tratadas como electrodoméstico sujeto a la garantía general de contenido.</w:t>
      </w:r>
    </w:p>
    <w:p>
      <w:pPr>
        <w:pStyle w:val="Heading2"/>
        <w:spacing w:after="160" w:before="400"/>
      </w:pPr>
      <w:r>
        <w:rPr>
          <w:rFonts w:ascii="Fraunces" w:cs="Fraunces" w:eastAsia="Fraunces" w:hAnsi="Fraunces"/>
          <w:b/>
          <w:bCs/>
          <w:color w:val="0A2540"/>
          <w:sz w:val="24"/>
          <w:szCs w:val="24"/>
        </w:rPr>
        <w:t xml:space="preserve">11.3. Causas cubiertas y exclusiones habituales</w:t>
      </w:r>
    </w:p>
    <w:p>
      <w:pPr>
        <w:spacing w:after="180" w:line="300"/>
        <w:jc w:val="both"/>
      </w:pPr>
      <w:r>
        <w:rPr>
          <w:rFonts w:ascii="Archivo" w:cs="Archivo" w:eastAsia="Archivo" w:hAnsi="Archivo"/>
          <w:sz w:val="21"/>
          <w:szCs w:val="21"/>
        </w:rPr>
        <w:t xml:space="preserve">La garantía cubre, con carácter general, la rotura accidental y súbita de los elementos descritos, con las exclusiones habituales ya sistematizadas con carácter general en el capítulo 16: desgaste, vicio propio del material, y daños causados durante obras o reformas no comunicadas a la aseguradora. La calificación de estas exclusiones como delimitadoras o limitativas sigue exactamente la misma metodología expuesta en los capítulos 1, 5 y 6: verificación de los requisitos formales del art. 3 LCS cuando proceda, contraste con el contenido natural de la garantía, e interpretación contra proferentem ante la duda razonable.</w:t>
      </w:r>
    </w:p>
    <w:p>
      <w:pPr>
        <w:spacing w:after="180" w:line="300"/>
        <w:jc w:val="both"/>
      </w:pPr>
      <w:r>
        <w:rPr>
          <w:rFonts w:ascii="Archivo" w:cs="Archivo" w:eastAsia="Archivo" w:hAnsi="Archivo"/>
          <w:sz w:val="21"/>
          <w:szCs w:val="21"/>
        </w:rPr>
        <w:t xml:space="preserve">Una precisión práctica de utilidad: a diferencia de la garantía de incendio, cuyo art. 48 LCS cubre incluso la negligencia leve del propio asegurado (capítulo 7), esta garantía contractual no está sujeta a dicho régimen legal específico, por lo que el umbral de imputación subjetiva —si la póliza excluye la rotura causada por negligencia del propio asegurado, y con qué intensidad— depende enteramente de lo pactado, sin la red de seguridad legal que sí opera en el incendio.</w:t>
      </w:r>
    </w:p>
    <w:p>
      <w:pPr>
        <w:pStyle w:val="Heading2"/>
        <w:spacing w:after="160" w:before="400"/>
      </w:pPr>
      <w:r>
        <w:rPr>
          <w:rFonts w:ascii="Fraunces" w:cs="Fraunces" w:eastAsia="Fraunces" w:hAnsi="Fraunces"/>
          <w:b/>
          <w:bCs/>
          <w:color w:val="0A2540"/>
          <w:sz w:val="24"/>
          <w:szCs w:val="24"/>
        </w:rPr>
        <w:t xml:space="preserve">11.4. La relación con la garantía de responsabilidad civil</w:t>
      </w:r>
    </w:p>
    <w:p>
      <w:pPr>
        <w:spacing w:after="180" w:line="300"/>
        <w:jc w:val="both"/>
      </w:pPr>
      <w:r>
        <w:rPr>
          <w:rFonts w:ascii="Archivo" w:cs="Archivo" w:eastAsia="Archivo" w:hAnsi="Archivo"/>
          <w:sz w:val="21"/>
          <w:szCs w:val="21"/>
        </w:rPr>
        <w:t xml:space="preserve">Cuando la rotura de un elemento fijo causa, además, un daño a un tercero —por ejemplo, el estallido de una mampara que causa lesiones a un visitante, o la rotura de una encimera que daña bienes de un tercero durante una mudanza—, se activa simultáneamente la garantía de responsabilidad civil del cabeza de familia estudiada en el capítulo 13, en los mismos términos de coordinación entre garantías ya explicados en el capítulo 8 a propósito de los daños por agua a terceros.</w:t>
      </w:r>
    </w:p>
    <w:p>
      <w:pPr>
        <w:pStyle w:val="Heading2"/>
        <w:spacing w:after="160" w:before="400"/>
      </w:pPr>
      <w:r>
        <w:rPr>
          <w:rFonts w:ascii="Fraunces" w:cs="Fraunces" w:eastAsia="Fraunces" w:hAnsi="Fraunces"/>
          <w:b/>
          <w:bCs/>
          <w:color w:val="0A2540"/>
          <w:sz w:val="24"/>
          <w:szCs w:val="24"/>
        </w:rPr>
        <w:t xml:space="preserve">11.5.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en un siniestro de rotura</w:t>
            </w:r>
          </w:p>
          <w:p>
            <w:pPr>
              <w:pStyle w:val="ListParagraph"/>
              <w:numPr>
                <w:ilvl w:val="0"/>
                <w:numId w:val="2"/>
              </w:numPr>
              <w:spacing w:after="80" w:line="280"/>
            </w:pPr>
            <w:r>
              <w:rPr>
                <w:rFonts w:ascii="Archivo" w:cs="Archivo" w:eastAsia="Archivo" w:hAnsi="Archivo"/>
                <w:sz w:val="19"/>
                <w:szCs w:val="19"/>
              </w:rPr>
              <w:t xml:space="preserve">Verificar exactamente qué elementos incluye esta garantía en la póliza concreta: su alcance varía notablemente de un producto a otro.</w:t>
            </w:r>
          </w:p>
          <w:p>
            <w:pPr>
              <w:pStyle w:val="ListParagraph"/>
              <w:numPr>
                <w:ilvl w:val="0"/>
                <w:numId w:val="2"/>
              </w:numPr>
              <w:spacing w:after="80" w:line="280"/>
            </w:pPr>
            <w:r>
              <w:rPr>
                <w:rFonts w:ascii="Archivo" w:cs="Archivo" w:eastAsia="Archivo" w:hAnsi="Archivo"/>
                <w:sz w:val="19"/>
                <w:szCs w:val="19"/>
              </w:rPr>
              <w:t xml:space="preserve">Comprobar la existencia de sublímites específicos para encimeras y superficies de piedra natural, dado su elevado coste de reposición.</w:t>
            </w:r>
          </w:p>
          <w:p>
            <w:pPr>
              <w:pStyle w:val="ListParagraph"/>
              <w:numPr>
                <w:ilvl w:val="0"/>
                <w:numId w:val="2"/>
              </w:numPr>
              <w:spacing w:after="80" w:line="280"/>
            </w:pPr>
            <w:r>
              <w:rPr>
                <w:rFonts w:ascii="Archivo" w:cs="Archivo" w:eastAsia="Archivo" w:hAnsi="Archivo"/>
                <w:sz w:val="19"/>
                <w:szCs w:val="19"/>
              </w:rPr>
              <w:t xml:space="preserve">Ante una exclusión por negligencia del asegurado, recordar que esta garantía no goza del régimen legal protector del art. 48 LCS aplicable al incendio (capítulo 7): el umbral depende íntegramente de lo pactado.</w:t>
            </w:r>
          </w:p>
          <w:p>
            <w:pPr>
              <w:pStyle w:val="ListParagraph"/>
              <w:numPr>
                <w:ilvl w:val="0"/>
                <w:numId w:val="2"/>
              </w:numPr>
              <w:spacing w:after="80" w:line="280"/>
            </w:pPr>
            <w:r>
              <w:rPr>
                <w:rFonts w:ascii="Archivo" w:cs="Archivo" w:eastAsia="Archivo" w:hAnsi="Archivo"/>
                <w:sz w:val="19"/>
                <w:szCs w:val="19"/>
              </w:rPr>
              <w:t xml:space="preserve">Si la rotura ha causado además daños a un tercero, coordinar esta garantía con la de responsabilidad civil (capítulo 13).</w:t>
            </w:r>
          </w:p>
        </w:tc>
      </w:tr>
    </w:tbl>
    <w:p>
      <w:pPr>
        <w:pStyle w:val="Heading2"/>
        <w:spacing w:after="160" w:before="400"/>
      </w:pPr>
      <w:r>
        <w:rPr>
          <w:rFonts w:ascii="Fraunces" w:cs="Fraunces" w:eastAsia="Fraunces" w:hAnsi="Fraunces"/>
          <w:b/>
          <w:bCs/>
          <w:color w:val="0A2540"/>
          <w:sz w:val="24"/>
          <w:szCs w:val="24"/>
        </w:rPr>
        <w:t xml:space="preserve">11.6.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revisar sobre esta cobertura</w:t>
            </w:r>
          </w:p>
          <w:p>
            <w:pPr>
              <w:pStyle w:val="ListParagraph"/>
              <w:numPr>
                <w:ilvl w:val="0"/>
                <w:numId w:val="2"/>
              </w:numPr>
              <w:spacing w:after="80" w:line="280"/>
            </w:pPr>
            <w:r>
              <w:rPr>
                <w:rFonts w:ascii="Archivo" w:cs="Archivo" w:eastAsia="Archivo" w:hAnsi="Archivo"/>
                <w:sz w:val="19"/>
                <w:szCs w:val="19"/>
              </w:rPr>
              <w:t xml:space="preserve">Compruebe si su póliza cubre cristales, sanitarios y encimeras, y con qué franquicia y sublímite para cada elemento.</w:t>
            </w:r>
          </w:p>
          <w:p>
            <w:pPr>
              <w:pStyle w:val="ListParagraph"/>
              <w:numPr>
                <w:ilvl w:val="0"/>
                <w:numId w:val="2"/>
              </w:numPr>
              <w:spacing w:after="80" w:line="280"/>
            </w:pPr>
            <w:r>
              <w:rPr>
                <w:rFonts w:ascii="Archivo" w:cs="Archivo" w:eastAsia="Archivo" w:hAnsi="Archivo"/>
                <w:sz w:val="19"/>
                <w:szCs w:val="19"/>
              </w:rPr>
              <w:t xml:space="preserve">Si tiene encimeras de piedra natural o mármol de cierto valor, verifique el sublímite específico: puede no ser suficiente para su reposición completa.</w:t>
            </w:r>
          </w:p>
          <w:p>
            <w:pPr>
              <w:pStyle w:val="ListParagraph"/>
              <w:numPr>
                <w:ilvl w:val="0"/>
                <w:numId w:val="2"/>
              </w:numPr>
              <w:spacing w:after="80" w:line="280"/>
            </w:pPr>
            <w:r>
              <w:rPr>
                <w:rFonts w:ascii="Archivo" w:cs="Archivo" w:eastAsia="Archivo" w:hAnsi="Archivo"/>
                <w:sz w:val="19"/>
                <w:szCs w:val="19"/>
              </w:rPr>
              <w:t xml:space="preserve">Conserve facturas o presupuestos de instalación de estos elementos: facilitan enormemente la valoración pericial en caso de siniestro.</w:t>
            </w:r>
          </w:p>
        </w:tc>
      </w:tr>
    </w:tbl>
    <w:p>
      <w:pPr>
        <w:pStyle w:val="Heading2"/>
        <w:spacing w:after="160" w:before="400"/>
      </w:pPr>
      <w:r>
        <w:rPr>
          <w:rFonts w:ascii="Fraunces" w:cs="Fraunces" w:eastAsia="Fraunces" w:hAnsi="Fraunces"/>
          <w:b/>
          <w:bCs/>
          <w:color w:val="0A2540"/>
          <w:sz w:val="24"/>
          <w:szCs w:val="24"/>
        </w:rPr>
        <w:t xml:space="preserve">11.7. Checklist: acreditación de un siniestro de rotura</w:t>
      </w:r>
    </w:p>
    <w:p>
      <w:pPr>
        <w:pStyle w:val="ListParagraph"/>
        <w:numPr>
          <w:ilvl w:val="0"/>
          <w:numId w:val="2"/>
        </w:numPr>
        <w:spacing w:after="100" w:line="290"/>
      </w:pPr>
      <w:r>
        <w:rPr>
          <w:rFonts w:ascii="Archivo" w:cs="Archivo" w:eastAsia="Archivo" w:hAnsi="Archivo"/>
          <w:sz w:val="21"/>
          <w:szCs w:val="21"/>
        </w:rPr>
        <w:t xml:space="preserve">1. ¿Qué elemento se ha roto y está expresamente incluido en la garantía contratada?</w:t>
      </w:r>
    </w:p>
    <w:p>
      <w:pPr>
        <w:pStyle w:val="ListParagraph"/>
        <w:numPr>
          <w:ilvl w:val="0"/>
          <w:numId w:val="2"/>
        </w:numPr>
        <w:spacing w:after="100" w:line="290"/>
      </w:pPr>
      <w:r>
        <w:rPr>
          <w:rFonts w:ascii="Archivo" w:cs="Archivo" w:eastAsia="Archivo" w:hAnsi="Archivo"/>
          <w:sz w:val="21"/>
          <w:szCs w:val="21"/>
        </w:rPr>
        <w:t xml:space="preserve">2. ¿Cuál es la causa de la rotura (accidental, negligencia, desgaste)?</w:t>
      </w:r>
    </w:p>
    <w:p>
      <w:pPr>
        <w:pStyle w:val="ListParagraph"/>
        <w:numPr>
          <w:ilvl w:val="0"/>
          <w:numId w:val="2"/>
        </w:numPr>
        <w:spacing w:after="100" w:line="290"/>
      </w:pPr>
      <w:r>
        <w:rPr>
          <w:rFonts w:ascii="Archivo" w:cs="Archivo" w:eastAsia="Archivo" w:hAnsi="Archivo"/>
          <w:sz w:val="21"/>
          <w:szCs w:val="21"/>
        </w:rPr>
        <w:t xml:space="preserve">3. ¿Existe sublímite específico aplicable y es suficiente para la reposición?</w:t>
      </w:r>
    </w:p>
    <w:p>
      <w:pPr>
        <w:pStyle w:val="ListParagraph"/>
        <w:numPr>
          <w:ilvl w:val="0"/>
          <w:numId w:val="2"/>
        </w:numPr>
        <w:spacing w:after="100" w:line="290"/>
      </w:pPr>
      <w:r>
        <w:rPr>
          <w:rFonts w:ascii="Archivo" w:cs="Archivo" w:eastAsia="Archivo" w:hAnsi="Archivo"/>
          <w:sz w:val="21"/>
          <w:szCs w:val="21"/>
        </w:rPr>
        <w:t xml:space="preserve">4. ¿Es posible encontrar en el mercado un elemento idéntico, o será necesario aplicar el criterio de reposición uniforme (capítulo 12)?</w:t>
      </w:r>
    </w:p>
    <w:p>
      <w:pPr>
        <w:pStyle w:val="ListParagraph"/>
        <w:numPr>
          <w:ilvl w:val="0"/>
          <w:numId w:val="2"/>
        </w:numPr>
        <w:spacing w:after="100" w:line="290"/>
      </w:pPr>
      <w:r>
        <w:rPr>
          <w:rFonts w:ascii="Archivo" w:cs="Archivo" w:eastAsia="Archivo" w:hAnsi="Archivo"/>
          <w:sz w:val="21"/>
          <w:szCs w:val="21"/>
        </w:rPr>
        <w:t xml:space="preserve">5. ¿Ha causado la rotura, además, daños a un tercero que activen la garantía de responsabilidad civil?</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BATALLER GRAU, J.; BOQUERA MATARREDONA, J.; OLAVARRÍA IGLESIA, J. (coords.), Comentarios a la Ley de Contrato de Seguro, Tirant lo Blanch, Valencia.</w:t>
      </w:r>
    </w:p>
    <w:p>
      <w:pPr>
        <w:pStyle w:val="Heading1"/>
        <w:pageBreakBefore/>
        <w:spacing w:after="300" w:before="200"/>
      </w:pPr>
      <w:r>
        <w:rPr>
          <w:rFonts w:ascii="Archivo" w:cs="Archivo" w:eastAsia="Archivo" w:hAnsi="Archivo"/>
          <w:b/>
          <w:bCs/>
          <w:color w:val="1B6DF0"/>
          <w:sz w:val="22"/>
          <w:szCs w:val="22"/>
        </w:rPr>
        <w:t xml:space="preserve">Capítulo 12. </w:t>
      </w:r>
      <w:r>
        <w:rPr>
          <w:rFonts w:ascii="Fraunces" w:cs="Fraunces" w:eastAsia="Fraunces" w:hAnsi="Fraunces"/>
          <w:b/>
          <w:bCs/>
          <w:color w:val="0A2540"/>
          <w:sz w:val="30"/>
          <w:szCs w:val="30"/>
        </w:rPr>
        <w:t xml:space="preserve">Daños estéticos, inhabitabilidad y pérdida de alquileres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12.1. El daño estético como partida indemnizable autónoma</w:t>
            </w:r>
          </w:p>
          <w:p>
            <w:pPr>
              <w:spacing w:after="40" w:line="260"/>
            </w:pPr>
            <w:r>
              <w:rPr>
                <w:rFonts w:ascii="Archivo" w:cs="Archivo" w:eastAsia="Archivo" w:hAnsi="Archivo"/>
                <w:sz w:val="18"/>
                <w:szCs w:val="18"/>
              </w:rPr>
              <w:t xml:space="preserve">12.2. El criterio de reposición uniforme</w:t>
            </w:r>
          </w:p>
          <w:p>
            <w:pPr>
              <w:spacing w:after="40" w:line="260"/>
            </w:pPr>
            <w:r>
              <w:rPr>
                <w:rFonts w:ascii="Archivo" w:cs="Archivo" w:eastAsia="Archivo" w:hAnsi="Archivo"/>
                <w:sz w:val="18"/>
                <w:szCs w:val="18"/>
              </w:rPr>
              <w:t xml:space="preserve">12.3. Gastos de alojamiento provisional e inhabitabilidad</w:t>
            </w:r>
          </w:p>
          <w:p>
            <w:pPr>
              <w:spacing w:after="40" w:line="260"/>
            </w:pPr>
            <w:r>
              <w:rPr>
                <w:rFonts w:ascii="Archivo" w:cs="Archivo" w:eastAsia="Archivo" w:hAnsi="Archivo"/>
                <w:sz w:val="18"/>
                <w:szCs w:val="18"/>
              </w:rPr>
              <w:t xml:space="preserve">12.4. Pérdida de alquileres y rentas</w:t>
            </w:r>
          </w:p>
          <w:p>
            <w:pPr>
              <w:spacing w:after="40" w:line="260"/>
            </w:pPr>
            <w:r>
              <w:rPr>
                <w:rFonts w:ascii="Archivo" w:cs="Archivo" w:eastAsia="Archivo" w:hAnsi="Archivo"/>
                <w:sz w:val="18"/>
                <w:szCs w:val="18"/>
              </w:rPr>
              <w:t xml:space="preserve">12.5. Ficha para el profesional</w:t>
            </w:r>
          </w:p>
          <w:p>
            <w:pPr>
              <w:spacing w:after="40" w:line="260"/>
            </w:pPr>
            <w:r>
              <w:rPr>
                <w:rFonts w:ascii="Archivo" w:cs="Archivo" w:eastAsia="Archivo" w:hAnsi="Archivo"/>
                <w:sz w:val="18"/>
                <w:szCs w:val="18"/>
              </w:rPr>
              <w:t xml:space="preserve">12.6. Ficha para el asegurado</w:t>
            </w:r>
          </w:p>
          <w:p>
            <w:pPr>
              <w:spacing w:after="40" w:line="260"/>
            </w:pPr>
            <w:r>
              <w:rPr>
                <w:rFonts w:ascii="Archivo" w:cs="Archivo" w:eastAsia="Archivo" w:hAnsi="Archivo"/>
                <w:sz w:val="18"/>
                <w:szCs w:val="18"/>
              </w:rPr>
              <w:t xml:space="preserve">12.7. Checklist: partidas indemnizables más allá del daño material directo</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estudia tres partidas indemnizables que trascienden el daño material directo y que con frecuencia se olvidan o se infravaloran en la práctica de la reclamación de siniestros de hogar: el daño estético derivado de la imposibilidad de encontrar materiales idénticos a los dañados, resuelto por la jurisprudencia menor mediante el criterio de la reposición uniforme; los gastos de alojamiento provisional cuando el siniestro deja la vivienda inhabitable; y la pérdida de rentas de alquiler cuando el inmueble siniestrado se encontraba arrendado.</w:t>
            </w:r>
          </w:p>
          <w:p>
            <w:pPr>
              <w:spacing w:after="160"/>
            </w:pPr>
            <w:r>
              <w:rPr>
                <w:rFonts w:ascii="Archivo" w:cs="Archivo" w:eastAsia="Archivo" w:hAnsi="Archivo"/>
                <w:b/>
                <w:bCs/>
                <w:sz w:val="17"/>
                <w:szCs w:val="17"/>
              </w:rPr>
              <w:t xml:space="preserve">Palabras clave: daño estético, reposición uniforme, inhabitabilidad, gastos de alojamiento, pérdida de alquileres.</w:t>
            </w:r>
          </w:p>
          <w:p>
            <w:pPr>
              <w:spacing w:after="100"/>
              <w:jc w:val="both"/>
            </w:pPr>
            <w:r>
              <w:rPr>
                <w:rFonts w:ascii="Archivo" w:cs="Archivo" w:eastAsia="Archivo" w:hAnsi="Archivo"/>
                <w:i/>
                <w:iCs/>
                <w:sz w:val="18"/>
                <w:szCs w:val="18"/>
              </w:rPr>
              <w:t xml:space="preserve">This chapter examines three heads of loss that go beyond direct material damage and are frequently overlooked or undervalued in practice when claiming homeowners' insurance losses: aesthetic damage arising from the impossibility of sourcing materials identical to those damaged, addressed by appellate case law through the uniform-replacement criterion; temporary accommodation costs when a loss renders the home uninhabitable; and lost rental income when the damaged property was let to a tenant.</w:t>
            </w:r>
          </w:p>
          <w:p>
            <w:pPr>
              <w:spacing w:after="0"/>
            </w:pPr>
            <w:r>
              <w:rPr>
                <w:rFonts w:ascii="Archivo" w:cs="Archivo" w:eastAsia="Archivo" w:hAnsi="Archivo"/>
                <w:b/>
                <w:bCs/>
                <w:sz w:val="17"/>
                <w:szCs w:val="17"/>
              </w:rPr>
              <w:t xml:space="preserve">Keywords: aesthetic damage, uniform replacement, uninhabitability, temporary accommodation costs, lost rental income.</w:t>
            </w:r>
          </w:p>
        </w:tc>
      </w:tr>
    </w:tbl>
    <w:p>
      <w:pPr>
        <w:spacing w:after="200"/>
      </w:pPr>
    </w:p>
    <w:p>
      <w:pPr>
        <w:pStyle w:val="Heading2"/>
        <w:spacing w:after="160" w:before="400"/>
      </w:pPr>
      <w:r>
        <w:rPr>
          <w:rFonts w:ascii="Fraunces" w:cs="Fraunces" w:eastAsia="Fraunces" w:hAnsi="Fraunces"/>
          <w:b/>
          <w:bCs/>
          <w:color w:val="0A2540"/>
          <w:sz w:val="24"/>
          <w:szCs w:val="24"/>
        </w:rPr>
        <w:t xml:space="preserve">12.1. El daño estético como partida indemnizable autónoma</w:t>
      </w:r>
    </w:p>
    <w:p>
      <w:pPr>
        <w:spacing w:after="180" w:line="300"/>
        <w:jc w:val="both"/>
      </w:pPr>
      <w:r>
        <w:rPr>
          <w:rFonts w:ascii="Archivo" w:cs="Archivo" w:eastAsia="Archivo" w:hAnsi="Archivo"/>
          <w:sz w:val="21"/>
          <w:szCs w:val="21"/>
        </w:rPr>
        <w:t xml:space="preserve">Cuando un siniestro afecta solo a una parte de un conjunto homogéneo —los azulejos de un baño, el suelo de una estancia, la pintura de una pared—, la reparación limitada estrictamente a la zona dañada deja, con frecuencia, un resultado visualmente discordante que la jurisprudencia menor reconoce como daño estético autónomo, indemnizable con independencia y además del coste material de reparación en sentido estricto</w:t>
      </w:r>
      <w:r>
        <w:rPr>
          <w:rStyle w:val="FootnoteReference"/>
        </w:rPr>
        <w:footnoteReference w:id="25"/>
      </w:r>
      <w:r>
        <w:rPr>
          <w:rFonts w:ascii="Archivo" w:cs="Archivo" w:eastAsia="Archivo" w:hAnsi="Archivo"/>
          <w:sz w:val="21"/>
          <w:szCs w:val="21"/>
        </w:rPr>
        <w:t xml:space="preserve">.</w:t>
      </w:r>
    </w:p>
    <w:p>
      <w:pPr>
        <w:pStyle w:val="Heading2"/>
        <w:spacing w:after="160" w:before="400"/>
      </w:pPr>
      <w:r>
        <w:rPr>
          <w:rFonts w:ascii="Fraunces" w:cs="Fraunces" w:eastAsia="Fraunces" w:hAnsi="Fraunces"/>
          <w:b/>
          <w:bCs/>
          <w:color w:val="0A2540"/>
          <w:sz w:val="24"/>
          <w:szCs w:val="24"/>
        </w:rPr>
        <w:t xml:space="preserve">12.2. El criterio de reposición uniforme</w:t>
      </w:r>
    </w:p>
    <w:p>
      <w:pPr>
        <w:spacing w:after="180" w:line="300"/>
        <w:jc w:val="both"/>
      </w:pPr>
      <w:r>
        <w:rPr>
          <w:rFonts w:ascii="Archivo" w:cs="Archivo" w:eastAsia="Archivo" w:hAnsi="Archivo"/>
          <w:sz w:val="21"/>
          <w:szCs w:val="21"/>
        </w:rPr>
        <w:t xml:space="preserve">La Audiencia Provincial de Alicante ha sistematizado con particular claridad, en un supuesto de filtraciones de agua entre viviendas, el criterio que debe presidir la valoración de este tipo de daño: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SAP Alicante (Sección 5.ª), de 12 de mayo de 2020 (ROJ: SAP A 614/2020; ECLI:ES:APA:2020:614; MP: García Ruiz)</w:t>
            </w:r>
          </w:p>
          <w:p>
            <w:pPr>
              <w:spacing w:after="0" w:line="280"/>
              <w:jc w:val="both"/>
            </w:pPr>
            <w:r>
              <w:rPr>
                <w:rFonts w:ascii="Archivo" w:cs="Archivo" w:eastAsia="Archivo" w:hAnsi="Archivo"/>
                <w:color w:val="0A2540"/>
                <w:sz w:val="19"/>
                <w:szCs w:val="19"/>
              </w:rPr>
              <w:t xml:space="preserve">«Debe valorarse [...] si el perjudicado queda plenamente resarcido del perjuicio sufrido con la indemnización recibida [...], siendo razonable considerar que no va a encontrar satisfacción total de su perjuicio si se le obliga a mantener un cuarto de baño con azulejos de diferente tonalidad [...]. Se evidencia que se sustituyeron más azulejos de los afectados al no existir azulejos iguales en el mercado, así mismo no sólo es necesario el pintar el trozo afectado por la filtración pues para dejar uniforme una pared es necesario la pintura de todo el espacio [...]. El perito también manifestó [...] que esa valoración se ajustaba al valor de reposición de los elementos dañados y a la íntegra sustitución de todos los azulejos del cuarto de baño pues actualmente no era posible adquirir azulejos de igual clase que los que ya estaban colocados.»</w:t>
            </w:r>
          </w:p>
        </w:tc>
      </w:tr>
    </w:tbl>
    <w:p>
      <w:pPr>
        <w:spacing w:after="180" w:line="300"/>
        <w:jc w:val="both"/>
      </w:pPr>
      <w:r>
        <w:rPr>
          <w:rFonts w:ascii="Archivo" w:cs="Archivo" w:eastAsia="Archivo" w:hAnsi="Archivo"/>
          <w:sz w:val="21"/>
          <w:szCs w:val="21"/>
        </w:rPr>
        <w:t xml:space="preserve">La propia resolución matiza, no obstante, que este criterio no ampara una extensión indiscriminada de la reparación: cuando la sustitución completa del conjunto resulta desproporcionada en relación con el daño real (por ejemplo, levantar la totalidad de un solado extenso para reparar una zona puntual y de escasa entidad visual, en un espacio de uso secundario como una cochera), los tribunales optan por una indemnización prudencial y específica por el concepto de daño estético, en lugar de la sustitución íntegra del elemento. La aplicación práctica de este criterio exige, en consecuencia, una valoración pericial que pondere tanto la imposibilidad real de encontrar materiales idénticos como la proporcionalidad de la solución propuesta en relación con la entidad del daño y la relevancia estética del espacio afectado.</w:t>
      </w:r>
    </w:p>
    <w:p>
      <w:pPr>
        <w:pStyle w:val="Heading2"/>
        <w:spacing w:after="160" w:before="400"/>
      </w:pPr>
      <w:r>
        <w:rPr>
          <w:rFonts w:ascii="Fraunces" w:cs="Fraunces" w:eastAsia="Fraunces" w:hAnsi="Fraunces"/>
          <w:b/>
          <w:bCs/>
          <w:color w:val="0A2540"/>
          <w:sz w:val="24"/>
          <w:szCs w:val="24"/>
        </w:rPr>
        <w:t xml:space="preserve">12.3. Gastos de alojamiento provisional e inhabitabilidad</w:t>
      </w:r>
    </w:p>
    <w:p>
      <w:pPr>
        <w:spacing w:after="180" w:line="300"/>
        <w:jc w:val="both"/>
      </w:pPr>
      <w:r>
        <w:rPr>
          <w:rFonts w:ascii="Archivo" w:cs="Archivo" w:eastAsia="Archivo" w:hAnsi="Archivo"/>
          <w:sz w:val="21"/>
          <w:szCs w:val="21"/>
        </w:rPr>
        <w:t xml:space="preserve">Cuando el siniestro deja la vivienda objetivamente inhabitable —por ejemplo, tras un incendio de entidad o una inundación que afecte a instalaciones esenciales—, la práctica totalidad de las pólizas de hogar incorporan una garantía de gastos de alojamiento provisional, sujeta normalmente a un límite temporal (por ejemplo, mientras duren las obras de reparación, hasta un máximo de meses) y a un límite cuantitativo diario o mensual. La activación de esta garantía exige, en la práctica, acreditar la imposibilidad objetiva de habitar la vivienda —no la mera incomodidad de convivir con obras—, extremo que conviene documentar desde el primer momento con el informe pericial inicial y, en su caso, con un certificado técnico o municipal sobre las condiciones de habitabilidad del inmueble.</w:t>
      </w:r>
    </w:p>
    <w:p>
      <w:pPr>
        <w:pStyle w:val="Heading2"/>
        <w:spacing w:after="160" w:before="400"/>
      </w:pPr>
      <w:r>
        <w:rPr>
          <w:rFonts w:ascii="Fraunces" w:cs="Fraunces" w:eastAsia="Fraunces" w:hAnsi="Fraunces"/>
          <w:b/>
          <w:bCs/>
          <w:color w:val="0A2540"/>
          <w:sz w:val="24"/>
          <w:szCs w:val="24"/>
        </w:rPr>
        <w:t xml:space="preserve">12.4. Pérdida de alquileres y rentas</w:t>
      </w:r>
    </w:p>
    <w:p>
      <w:pPr>
        <w:spacing w:after="180" w:line="300"/>
        <w:jc w:val="both"/>
      </w:pPr>
      <w:r>
        <w:rPr>
          <w:rFonts w:ascii="Archivo" w:cs="Archivo" w:eastAsia="Archivo" w:hAnsi="Archivo"/>
          <w:sz w:val="21"/>
          <w:szCs w:val="21"/>
        </w:rPr>
        <w:t xml:space="preserve">Cuando el inmueble siniestrado se encuentra arrendado, la inhabitabilidad temporal genera, además del perjuicio del ocupante (cubierto, en su caso, por su propia garantía de alojamiento si es el arrendatario quien la contrató), un perjuicio económico distinto para el propietario-arrendador: la pérdida de la renta que dejará de percibir mientras dure la reparación. Esta partida, de naturaleza análoga al lucro cesante, solo está cubierta si la póliza del propietario incorpora expresamente una garantía de pérdida de alquileres —de contratación relativamente frecuente en viviendas destinadas a arrendamiento, pero no universal en las pólizas de vivienda habitual—, cuya existencia y límites deben verificarse específicamente en cada caso, sin poder presumirse incluida dentro de la cobertura general de daños al continente.</w:t>
      </w:r>
    </w:p>
    <w:p>
      <w:pPr>
        <w:pStyle w:val="Heading2"/>
        <w:spacing w:after="160" w:before="400"/>
      </w:pPr>
      <w:r>
        <w:rPr>
          <w:rFonts w:ascii="Fraunces" w:cs="Fraunces" w:eastAsia="Fraunces" w:hAnsi="Fraunces"/>
          <w:b/>
          <w:bCs/>
          <w:color w:val="0A2540"/>
          <w:sz w:val="24"/>
          <w:szCs w:val="24"/>
        </w:rPr>
        <w:t xml:space="preserve">12.5.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sobre partidas indirectas</w:t>
            </w:r>
          </w:p>
          <w:p>
            <w:pPr>
              <w:pStyle w:val="ListParagraph"/>
              <w:numPr>
                <w:ilvl w:val="0"/>
                <w:numId w:val="2"/>
              </w:numPr>
              <w:spacing w:after="80" w:line="280"/>
            </w:pPr>
            <w:r>
              <w:rPr>
                <w:rFonts w:ascii="Archivo" w:cs="Archivo" w:eastAsia="Archivo" w:hAnsi="Archivo"/>
                <w:sz w:val="19"/>
                <w:szCs w:val="19"/>
              </w:rPr>
              <w:t xml:space="preserve">Reclamar expresamente el daño estético como partida autónoma cuando la reparación puntual deje un resultado visualmente discordante, con apoyo pericial sobre la imposibilidad de encontrar materiales idénticos (SAP Alicante 614/2020, ROJ: SAP A 614/2020).</w:t>
            </w:r>
          </w:p>
          <w:p>
            <w:pPr>
              <w:pStyle w:val="ListParagraph"/>
              <w:numPr>
                <w:ilvl w:val="0"/>
                <w:numId w:val="2"/>
              </w:numPr>
              <w:spacing w:after="80" w:line="280"/>
            </w:pPr>
            <w:r>
              <w:rPr>
                <w:rFonts w:ascii="Archivo" w:cs="Archivo" w:eastAsia="Archivo" w:hAnsi="Archivo"/>
                <w:sz w:val="19"/>
                <w:szCs w:val="19"/>
              </w:rPr>
              <w:t xml:space="preserve">Ponderar la proporcionalidad entre la sustitución completa de un elemento y la entidad real del daño, para evitar el riesgo de enriquecimiento injusto que limitaría la reclamación.</w:t>
            </w:r>
          </w:p>
          <w:p>
            <w:pPr>
              <w:pStyle w:val="ListParagraph"/>
              <w:numPr>
                <w:ilvl w:val="0"/>
                <w:numId w:val="2"/>
              </w:numPr>
              <w:spacing w:after="80" w:line="280"/>
            </w:pPr>
            <w:r>
              <w:rPr>
                <w:rFonts w:ascii="Archivo" w:cs="Archivo" w:eastAsia="Archivo" w:hAnsi="Archivo"/>
                <w:sz w:val="19"/>
                <w:szCs w:val="19"/>
              </w:rPr>
              <w:t xml:space="preserve">Verificar la existencia, límite temporal y cuantitativo de la garantía de gastos de alojamiento, y documentar la inhabitabilidad objetiva del inmueble desde el primer momento.</w:t>
            </w:r>
          </w:p>
          <w:p>
            <w:pPr>
              <w:pStyle w:val="ListParagraph"/>
              <w:numPr>
                <w:ilvl w:val="0"/>
                <w:numId w:val="2"/>
              </w:numPr>
              <w:spacing w:after="80" w:line="280"/>
            </w:pPr>
            <w:r>
              <w:rPr>
                <w:rFonts w:ascii="Archivo" w:cs="Archivo" w:eastAsia="Archivo" w:hAnsi="Archivo"/>
                <w:sz w:val="19"/>
                <w:szCs w:val="19"/>
              </w:rPr>
              <w:t xml:space="preserve">Comprobar expresamente si la póliza del propietario-arrendador incluye garantía de pérdida de alquileres antes de asumir que está cubierta.</w:t>
            </w:r>
          </w:p>
        </w:tc>
      </w:tr>
    </w:tbl>
    <w:p>
      <w:pPr>
        <w:pStyle w:val="Heading2"/>
        <w:spacing w:after="160" w:before="400"/>
      </w:pPr>
      <w:r>
        <w:rPr>
          <w:rFonts w:ascii="Fraunces" w:cs="Fraunces" w:eastAsia="Fraunces" w:hAnsi="Fraunces"/>
          <w:b/>
          <w:bCs/>
          <w:color w:val="0A2540"/>
          <w:sz w:val="24"/>
          <w:szCs w:val="24"/>
        </w:rPr>
        <w:t xml:space="preserve">12.6.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partidas puede reclamar además de la reparación</w:t>
            </w:r>
          </w:p>
          <w:p>
            <w:pPr>
              <w:pStyle w:val="ListParagraph"/>
              <w:numPr>
                <w:ilvl w:val="0"/>
                <w:numId w:val="2"/>
              </w:numPr>
              <w:spacing w:after="80" w:line="280"/>
            </w:pPr>
            <w:r>
              <w:rPr>
                <w:rFonts w:ascii="Archivo" w:cs="Archivo" w:eastAsia="Archivo" w:hAnsi="Archivo"/>
                <w:sz w:val="19"/>
                <w:szCs w:val="19"/>
              </w:rPr>
              <w:t xml:space="preserve">Si tras un siniestro parcial (por ejemplo, en el baño o la cocina) no es posible encontrar azulejos o materiales idénticos, puede tener derecho a que se indemnice el desajuste estético, no solo la zona estrictamente dañada.</w:t>
            </w:r>
          </w:p>
          <w:p>
            <w:pPr>
              <w:pStyle w:val="ListParagraph"/>
              <w:numPr>
                <w:ilvl w:val="0"/>
                <w:numId w:val="2"/>
              </w:numPr>
              <w:spacing w:after="80" w:line="280"/>
            </w:pPr>
            <w:r>
              <w:rPr>
                <w:rFonts w:ascii="Archivo" w:cs="Archivo" w:eastAsia="Archivo" w:hAnsi="Archivo"/>
                <w:sz w:val="19"/>
                <w:szCs w:val="19"/>
              </w:rPr>
              <w:t xml:space="preserve">Si su vivienda queda inhabitable, revise si su póliza cubre gastos de alojamiento provisional y durante cuánto tiempo.</w:t>
            </w:r>
          </w:p>
          <w:p>
            <w:pPr>
              <w:pStyle w:val="ListParagraph"/>
              <w:numPr>
                <w:ilvl w:val="0"/>
                <w:numId w:val="2"/>
              </w:numPr>
              <w:spacing w:after="80" w:line="280"/>
            </w:pPr>
            <w:r>
              <w:rPr>
                <w:rFonts w:ascii="Archivo" w:cs="Archivo" w:eastAsia="Archivo" w:hAnsi="Archivo"/>
                <w:sz w:val="19"/>
                <w:szCs w:val="19"/>
              </w:rPr>
              <w:t xml:space="preserve">Si alquila su vivienda y esta queda inhabitable por el siniestro, compruebe si su póliza cubre la pérdida de la renta que dejará de percibir: no siempre está incluida por defecto.</w:t>
            </w:r>
          </w:p>
        </w:tc>
      </w:tr>
    </w:tbl>
    <w:p>
      <w:pPr>
        <w:pStyle w:val="Heading2"/>
        <w:spacing w:after="160" w:before="400"/>
      </w:pPr>
      <w:r>
        <w:rPr>
          <w:rFonts w:ascii="Fraunces" w:cs="Fraunces" w:eastAsia="Fraunces" w:hAnsi="Fraunces"/>
          <w:b/>
          <w:bCs/>
          <w:color w:val="0A2540"/>
          <w:sz w:val="24"/>
          <w:szCs w:val="24"/>
        </w:rPr>
        <w:t xml:space="preserve">12.7. Checklist: partidas indemnizables más allá del daño material directo</w:t>
      </w:r>
    </w:p>
    <w:p>
      <w:pPr>
        <w:pStyle w:val="ListParagraph"/>
        <w:numPr>
          <w:ilvl w:val="0"/>
          <w:numId w:val="2"/>
        </w:numPr>
        <w:spacing w:after="100" w:line="290"/>
      </w:pPr>
      <w:r>
        <w:rPr>
          <w:rFonts w:ascii="Archivo" w:cs="Archivo" w:eastAsia="Archivo" w:hAnsi="Archivo"/>
          <w:sz w:val="21"/>
          <w:szCs w:val="21"/>
        </w:rPr>
        <w:t xml:space="preserve">1. ¿Existe desajuste estético tras la reparación puntual del elemento dañado?</w:t>
      </w:r>
    </w:p>
    <w:p>
      <w:pPr>
        <w:pStyle w:val="ListParagraph"/>
        <w:numPr>
          <w:ilvl w:val="0"/>
          <w:numId w:val="2"/>
        </w:numPr>
        <w:spacing w:after="100" w:line="290"/>
      </w:pPr>
      <w:r>
        <w:rPr>
          <w:rFonts w:ascii="Archivo" w:cs="Archivo" w:eastAsia="Archivo" w:hAnsi="Archivo"/>
          <w:sz w:val="21"/>
          <w:szCs w:val="21"/>
        </w:rPr>
        <w:t xml:space="preserve">2. ¿Es posible encontrar en el mercado materiales idénticos a los dañados?</w:t>
      </w:r>
    </w:p>
    <w:p>
      <w:pPr>
        <w:pStyle w:val="ListParagraph"/>
        <w:numPr>
          <w:ilvl w:val="0"/>
          <w:numId w:val="2"/>
        </w:numPr>
        <w:spacing w:after="100" w:line="290"/>
      </w:pPr>
      <w:r>
        <w:rPr>
          <w:rFonts w:ascii="Archivo" w:cs="Archivo" w:eastAsia="Archivo" w:hAnsi="Archivo"/>
          <w:sz w:val="21"/>
          <w:szCs w:val="21"/>
        </w:rPr>
        <w:t xml:space="preserve">3. ¿Resulta proporcionada la sustitución completa del elemento en relación con la entidad del daño?</w:t>
      </w:r>
    </w:p>
    <w:p>
      <w:pPr>
        <w:pStyle w:val="ListParagraph"/>
        <w:numPr>
          <w:ilvl w:val="0"/>
          <w:numId w:val="2"/>
        </w:numPr>
        <w:spacing w:after="100" w:line="290"/>
      </w:pPr>
      <w:r>
        <w:rPr>
          <w:rFonts w:ascii="Archivo" w:cs="Archivo" w:eastAsia="Archivo" w:hAnsi="Archivo"/>
          <w:sz w:val="21"/>
          <w:szCs w:val="21"/>
        </w:rPr>
        <w:t xml:space="preserve">4. ¿Queda la vivienda objetivamente inhabitable? ¿Existe prueba técnica de ello?</w:t>
      </w:r>
    </w:p>
    <w:p>
      <w:pPr>
        <w:pStyle w:val="ListParagraph"/>
        <w:numPr>
          <w:ilvl w:val="0"/>
          <w:numId w:val="2"/>
        </w:numPr>
        <w:spacing w:after="100" w:line="290"/>
      </w:pPr>
      <w:r>
        <w:rPr>
          <w:rFonts w:ascii="Archivo" w:cs="Archivo" w:eastAsia="Archivo" w:hAnsi="Archivo"/>
          <w:sz w:val="21"/>
          <w:szCs w:val="21"/>
        </w:rPr>
        <w:t xml:space="preserve">5. ¿Cubre la póliza gastos de alojamiento provisional, con qué límite temporal y cuantitativo?</w:t>
      </w:r>
    </w:p>
    <w:p>
      <w:pPr>
        <w:pStyle w:val="ListParagraph"/>
        <w:numPr>
          <w:ilvl w:val="0"/>
          <w:numId w:val="2"/>
        </w:numPr>
        <w:spacing w:after="100" w:line="290"/>
      </w:pPr>
      <w:r>
        <w:rPr>
          <w:rFonts w:ascii="Archivo" w:cs="Archivo" w:eastAsia="Archivo" w:hAnsi="Archivo"/>
          <w:sz w:val="21"/>
          <w:szCs w:val="21"/>
        </w:rPr>
        <w:t xml:space="preserve">6. Si el inmueble está arrendado, ¿existe garantía específica de pérdida de alquileres?</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Revista Española de Seguros (RES), Sección Española de la Asociación Internacional de Derecho de Seguros (SEAIDA), Madrid.</w:t>
      </w:r>
    </w:p>
    <w:p>
      <w:pPr>
        <w:pStyle w:val="Heading1"/>
        <w:pageBreakBefore/>
        <w:spacing w:after="300" w:before="200"/>
      </w:pPr>
      <w:r>
        <w:rPr>
          <w:rFonts w:ascii="Archivo" w:cs="Archivo" w:eastAsia="Archivo" w:hAnsi="Archivo"/>
          <w:b/>
          <w:bCs/>
          <w:color w:val="1B6DF0"/>
          <w:sz w:val="22"/>
          <w:szCs w:val="22"/>
        </w:rPr>
        <w:t xml:space="preserve">Capítulo 13. </w:t>
      </w:r>
      <w:r>
        <w:rPr>
          <w:rFonts w:ascii="Fraunces" w:cs="Fraunces" w:eastAsia="Fraunces" w:hAnsi="Fraunces"/>
          <w:b/>
          <w:bCs/>
          <w:color w:val="0A2540"/>
          <w:sz w:val="30"/>
          <w:szCs w:val="30"/>
        </w:rPr>
        <w:t xml:space="preserve">Responsabilidad civil de la vida privada y del cabeza de familia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9.1. El seguro de responsabilidad civil en la póliza de hogar</w:t>
            </w:r>
          </w:p>
          <w:p>
            <w:pPr>
              <w:spacing w:after="40" w:line="260"/>
            </w:pPr>
            <w:r>
              <w:rPr>
                <w:rFonts w:ascii="Archivo" w:cs="Archivo" w:eastAsia="Archivo" w:hAnsi="Archivo"/>
                <w:sz w:val="18"/>
                <w:szCs w:val="18"/>
              </w:rPr>
              <w:t xml:space="preserve">9.2. La dirección jurídica del siniestro por el asegurador (art. 74 LCS)</w:t>
            </w:r>
          </w:p>
          <w:p>
            <w:pPr>
              <w:spacing w:after="40" w:line="260"/>
            </w:pPr>
            <w:r>
              <w:rPr>
                <w:rFonts w:ascii="Archivo" w:cs="Archivo" w:eastAsia="Archivo" w:hAnsi="Archivo"/>
                <w:sz w:val="18"/>
                <w:szCs w:val="18"/>
              </w:rPr>
              <w:t xml:space="preserve">9.3. La acción directa del perjudicado (art. 76 LCS)</w:t>
            </w:r>
          </w:p>
          <w:p>
            <w:pPr>
              <w:spacing w:after="40" w:line="260"/>
            </w:pPr>
            <w:r>
              <w:rPr>
                <w:rFonts w:ascii="Archivo" w:cs="Archivo" w:eastAsia="Archivo" w:hAnsi="Archivo"/>
                <w:sz w:val="18"/>
                <w:szCs w:val="18"/>
              </w:rPr>
              <w:t xml:space="preserve">9.4. La responsabilidad civil por hecho ajeno: hijos, dependientes y mascotas (art. 1903 CC)</w:t>
            </w:r>
          </w:p>
          <w:p>
            <w:pPr>
              <w:spacing w:after="40" w:line="260"/>
            </w:pPr>
            <w:r>
              <w:rPr>
                <w:rFonts w:ascii="Archivo" w:cs="Archivo" w:eastAsia="Archivo" w:hAnsi="Archivo"/>
                <w:sz w:val="18"/>
                <w:szCs w:val="18"/>
              </w:rPr>
              <w:t xml:space="preserve">9.5. Inoponibilidad del dolo del asegurado al tercero perjudicado</w:t>
            </w:r>
          </w:p>
          <w:p>
            <w:pPr>
              <w:spacing w:after="40" w:line="260"/>
            </w:pPr>
            <w:r>
              <w:rPr>
                <w:rFonts w:ascii="Archivo" w:cs="Archivo" w:eastAsia="Archivo" w:hAnsi="Archivo"/>
                <w:sz w:val="18"/>
                <w:szCs w:val="18"/>
              </w:rPr>
              <w:t xml:space="preserve">9.6. Ficha para el profesional</w:t>
            </w:r>
          </w:p>
          <w:p>
            <w:pPr>
              <w:spacing w:after="40" w:line="260"/>
            </w:pPr>
            <w:r>
              <w:rPr>
                <w:rFonts w:ascii="Archivo" w:cs="Archivo" w:eastAsia="Archivo" w:hAnsi="Archivo"/>
                <w:sz w:val="18"/>
                <w:szCs w:val="18"/>
              </w:rPr>
              <w:t xml:space="preserve">9.7. Ficha para el asegurado</w:t>
            </w:r>
          </w:p>
          <w:p>
            <w:pPr>
              <w:spacing w:after="40" w:line="260"/>
            </w:pPr>
            <w:r>
              <w:rPr>
                <w:rFonts w:ascii="Archivo" w:cs="Archivo" w:eastAsia="Archivo" w:hAnsi="Archivo"/>
                <w:sz w:val="18"/>
                <w:szCs w:val="18"/>
              </w:rPr>
              <w:t xml:space="preserve">9.8. Checklist: gestión de una reclamación de responsabilidad civil del hogar</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analiza la garantía de responsabilidad civil de la vida privada o del cabeza de familia, presente en la práctica totalidad de las pólizas de hogar, que traslada al asegurado el régimen especial de los arts. 73 a 76 LCS: dirección jurídica del siniestro por el asegurador, acción directa del perjudicado e inoponibilidad a este de las excepciones personales del asegurador frente al asegurado, incluida la propia mala fe de este último, conforme a la reciente doctrina de la Sala Primera aplicada precisamente a un seguro multirriesgo del hogar.</w:t>
            </w:r>
          </w:p>
          <w:p>
            <w:pPr>
              <w:spacing w:after="160"/>
            </w:pPr>
            <w:r>
              <w:rPr>
                <w:rFonts w:ascii="Archivo" w:cs="Archivo" w:eastAsia="Archivo" w:hAnsi="Archivo"/>
                <w:b/>
                <w:bCs/>
                <w:sz w:val="17"/>
                <w:szCs w:val="17"/>
              </w:rPr>
              <w:t xml:space="preserve">Palabras clave: responsabilidad civil, cabeza de familia, art. 73 LCS, art. 76 LCS, acción directa, inoponibilidad, dolo.</w:t>
            </w:r>
          </w:p>
          <w:p>
            <w:pPr>
              <w:spacing w:after="100"/>
              <w:jc w:val="both"/>
            </w:pPr>
            <w:r>
              <w:rPr>
                <w:rFonts w:ascii="Archivo" w:cs="Archivo" w:eastAsia="Archivo" w:hAnsi="Archivo"/>
                <w:i/>
                <w:iCs/>
                <w:sz w:val="18"/>
                <w:szCs w:val="18"/>
              </w:rPr>
              <w:t xml:space="preserve">This chapter examines the private/family liability cover present in virtually every homeowners' policy, which imports the special regime of Articles 73 to 76 of the Insurance Contract Act: the insurer's conduct of the claim's legal defence, the injured third party's direct action, and the inopposability to that party of the insurer's personal defences against the insured — including the insured's own bad faith — under recent Supreme Court case law applied precisely to a homeowners' multi-risk policy.</w:t>
            </w:r>
          </w:p>
          <w:p>
            <w:pPr>
              <w:spacing w:after="0"/>
            </w:pPr>
            <w:r>
              <w:rPr>
                <w:rFonts w:ascii="Archivo" w:cs="Archivo" w:eastAsia="Archivo" w:hAnsi="Archivo"/>
                <w:b/>
                <w:bCs/>
                <w:sz w:val="17"/>
                <w:szCs w:val="17"/>
              </w:rPr>
              <w:t xml:space="preserve">Keywords: liability insurance, family liability cover, direct action, inopposability of defences, wilful misconduct.</w:t>
            </w:r>
          </w:p>
        </w:tc>
      </w:tr>
    </w:tbl>
    <w:p>
      <w:pPr>
        <w:spacing w:after="200"/>
      </w:pPr>
    </w:p>
    <w:p>
      <w:pPr>
        <w:pStyle w:val="Heading2"/>
        <w:spacing w:after="160" w:before="400"/>
      </w:pPr>
      <w:r>
        <w:rPr>
          <w:rFonts w:ascii="Fraunces" w:cs="Fraunces" w:eastAsia="Fraunces" w:hAnsi="Fraunces"/>
          <w:b/>
          <w:bCs/>
          <w:color w:val="0A2540"/>
          <w:sz w:val="24"/>
          <w:szCs w:val="24"/>
        </w:rPr>
        <w:t xml:space="preserve">9.1. El seguro de responsabilidad civil en la póliza de hogar</w:t>
      </w:r>
    </w:p>
    <w:p>
      <w:pPr>
        <w:spacing w:after="180" w:line="300"/>
        <w:jc w:val="both"/>
      </w:pPr>
      <w:r>
        <w:rPr>
          <w:rFonts w:ascii="Archivo" w:cs="Archivo" w:eastAsia="Archivo" w:hAnsi="Archivo"/>
          <w:sz w:val="21"/>
          <w:szCs w:val="21"/>
        </w:rPr>
        <w:t xml:space="preserve">Prácticamente ninguna póliza de hogar española prescinde de una garantía de responsabilidad civil de la vida privada o del cabeza de familia, que cubre la responsabilidad extracontractual en que puedan incurrir el asegurado y las personas con él convivientes en su vida privada, distinta y adicional a la cobertura de daños propios estudiada en los capítulos anteriores. Esta garantía traslada al contrato el régimen especial que la LCS reserva al seguro de responsabilidad civil en sus arts. 73 a 76</w:t>
      </w:r>
      <w:r>
        <w:rPr>
          <w:rStyle w:val="FootnoteReference"/>
        </w:rPr>
        <w:footnoteReference w:id="26"/>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73 LCS</w:t>
            </w:r>
          </w:p>
          <w:p>
            <w:pPr>
              <w:spacing w:after="0" w:line="280"/>
              <w:jc w:val="both"/>
            </w:pPr>
            <w:r>
              <w:rPr>
                <w:rFonts w:ascii="IBM Plex Mono" w:cs="IBM Plex Mono" w:eastAsia="IBM Plex Mono" w:hAnsi="IBM Plex Mono"/>
                <w:i/>
                <w:iCs/>
                <w:color w:val="0A2540"/>
                <w:sz w:val="18"/>
                <w:szCs w:val="18"/>
              </w:rPr>
              <w:t xml:space="preserve">Por el seguro de responsabilidad civil el asegurador se obliga, dentro de los límites establecidos en la Ley y en el contrato, a cubrir el riesgo del nacimiento a cargo del asegurado de la obligación de indemnizar a un tercero los daños y perjuicios causados por un hecho previsto en el contrato de cuyas consecuencias sea civilmente responsable el asegurado, conforme a derecho.</w:t>
            </w:r>
          </w:p>
        </w:tc>
      </w:tr>
    </w:tbl>
    <w:p>
      <w:pPr>
        <w:spacing w:after="180" w:line="300"/>
        <w:jc w:val="both"/>
      </w:pPr>
      <w:r>
        <w:rPr>
          <w:rFonts w:ascii="Archivo" w:cs="Archivo" w:eastAsia="Archivo" w:hAnsi="Archivo"/>
          <w:sz w:val="21"/>
          <w:szCs w:val="21"/>
        </w:rPr>
        <w:t xml:space="preserve">La cláusula de definición de «asegurados» a efectos de esta garantía es, en la práctica del hogar, de importancia capital: suele extenderse, más allá del tomador, al cónyuge o pareja, a los hijos y demás familiares convivientes, e incluso, en ocasiones, al personal doméstico al servicio del hogar, configurando lo que la práctica del sector denomina «responsabilidad civil del cabeza de familia», precisamente porque cubre la responsabilidad de todo el núcleo de convivencia y no solo la del tomador individual.</w:t>
      </w:r>
    </w:p>
    <w:p>
      <w:pPr>
        <w:pStyle w:val="Heading2"/>
        <w:spacing w:after="160" w:before="400"/>
      </w:pPr>
      <w:r>
        <w:rPr>
          <w:rFonts w:ascii="Fraunces" w:cs="Fraunces" w:eastAsia="Fraunces" w:hAnsi="Fraunces"/>
          <w:b/>
          <w:bCs/>
          <w:color w:val="0A2540"/>
          <w:sz w:val="24"/>
          <w:szCs w:val="24"/>
        </w:rPr>
        <w:t xml:space="preserve">9.2. La dirección jurídica del siniestro por el asegurador</w:t>
      </w:r>
    </w:p>
    <w:p>
      <w:pPr>
        <w:spacing w:after="180" w:line="300"/>
        <w:jc w:val="both"/>
      </w:pPr>
      <w:r>
        <w:rPr>
          <w:rFonts w:ascii="Archivo" w:cs="Archivo" w:eastAsia="Archivo" w:hAnsi="Archivo"/>
          <w:sz w:val="21"/>
          <w:szCs w:val="21"/>
        </w:rPr>
        <w:t xml:space="preserve">Producida una reclamación de responsabilidad civil, el artículo 74 LCS atribuye al asegurador, salvo pacto en contrario, la dirección jurídica de la defensa frente al perjudicado: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74 LCS</w:t>
            </w:r>
          </w:p>
          <w:p>
            <w:pPr>
              <w:spacing w:after="0" w:line="280"/>
              <w:jc w:val="both"/>
            </w:pPr>
            <w:r>
              <w:rPr>
                <w:rFonts w:ascii="IBM Plex Mono" w:cs="IBM Plex Mono" w:eastAsia="IBM Plex Mono" w:hAnsi="IBM Plex Mono"/>
                <w:i/>
                <w:iCs/>
                <w:color w:val="0A2540"/>
                <w:sz w:val="18"/>
                <w:szCs w:val="18"/>
              </w:rPr>
              <w:t xml:space="preserve">Salvo pacto en contrario, el asegurador asumirá la dirección jurídica frente a la reclamación del perjudicado, y serán de su cuenta los gastos de defensa que se ocasionen. El asegurado deberá prestar la colaboración necesaria en orden a la dirección jurídica asumida por el asegurador. No obstante lo dispuesto en el párrafo anterior, cuando quien reclame esté también asegurado con el mismo asegurador o exista algún otro posible conflicto de intereses, éste comunicará inmediatamente al asegurado la existencia de esas circunstancias [...]. El asegurado podrá optar entre el mantenimiento de la dirección jurídica por el asegurador o confiar su propia defensa a otra persona. En este último caso, el asegurador quedará obligado a abonar los gastos de tal dirección jurídica hasta el límite pactado en la póliza.</w:t>
            </w:r>
          </w:p>
        </w:tc>
      </w:tr>
    </w:tbl>
    <w:p>
      <w:pPr>
        <w:spacing w:after="180" w:line="300"/>
        <w:jc w:val="both"/>
      </w:pPr>
      <w:r>
        <w:rPr>
          <w:rFonts w:ascii="Archivo" w:cs="Archivo" w:eastAsia="Archivo" w:hAnsi="Archivo"/>
          <w:sz w:val="21"/>
          <w:szCs w:val="21"/>
        </w:rPr>
        <w:t xml:space="preserve">La regla de conflicto de intereses del párrafo segundo tiene particular relevancia en el ámbito doméstico: si el perjudicado por el siniestro (por ejemplo, un vecino dañado por una filtración de agua imputable al asegurado) está asegurado con la misma compañía, el asegurador debe comunicarlo de inmediato al asegurado, que puede entonces optar por una defensa independiente, con cargo a la aseguradora hasta el límite pactado en póliza.</w:t>
      </w:r>
    </w:p>
    <w:p>
      <w:pPr>
        <w:pStyle w:val="Heading2"/>
        <w:spacing w:after="160" w:before="400"/>
      </w:pPr>
      <w:r>
        <w:rPr>
          <w:rFonts w:ascii="Fraunces" w:cs="Fraunces" w:eastAsia="Fraunces" w:hAnsi="Fraunces"/>
          <w:b/>
          <w:bCs/>
          <w:color w:val="0A2540"/>
          <w:sz w:val="24"/>
          <w:szCs w:val="24"/>
        </w:rPr>
        <w:t xml:space="preserve">9.3. La acción directa del perjudicado</w:t>
      </w:r>
    </w:p>
    <w:p>
      <w:pPr>
        <w:spacing w:after="180" w:line="300"/>
        <w:jc w:val="both"/>
      </w:pPr>
      <w:r>
        <w:rPr>
          <w:rFonts w:ascii="Archivo" w:cs="Archivo" w:eastAsia="Archivo" w:hAnsi="Archivo"/>
          <w:sz w:val="21"/>
          <w:szCs w:val="21"/>
        </w:rPr>
        <w:t xml:space="preserve">El precepto más relevante en la práctica litigiosa de esta cobertura es, sin duda, el artículo 76 LCS, que reconoce al tercero perjudicado —no asegurado, ni tomador, ni beneficiario en sentido técnico— una acción directa contra el asegurador, dotada de un régimen de oponibilidad de excepciones singularmente restrictivo</w:t>
      </w:r>
      <w:r>
        <w:rPr>
          <w:rStyle w:val="FootnoteReference"/>
        </w:rPr>
        <w:footnoteReference w:id="27"/>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76 LCS</w:t>
            </w:r>
          </w:p>
          <w:p>
            <w:pPr>
              <w:spacing w:after="0" w:line="280"/>
              <w:jc w:val="both"/>
            </w:pPr>
            <w:r>
              <w:rPr>
                <w:rFonts w:ascii="IBM Plex Mono" w:cs="IBM Plex Mono" w:eastAsia="IBM Plex Mono" w:hAnsi="IBM Plex Mono"/>
                <w:i/>
                <w:iCs/>
                <w:color w:val="0A2540"/>
                <w:sz w:val="18"/>
                <w:szCs w:val="18"/>
              </w:rPr>
              <w:t xml:space="preserve">El perjudicado o sus herederos tendrán acción directa contra el asegurador para exigirle el cumplimiento de la obligación de indemnizar, sin perjuicio del derecho del asegurador a repetir contra el asegurado, en el caso de que sea debido a conducta dolosa de éste, el daño o perjuicio causado a tercero. La acción directa es inmune a las excepciones que puedan corresponder al asegurador contra el asegurado. El asegurador puede, no obstante, oponer la culpa exclusiva del perjudicado y las excepciones personales que tenga contra éste.</w:t>
            </w:r>
          </w:p>
        </w:tc>
      </w:tr>
    </w:tbl>
    <w:p>
      <w:pPr>
        <w:spacing w:after="180" w:line="300"/>
        <w:jc w:val="both"/>
      </w:pPr>
      <w:r>
        <w:rPr>
          <w:rFonts w:ascii="Archivo" w:cs="Archivo" w:eastAsia="Archivo" w:hAnsi="Archivo"/>
          <w:sz w:val="21"/>
          <w:szCs w:val="21"/>
        </w:rPr>
        <w:t xml:space="preserve">La «inmunidad» de la acción directa frente a las excepciones que el asegurador tendría frente a su propio asegurado —por ejemplo, el impago de la prima, una reserva o inexactitud en la declaración del riesgo, o la propia mala fe del asegurado en la causación del daño— constituye el rasgo más distintivo de esta acción y la principal fuente de litigiosidad sobre su alcance, según se desarrolla en el epígrafe siguiente.</w:t>
      </w:r>
    </w:p>
    <w:p>
      <w:pPr>
        <w:pStyle w:val="Heading2"/>
        <w:spacing w:after="160" w:before="400"/>
      </w:pPr>
      <w:r>
        <w:rPr>
          <w:rFonts w:ascii="Fraunces" w:cs="Fraunces" w:eastAsia="Fraunces" w:hAnsi="Fraunces"/>
          <w:b/>
          <w:bCs/>
          <w:color w:val="0A2540"/>
          <w:sz w:val="24"/>
          <w:szCs w:val="24"/>
        </w:rPr>
        <w:t xml:space="preserve">9.4. La responsabilidad civil por hecho ajeno: hijos, dependientes y mascotas</w:t>
      </w:r>
    </w:p>
    <w:p>
      <w:pPr>
        <w:spacing w:after="180" w:line="300"/>
        <w:jc w:val="both"/>
      </w:pPr>
      <w:r>
        <w:rPr>
          <w:rFonts w:ascii="Archivo" w:cs="Archivo" w:eastAsia="Archivo" w:hAnsi="Archivo"/>
          <w:sz w:val="21"/>
          <w:szCs w:val="21"/>
        </w:rPr>
        <w:t xml:space="preserve">La garantía de responsabilidad civil del hogar opera con frecuencia en conexión con los supuestos de responsabilidad por hecho ajeno del artículo 1903 CC, particularmente relevante en el contexto familiar:</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1903 CC (extracto)</w:t>
            </w:r>
          </w:p>
          <w:p>
            <w:pPr>
              <w:spacing w:after="0" w:line="280"/>
              <w:jc w:val="both"/>
            </w:pPr>
            <w:r>
              <w:rPr>
                <w:rFonts w:ascii="IBM Plex Mono" w:cs="IBM Plex Mono" w:eastAsia="IBM Plex Mono" w:hAnsi="IBM Plex Mono"/>
                <w:i/>
                <w:iCs/>
                <w:color w:val="0A2540"/>
                <w:sz w:val="18"/>
                <w:szCs w:val="18"/>
              </w:rPr>
              <w:t xml:space="preserve">La obligación que impone el artículo anterior es exigible no sólo por los actos u omisiones propios, sino por los de aquellas personas de quienes se debe responder. Los padres son responsables de los daños causados por los hijos que se encuentren bajo su guarda. [...] La responsabilidad de que trata este artículo cesará cuando las personas en él mencionadas prueben que emplearon toda la diligencia de un buen padre de familia para prevenir el daño.</w:t>
            </w:r>
          </w:p>
        </w:tc>
      </w:tr>
    </w:tbl>
    <w:p>
      <w:pPr>
        <w:spacing w:after="180" w:line="300"/>
        <w:jc w:val="both"/>
      </w:pPr>
      <w:r>
        <w:rPr>
          <w:rFonts w:ascii="Archivo" w:cs="Archivo" w:eastAsia="Archivo" w:hAnsi="Archivo"/>
          <w:sz w:val="21"/>
          <w:szCs w:val="21"/>
        </w:rPr>
        <w:t xml:space="preserve">Cuando un hijo menor conviviente causa un daño a un tercero (por ejemplo, un incendio accidental, la rotura de un objeto ajeno o una lesión durante un juego), la responsabilidad civil de los padres ex art. 1903 CC queda, en la práctica, cubierta por la póliza de responsabilidad civil del hogar en la medida en que la cláusula de «asegurados» de la póliza —y no solo la ley civil— extienda la cobertura a los hijos convivientes, extremo que debe verificarse en las condiciones particulares de cada contrato concreto.</w:t>
      </w:r>
    </w:p>
    <w:p>
      <w:pPr>
        <w:pStyle w:val="Heading2"/>
        <w:spacing w:after="160" w:before="400"/>
      </w:pPr>
      <w:r>
        <w:rPr>
          <w:rFonts w:ascii="Fraunces" w:cs="Fraunces" w:eastAsia="Fraunces" w:hAnsi="Fraunces"/>
          <w:b/>
          <w:bCs/>
          <w:color w:val="0A2540"/>
          <w:sz w:val="24"/>
          <w:szCs w:val="24"/>
        </w:rPr>
        <w:t xml:space="preserve">9.5. Inoponibilidad del dolo del asegurado al tercero perjudicado</w:t>
      </w:r>
    </w:p>
    <w:p>
      <w:pPr>
        <w:spacing w:after="180" w:line="300"/>
        <w:jc w:val="both"/>
      </w:pPr>
      <w:r>
        <w:rPr>
          <w:rFonts w:ascii="Archivo" w:cs="Archivo" w:eastAsia="Archivo" w:hAnsi="Archivo"/>
          <w:sz w:val="21"/>
          <w:szCs w:val="21"/>
        </w:rPr>
        <w:t xml:space="preserve">El supuesto más delicado —y de mayor relevancia doctrinal— es el de la eventual mala fe o dolo del propio asegurado en la causación del daño, que conforme al art. 19 LCS exoneraría al asegurador frente a su asegurado (capítulo 21), pero cuya oponibilidad al tercero perjudicado plantea un problema distinto. La STS, Sala de lo Civil, de 20 de abril de 2023 (ROJ: STS 1544/2023; ECLI:ES:TS:2023:1544; MP: Vela Torres), resuelve precisamente un supuesto de seguro multirriesgo de hogar en el que el hijo del tomador, asegurado por la cláusula de cabeza de familia, provocó un incendio al sustraer gasolina, siendo condenado penalmente por un delito imprudente</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20 de abril de 2023 (ROJ: STS 1544/2023; ECLI:ES:TS:2023:1544; MP: Vela Torres)</w:t>
            </w:r>
          </w:p>
          <w:p>
            <w:pPr>
              <w:spacing w:after="0" w:line="280"/>
              <w:jc w:val="both"/>
            </w:pPr>
            <w:r>
              <w:rPr>
                <w:rFonts w:ascii="Archivo" w:cs="Archivo" w:eastAsia="Archivo" w:hAnsi="Archivo"/>
                <w:color w:val="0A2540"/>
                <w:sz w:val="19"/>
                <w:szCs w:val="19"/>
              </w:rPr>
              <w:t xml:space="preserve">«No puede afirmarse que el incendio dependiera de la voluntad del demandado, por más imprudente o temeraria que fuera su conducta [...]; lo que dependió de su voluntad —intención o dolo— fue la sustracción de la gasolina, pero no la producción del incendio posterior. Pero es que, en cualquier caso, al tratarse de un seguro de responsabilidad civil, en el que la acción del perjudicado contra el asegurador es inmune a las excepciones que puedan corresponder al asegurador contra el asegurado (art. 76 LCS), la inasegurabilidad por dolo no sería oponible al tercero perjudicado.»</w:t>
            </w:r>
          </w:p>
        </w:tc>
      </w:tr>
    </w:tbl>
    <w:p>
      <w:pPr>
        <w:spacing w:after="180" w:line="300"/>
        <w:jc w:val="both"/>
      </w:pPr>
      <w:r>
        <w:rPr>
          <w:rFonts w:ascii="Archivo" w:cs="Archivo" w:eastAsia="Archivo" w:hAnsi="Archivo"/>
          <w:sz w:val="21"/>
          <w:szCs w:val="21"/>
        </w:rPr>
        <w:t xml:space="preserve">La sentencia fija así una doble ratio de gran utilidad práctica. En primer lugar, distingue con precisión el dolo referido al acto inicial (la sustracción de gasolina, voluntaria) del dolo referido al resultado dañoso (el incendio, no querido ni siquiera aceptado como consecuencia probable), rechazando extender automáticamente la calificación dolosa del primero al segundo. En segundo lugar —y esta es la regla de mayor alcance—, incluso si existiera dolo del asegurado que exonerase al asegurador en su relación interna con este (art. 19 LCS), tal circunstancia sería una excepción personal inoponible frente al tercero perjudicado en virtud del art. 76 LCS, que únicamente permite al asegurador oponer a este la culpa exclusiva del propio perjudicado y las excepciones personales que tenga frente a él, no frente al asegurado.</w:t>
      </w:r>
    </w:p>
    <w:p>
      <w:pPr>
        <w:pStyle w:val="Heading2"/>
        <w:spacing w:after="160" w:before="400"/>
      </w:pPr>
      <w:r>
        <w:rPr>
          <w:rFonts w:ascii="Fraunces" w:cs="Fraunces" w:eastAsia="Fraunces" w:hAnsi="Fraunces"/>
          <w:b/>
          <w:bCs/>
          <w:color w:val="0A2540"/>
          <w:sz w:val="24"/>
          <w:szCs w:val="24"/>
        </w:rPr>
        <w:t xml:space="preserve">9.6.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en una reclamación de responsabilidad civil del hogar</w:t>
            </w:r>
          </w:p>
          <w:p>
            <w:pPr>
              <w:pStyle w:val="ListParagraph"/>
              <w:numPr>
                <w:ilvl w:val="0"/>
                <w:numId w:val="2"/>
              </w:numPr>
              <w:spacing w:after="80" w:line="280"/>
            </w:pPr>
            <w:r>
              <w:rPr>
                <w:rFonts w:ascii="Archivo" w:cs="Archivo" w:eastAsia="Archivo" w:hAnsi="Archivo"/>
                <w:sz w:val="19"/>
                <w:szCs w:val="19"/>
              </w:rPr>
              <w:t xml:space="preserve">Verificar el ámbito subjetivo de la cláusula de «asegurados» a efectos de responsabilidad civil del cabeza de familia: ¿incluye a hijos, pareja, personal doméstico?</w:t>
            </w:r>
          </w:p>
          <w:p>
            <w:pPr>
              <w:pStyle w:val="ListParagraph"/>
              <w:numPr>
                <w:ilvl w:val="0"/>
                <w:numId w:val="2"/>
              </w:numPr>
              <w:spacing w:after="80" w:line="280"/>
            </w:pPr>
            <w:r>
              <w:rPr>
                <w:rFonts w:ascii="Archivo" w:cs="Archivo" w:eastAsia="Archivo" w:hAnsi="Archivo"/>
                <w:sz w:val="19"/>
                <w:szCs w:val="19"/>
              </w:rPr>
              <w:t xml:space="preserve">Ante un conflicto de intereses (perjudicado también asegurado con la misma compañía), comprobar que el asegurador comunicó la circunstancia y ofreció la opción de dirección jurídica independiente (art. 74 LCS).</w:t>
            </w:r>
          </w:p>
          <w:p>
            <w:pPr>
              <w:pStyle w:val="ListParagraph"/>
              <w:numPr>
                <w:ilvl w:val="0"/>
                <w:numId w:val="2"/>
              </w:numPr>
              <w:spacing w:after="80" w:line="280"/>
            </w:pPr>
            <w:r>
              <w:rPr>
                <w:rFonts w:ascii="Archivo" w:cs="Archivo" w:eastAsia="Archivo" w:hAnsi="Archivo"/>
                <w:sz w:val="19"/>
                <w:szCs w:val="19"/>
              </w:rPr>
              <w:t xml:space="preserve">Si se representa al tercero perjudicado, recordar que la acción directa del art. 76 LCS es inmune a las excepciones personales del asegurador contra el asegurado, incluida —conforme a la STS 1544/2023 (ROJ: STS 1544/2023)— la propia mala fe de este último.</w:t>
            </w:r>
          </w:p>
          <w:p>
            <w:pPr>
              <w:pStyle w:val="ListParagraph"/>
              <w:numPr>
                <w:ilvl w:val="0"/>
                <w:numId w:val="2"/>
              </w:numPr>
              <w:spacing w:after="80" w:line="280"/>
            </w:pPr>
            <w:r>
              <w:rPr>
                <w:rFonts w:ascii="Archivo" w:cs="Archivo" w:eastAsia="Archivo" w:hAnsi="Archivo"/>
                <w:sz w:val="19"/>
                <w:szCs w:val="19"/>
              </w:rPr>
              <w:t xml:space="preserve">Distinguir, en los siniestros con origen en una conducta inicialmente voluntaria del asegurado, el dolo referido al acto del dolo referido al resultado dañoso finalmente producido.</w:t>
            </w:r>
          </w:p>
        </w:tc>
      </w:tr>
    </w:tbl>
    <w:p>
      <w:pPr>
        <w:pStyle w:val="Heading2"/>
        <w:spacing w:after="160" w:before="400"/>
      </w:pPr>
      <w:r>
        <w:rPr>
          <w:rFonts w:ascii="Fraunces" w:cs="Fraunces" w:eastAsia="Fraunces" w:hAnsi="Fraunces"/>
          <w:b/>
          <w:bCs/>
          <w:color w:val="0A2540"/>
          <w:sz w:val="24"/>
          <w:szCs w:val="24"/>
        </w:rPr>
        <w:t xml:space="preserve">9.7.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sobre la responsabilidad civil de su seguro de hogar</w:t>
            </w:r>
          </w:p>
          <w:p>
            <w:pPr>
              <w:pStyle w:val="ListParagraph"/>
              <w:numPr>
                <w:ilvl w:val="0"/>
                <w:numId w:val="2"/>
              </w:numPr>
              <w:spacing w:after="80" w:line="280"/>
            </w:pPr>
            <w:r>
              <w:rPr>
                <w:rFonts w:ascii="Archivo" w:cs="Archivo" w:eastAsia="Archivo" w:hAnsi="Archivo"/>
                <w:sz w:val="19"/>
                <w:szCs w:val="19"/>
              </w:rPr>
              <w:t xml:space="preserve">Compruebe quién está cubierto como «asegurado» a efectos de responsabilidad civil: no siempre incluye automáticamente a todos los convivientes.</w:t>
            </w:r>
          </w:p>
          <w:p>
            <w:pPr>
              <w:pStyle w:val="ListParagraph"/>
              <w:numPr>
                <w:ilvl w:val="0"/>
                <w:numId w:val="2"/>
              </w:numPr>
              <w:spacing w:after="80" w:line="280"/>
            </w:pPr>
            <w:r>
              <w:rPr>
                <w:rFonts w:ascii="Archivo" w:cs="Archivo" w:eastAsia="Archivo" w:hAnsi="Archivo"/>
                <w:sz w:val="19"/>
                <w:szCs w:val="19"/>
              </w:rPr>
              <w:t xml:space="preserve">Si alguien de su entorno familiar causa un daño a un tercero (un vecino, un invitado), comuníquelo a su aseguradora incluso si tiene dudas sobre su responsabilidad: la aseguradora asumirá, salvo pacto en contrario, la dirección jurídica de su defensa.</w:t>
            </w:r>
          </w:p>
          <w:p>
            <w:pPr>
              <w:pStyle w:val="ListParagraph"/>
              <w:numPr>
                <w:ilvl w:val="0"/>
                <w:numId w:val="2"/>
              </w:numPr>
              <w:spacing w:after="80" w:line="280"/>
            </w:pPr>
            <w:r>
              <w:rPr>
                <w:rFonts w:ascii="Archivo" w:cs="Archivo" w:eastAsia="Archivo" w:hAnsi="Archivo"/>
                <w:sz w:val="19"/>
                <w:szCs w:val="19"/>
              </w:rPr>
              <w:t xml:space="preserve">Si el perjudicado también es cliente de su misma aseguradora, tiene derecho a que se lo comuniquen y a elegir defensa independiente si lo prefiere.</w:t>
            </w:r>
          </w:p>
        </w:tc>
      </w:tr>
    </w:tbl>
    <w:p>
      <w:pPr>
        <w:pStyle w:val="Heading2"/>
        <w:spacing w:after="160" w:before="400"/>
      </w:pPr>
      <w:r>
        <w:rPr>
          <w:rFonts w:ascii="Fraunces" w:cs="Fraunces" w:eastAsia="Fraunces" w:hAnsi="Fraunces"/>
          <w:b/>
          <w:bCs/>
          <w:color w:val="0A2540"/>
          <w:sz w:val="24"/>
          <w:szCs w:val="24"/>
        </w:rPr>
        <w:t xml:space="preserve">9.8. Checklist: gestión de una reclamación de responsabilidad civil del hogar</w:t>
      </w:r>
    </w:p>
    <w:p>
      <w:pPr>
        <w:pStyle w:val="ListParagraph"/>
        <w:numPr>
          <w:ilvl w:val="0"/>
          <w:numId w:val="2"/>
        </w:numPr>
        <w:spacing w:after="100" w:line="290"/>
      </w:pPr>
      <w:r>
        <w:rPr>
          <w:rFonts w:ascii="Archivo" w:cs="Archivo" w:eastAsia="Archivo" w:hAnsi="Archivo"/>
          <w:sz w:val="21"/>
          <w:szCs w:val="21"/>
        </w:rPr>
        <w:t xml:space="preserve">1. ¿Quién causó el daño y qué relación tiene con el asegurado (hijo, pareja, personal doméstico, el propio asegurado)?</w:t>
      </w:r>
    </w:p>
    <w:p>
      <w:pPr>
        <w:pStyle w:val="ListParagraph"/>
        <w:numPr>
          <w:ilvl w:val="0"/>
          <w:numId w:val="2"/>
        </w:numPr>
        <w:spacing w:after="100" w:line="290"/>
      </w:pPr>
      <w:r>
        <w:rPr>
          <w:rFonts w:ascii="Archivo" w:cs="Archivo" w:eastAsia="Archivo" w:hAnsi="Archivo"/>
          <w:sz w:val="21"/>
          <w:szCs w:val="21"/>
        </w:rPr>
        <w:t xml:space="preserve">2. ¿La cláusula de «asegurados» de la póliza cubre a esa persona?</w:t>
      </w:r>
    </w:p>
    <w:p>
      <w:pPr>
        <w:pStyle w:val="ListParagraph"/>
        <w:numPr>
          <w:ilvl w:val="0"/>
          <w:numId w:val="2"/>
        </w:numPr>
        <w:spacing w:after="100" w:line="290"/>
      </w:pPr>
      <w:r>
        <w:rPr>
          <w:rFonts w:ascii="Archivo" w:cs="Archivo" w:eastAsia="Archivo" w:hAnsi="Archivo"/>
          <w:sz w:val="21"/>
          <w:szCs w:val="21"/>
        </w:rPr>
        <w:t xml:space="preserve">3. ¿Existe conflicto de intereses (perjudicado asegurado con la misma compañía)?</w:t>
      </w:r>
    </w:p>
    <w:p>
      <w:pPr>
        <w:pStyle w:val="ListParagraph"/>
        <w:numPr>
          <w:ilvl w:val="0"/>
          <w:numId w:val="2"/>
        </w:numPr>
        <w:spacing w:after="100" w:line="290"/>
      </w:pPr>
      <w:r>
        <w:rPr>
          <w:rFonts w:ascii="Archivo" w:cs="Archivo" w:eastAsia="Archivo" w:hAnsi="Archivo"/>
          <w:sz w:val="21"/>
          <w:szCs w:val="21"/>
        </w:rPr>
        <w:t xml:space="preserve">4. ¿Existe resolución penal previa sobre los hechos? ¿Califica la conducta como dolosa o imprudente, y respecto de qué elemento (acto o resultado)?</w:t>
      </w:r>
    </w:p>
    <w:p>
      <w:pPr>
        <w:pStyle w:val="ListParagraph"/>
        <w:numPr>
          <w:ilvl w:val="0"/>
          <w:numId w:val="2"/>
        </w:numPr>
        <w:spacing w:after="100" w:line="290"/>
      </w:pPr>
      <w:r>
        <w:rPr>
          <w:rFonts w:ascii="Archivo" w:cs="Archivo" w:eastAsia="Archivo" w:hAnsi="Archivo"/>
          <w:sz w:val="21"/>
          <w:szCs w:val="21"/>
        </w:rPr>
        <w:t xml:space="preserve">5. ¿Se ha ejercitado o se va a ejercitar la acción directa del art. 76 LCS frente al asegurador?</w:t>
      </w:r>
    </w:p>
    <w:p>
      <w:pPr>
        <w:pStyle w:val="ListParagraph"/>
        <w:numPr>
          <w:ilvl w:val="0"/>
          <w:numId w:val="2"/>
        </w:numPr>
        <w:spacing w:after="100" w:line="290"/>
      </w:pPr>
      <w:r>
        <w:rPr>
          <w:rFonts w:ascii="Archivo" w:cs="Archivo" w:eastAsia="Archivo" w:hAnsi="Archivo"/>
          <w:sz w:val="21"/>
          <w:szCs w:val="21"/>
        </w:rPr>
        <w:t xml:space="preserve">6. ¿Qué límite de indemnización y de gastos de defensa jurídica establece la póliza para esta garantía?</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14. </w:t>
      </w:r>
      <w:r>
        <w:rPr>
          <w:rFonts w:ascii="Fraunces" w:cs="Fraunces" w:eastAsia="Fraunces" w:hAnsi="Fraunces"/>
          <w:b/>
          <w:bCs/>
          <w:color w:val="0A2540"/>
          <w:sz w:val="30"/>
          <w:szCs w:val="30"/>
        </w:rPr>
        <w:t xml:space="preserve">Defensa jurídica y asistencia en el hogar</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10.1. El seguro de defensa jurídica como garantía autónoma</w:t>
            </w:r>
          </w:p>
          <w:p>
            <w:pPr>
              <w:spacing w:after="40" w:line="260"/>
            </w:pPr>
            <w:r>
              <w:rPr>
                <w:rFonts w:ascii="Archivo" w:cs="Archivo" w:eastAsia="Archivo" w:hAnsi="Archivo"/>
                <w:sz w:val="18"/>
                <w:szCs w:val="18"/>
              </w:rPr>
              <w:t xml:space="preserve">10.2. El derecho de libre elección de abogado y procurador</w:t>
            </w:r>
          </w:p>
          <w:p>
            <w:pPr>
              <w:spacing w:after="40" w:line="260"/>
            </w:pPr>
            <w:r>
              <w:rPr>
                <w:rFonts w:ascii="Archivo" w:cs="Archivo" w:eastAsia="Archivo" w:hAnsi="Archivo"/>
                <w:sz w:val="18"/>
                <w:szCs w:val="18"/>
              </w:rPr>
              <w:t xml:space="preserve">10.2.1. La delimitación del ámbito de cobertura por las Audiencias Provinciales</w:t>
            </w:r>
          </w:p>
          <w:p>
            <w:pPr>
              <w:spacing w:after="40" w:line="260"/>
            </w:pPr>
            <w:r>
              <w:rPr>
                <w:rFonts w:ascii="Archivo" w:cs="Archivo" w:eastAsia="Archivo" w:hAnsi="Archivo"/>
                <w:sz w:val="18"/>
                <w:szCs w:val="18"/>
              </w:rPr>
              <w:t xml:space="preserve">10.3. Los límites cuantitativos a la libre elección: delimitadores, limitativos o lesivos</w:t>
            </w:r>
          </w:p>
          <w:p>
            <w:pPr>
              <w:spacing w:after="40" w:line="260"/>
            </w:pPr>
            <w:r>
              <w:rPr>
                <w:rFonts w:ascii="Archivo" w:cs="Archivo" w:eastAsia="Archivo" w:hAnsi="Archivo"/>
                <w:sz w:val="18"/>
                <w:szCs w:val="18"/>
              </w:rPr>
              <w:t xml:space="preserve">10.4. Conflicto de intereses y defensa independiente en la garantía de responsabilidad civil</w:t>
            </w:r>
          </w:p>
          <w:p>
            <w:pPr>
              <w:spacing w:after="40" w:line="260"/>
            </w:pPr>
            <w:r>
              <w:rPr>
                <w:rFonts w:ascii="Archivo" w:cs="Archivo" w:eastAsia="Archivo" w:hAnsi="Archivo"/>
                <w:sz w:val="18"/>
                <w:szCs w:val="18"/>
              </w:rPr>
              <w:t xml:space="preserve">10.5. La garantía de asistencia en el hogar</w:t>
            </w:r>
          </w:p>
          <w:p>
            <w:pPr>
              <w:spacing w:after="40" w:line="260"/>
            </w:pPr>
            <w:r>
              <w:rPr>
                <w:rFonts w:ascii="Archivo" w:cs="Archivo" w:eastAsia="Archivo" w:hAnsi="Archivo"/>
                <w:sz w:val="18"/>
                <w:szCs w:val="18"/>
              </w:rPr>
              <w:t xml:space="preserve">10.6. Ficha para el profesional</w:t>
            </w:r>
          </w:p>
          <w:p>
            <w:pPr>
              <w:spacing w:after="40" w:line="260"/>
            </w:pPr>
            <w:r>
              <w:rPr>
                <w:rFonts w:ascii="Archivo" w:cs="Archivo" w:eastAsia="Archivo" w:hAnsi="Archivo"/>
                <w:sz w:val="18"/>
                <w:szCs w:val="18"/>
              </w:rPr>
              <w:t xml:space="preserve">10.7. Ficha para el asegurado</w:t>
            </w:r>
          </w:p>
          <w:p>
            <w:pPr>
              <w:spacing w:after="40" w:line="260"/>
            </w:pPr>
            <w:r>
              <w:rPr>
                <w:rFonts w:ascii="Archivo" w:cs="Archivo" w:eastAsia="Archivo" w:hAnsi="Archivo"/>
                <w:sz w:val="18"/>
                <w:szCs w:val="18"/>
              </w:rPr>
              <w:t xml:space="preserve">10.8. Checklist: activación de la cobertura de defensa jurídica</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estudia la garantía de defensa jurídica del seguro de hogar, regulada como submodalidad autónoma en los arts. 76.a) a 76.g) LCS, con particular atención al derecho de libre elección de abogado y procurador y a la controvertida calificación —delimitadora, limitativa o lesiva— de las cláusulas que fijan un límite cuantitativo a dicho derecho, resuelta por la jurisprudencia mediante un examen casuístico de la suficiencia real del límite pactado. Se completa con el estudio de la garantía, contractual y heterogénea, de asistencia en el hogar.</w:t>
            </w:r>
          </w:p>
          <w:p>
            <w:pPr>
              <w:spacing w:after="160"/>
            </w:pPr>
            <w:r>
              <w:rPr>
                <w:rFonts w:ascii="Archivo" w:cs="Archivo" w:eastAsia="Archivo" w:hAnsi="Archivo"/>
                <w:b/>
                <w:bCs/>
                <w:sz w:val="17"/>
                <w:szCs w:val="17"/>
              </w:rPr>
              <w:t xml:space="preserve">Palabras clave: seguro de defensa jurídica, libre elección de abogado, art. 76 LCS, cláusula limitativa, asistencia en el hogar.</w:t>
            </w:r>
          </w:p>
          <w:p>
            <w:pPr>
              <w:spacing w:after="100"/>
              <w:jc w:val="both"/>
            </w:pPr>
            <w:r>
              <w:rPr>
                <w:rFonts w:ascii="Archivo" w:cs="Archivo" w:eastAsia="Archivo" w:hAnsi="Archivo"/>
                <w:i/>
                <w:iCs/>
                <w:sz w:val="18"/>
                <w:szCs w:val="18"/>
              </w:rPr>
              <w:t xml:space="preserve">This chapter examines the legal expenses cover of homeowners' insurance, regulated as an autonomous sub-type under Articles 76.a) to 76.g) of the Insurance Contract Act, focusing on the policyholder's right to freely choose legal counsel and on the contested classification —risk-delimiting, rights-limiting or unfair— of clauses capping that right in quantitative terms, resolved by case law through a case-by-case assessment of whether the agreed cap is genuinely sufficient. It closes with an examination of the contractual, heterogeneous home-assistance cover.</w:t>
            </w:r>
          </w:p>
          <w:p>
            <w:pPr>
              <w:spacing w:after="0"/>
            </w:pPr>
            <w:r>
              <w:rPr>
                <w:rFonts w:ascii="Archivo" w:cs="Archivo" w:eastAsia="Archivo" w:hAnsi="Archivo"/>
                <w:b/>
                <w:bCs/>
                <w:sz w:val="17"/>
                <w:szCs w:val="17"/>
              </w:rPr>
              <w:t xml:space="preserve">Keywords: legal expenses insurance, free choice of lawyer, limiting clause, home assistance cover.</w:t>
            </w:r>
          </w:p>
        </w:tc>
      </w:tr>
    </w:tbl>
    <w:p>
      <w:pPr>
        <w:spacing w:after="200"/>
      </w:pPr>
    </w:p>
    <w:p>
      <w:pPr>
        <w:pStyle w:val="Heading2"/>
        <w:spacing w:after="160" w:before="400"/>
      </w:pPr>
      <w:r>
        <w:rPr>
          <w:rFonts w:ascii="Fraunces" w:cs="Fraunces" w:eastAsia="Fraunces" w:hAnsi="Fraunces"/>
          <w:b/>
          <w:bCs/>
          <w:color w:val="0A2540"/>
          <w:sz w:val="24"/>
          <w:szCs w:val="24"/>
        </w:rPr>
        <w:t xml:space="preserve">10.1. El seguro de defensa jurídica como garantía autónoma</w:t>
      </w:r>
    </w:p>
    <w:p>
      <w:pPr>
        <w:spacing w:after="180" w:line="300"/>
        <w:jc w:val="both"/>
      </w:pPr>
      <w:r>
        <w:rPr>
          <w:rFonts w:ascii="Archivo" w:cs="Archivo" w:eastAsia="Archivo" w:hAnsi="Archivo"/>
          <w:sz w:val="21"/>
          <w:szCs w:val="21"/>
        </w:rPr>
        <w:t xml:space="preserve">La LCS dedica a esta garantía un régimen propio, distinto del general de responsabilidad civil, en los arts. 76.a) a 76.g), incorporados por la Ley 21/1990 en trasposición de la normativa comunitaria sobre seguro de defensa jurídica. Aunque en la práctica del hogar se contrata siempre integrada en la póliza multirriesgo, conserva su autonomía funcional: cubre los gastos derivados de la defensa jurídica del asegurado, no la indemnización de un daño causado a un tercero</w:t>
      </w:r>
      <w:r>
        <w:rPr>
          <w:rStyle w:val="FootnoteReference"/>
        </w:rPr>
        <w:footnoteReference w:id="28"/>
      </w:r>
      <w:r>
        <w:rPr>
          <w:rFonts w:ascii="Archivo" w:cs="Archivo" w:eastAsia="Archivo" w:hAnsi="Archivo"/>
          <w:sz w:val="21"/>
          <w:szCs w:val="21"/>
        </w:rPr>
        <w:t xml:space="preserve">.</w:t>
      </w:r>
    </w:p>
    <w:p>
      <w:pPr>
        <w:spacing w:after="180" w:line="300"/>
        <w:jc w:val="both"/>
      </w:pPr>
      <w:r>
        <w:rPr>
          <w:rFonts w:ascii="Archivo" w:cs="Archivo" w:eastAsia="Archivo" w:hAnsi="Archivo"/>
          <w:sz w:val="21"/>
          <w:szCs w:val="21"/>
        </w:rPr>
        <w:t xml:space="preserve">El artículo 74 LCS, ya estudiado en el capítulo 13 a propósito de la dirección jurídica del siniestro de responsabilidad civil, contiene una previsión que conecta ambas garantías: cuando el asegurado, ante un conflicto de intereses, opta por confiar su defensa a un profesional distinto del designado por el asegurador, este «quedará obligado a abonar los gastos de tal dirección jurídica hasta el límite pactado en la póliza» (art. 74, párrafo segundo, in fine). La garantía específica de defensa jurídica extiende y generaliza este derecho de libre elección más allá del supuesto concreto de conflicto de intereses.</w:t>
      </w:r>
    </w:p>
    <w:p>
      <w:pPr>
        <w:pStyle w:val="Heading2"/>
        <w:spacing w:after="160" w:before="400"/>
      </w:pPr>
      <w:r>
        <w:rPr>
          <w:rFonts w:ascii="Fraunces" w:cs="Fraunces" w:eastAsia="Fraunces" w:hAnsi="Fraunces"/>
          <w:b/>
          <w:bCs/>
          <w:color w:val="0A2540"/>
          <w:sz w:val="24"/>
          <w:szCs w:val="24"/>
        </w:rPr>
        <w:t xml:space="preserve">10.2. El derecho de libre elección de abogado y procurador</w:t>
      </w:r>
    </w:p>
    <w:p>
      <w:pPr>
        <w:spacing w:after="180" w:line="300"/>
        <w:jc w:val="both"/>
      </w:pPr>
      <w:r>
        <w:rPr>
          <w:rFonts w:ascii="Archivo" w:cs="Archivo" w:eastAsia="Archivo" w:hAnsi="Archivo"/>
          <w:sz w:val="21"/>
          <w:szCs w:val="21"/>
        </w:rPr>
        <w:t xml:space="preserve">El régimen propio del seguro de defensa jurídica reconoce al asegurado el derecho a elegir libremente los profesionales que le representen y defiendan en cualquier procedimiento, derecho que la STS 584/2021 (ROJ: STS 584/2021) sitúa expresamente en el art. 76.d) LCS</w:t>
      </w:r>
      <w:r>
        <w:rPr>
          <w:rStyle w:val="FootnoteReference"/>
        </w:rPr>
        <w:footnoteReference w:id="29"/>
      </w:r>
      <w:r>
        <w:rPr>
          <w:rFonts w:ascii="Archivo" w:cs="Archivo" w:eastAsia="Archivo" w:hAnsi="Archivo"/>
          <w:sz w:val="21"/>
          <w:szCs w:val="21"/>
        </w:rPr>
        <w:t xml:space="preserve">, y que la propia Sala Primera resume con cita de sus propios precedentes:</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24 de febrero de 2021 (ROJ: STS 584/2021; ECLI:ES:TS:2021:584; MP: Parra Lucán)</w:t>
            </w:r>
          </w:p>
          <w:p>
            <w:pPr>
              <w:spacing w:after="0" w:line="280"/>
              <w:jc w:val="both"/>
            </w:pPr>
            <w:r>
              <w:rPr>
                <w:rFonts w:ascii="Archivo" w:cs="Archivo" w:eastAsia="Archivo" w:hAnsi="Archivo"/>
                <w:color w:val="0A2540"/>
                <w:sz w:val="19"/>
                <w:szCs w:val="19"/>
              </w:rPr>
              <w:t xml:space="preserve">«En el ámbito del seguro de defensa jurídica, conforme al art. 76.a) LCS, el asegurador queda obligado a hacerse cargo de los gastos de la defensa jurídica libremente elegida ‘dentro de los límites establecidos en la ley y en el contrato’ [...]. La claridad y precisión es exigible a todas las cláusulas del contrato de seguro, tanto si están incluidas en las condiciones generales como en las particulares, y con independencia de que se califiquen de delimitadoras del riesgo o limitativas de los derechos del asegurado.»</w:t>
            </w:r>
          </w:p>
        </w:tc>
      </w:tr>
    </w:tbl>
    <w:p>
      <w:pPr>
        <w:pStyle w:val="Heading3"/>
        <w:spacing w:after="120" w:before="280"/>
      </w:pPr>
      <w:r>
        <w:rPr>
          <w:rFonts w:ascii="Archivo" w:cs="Archivo" w:eastAsia="Archivo" w:hAnsi="Archivo"/>
          <w:b/>
          <w:bCs/>
          <w:color w:val="1B6DF0"/>
          <w:sz w:val="21"/>
          <w:szCs w:val="21"/>
        </w:rPr>
        <w:t xml:space="preserve">10.2.1. La delimitación del ámbito de cobertura por las Audiencias Provinciales</w:t>
      </w:r>
    </w:p>
    <w:p>
      <w:pPr>
        <w:spacing w:after="180" w:line="300"/>
        <w:jc w:val="both"/>
      </w:pPr>
      <w:r>
        <w:rPr>
          <w:rFonts w:ascii="Archivo" w:cs="Archivo" w:eastAsia="Archivo" w:hAnsi="Archivo"/>
          <w:sz w:val="21"/>
          <w:szCs w:val="21"/>
        </w:rPr>
        <w:t xml:space="preserve">La jurisprudencia menor ha tenido ocasión de precisar, en supuestos de seguro de hogar con garantía de defensa jurídica, la frontera entre la cláusula que delimita el ámbito objetivo de esta cobertura (por ejemplo, restringiéndola a hechos derivados de la vida privada del asegurado en el ámbito del hogar) y la que, una vez definido ese ámbito, restringe adicionalmente el derecho ya reconocido: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SAP Jaén (Sección 1.ª), de 15 de septiembre de 2021 (ROJ: SAP J 1184/2021; ECLI:ES:APJ:2021:1184; MP: Carrascosa González)</w:t>
            </w:r>
          </w:p>
          <w:p>
            <w:pPr>
              <w:spacing w:after="0" w:line="280"/>
              <w:jc w:val="both"/>
            </w:pPr>
            <w:r>
              <w:rPr>
                <w:rFonts w:ascii="Archivo" w:cs="Archivo" w:eastAsia="Archivo" w:hAnsi="Archivo"/>
                <w:color w:val="0A2540"/>
                <w:sz w:val="19"/>
                <w:szCs w:val="19"/>
              </w:rPr>
              <w:t xml:space="preserve">«Esta Sala [...] considera que nos encontramos ante una cláusula que configura o delimita el riesgo objeto de cobertura (la ‘protección jurídica’); y no ante una cláusula limitativa de derechos. Debemos partir de que nos encontramos ante un seguro de ‘combinado del hogar’ [...], cuyo objeto y finalidad es en esencia garantizar los riesgos que puedan generarse en dicho ámbito (la vivienda) del asegurado [...]. En la doctrina se ha destacado la problemática delimitación entre la defensa jurídica propia del seguro de responsabilidad civil y el seguro de defensa jurídica [...]: en el seguro de defensa jurídica el asegurado puede adoptar una posición activa, como parte demandante, o también pasiva, como parte demandada, mientras que en el seguro de responsabilidad civil dicho sujeto sólo puede asumir aquella última condición, siempre frente a una reclamación del perjudicado.»</w:t>
            </w:r>
          </w:p>
        </w:tc>
      </w:tr>
    </w:tbl>
    <w:p>
      <w:pPr>
        <w:spacing w:after="180" w:line="300"/>
        <w:jc w:val="both"/>
      </w:pPr>
      <w:r>
        <w:rPr>
          <w:rFonts w:ascii="Archivo" w:cs="Archivo" w:eastAsia="Archivo" w:hAnsi="Archivo"/>
          <w:sz w:val="21"/>
          <w:szCs w:val="21"/>
        </w:rPr>
        <w:t xml:space="preserve">La resolución resulta especialmente ilustrativa porque distingue con nitidez dos coberturas que, aunque próximas, responden a lógicas distintas y así deben analizarse separadamente ante cada siniestro: la defensa jurídica en sentido propio —que ampara tanto la reclamación activa del asegurado frente a terceros como su defensa pasiva— y la dirección jurídica accesoria a la responsabilidad civil estudiada en el capítulo 13 —limitada, por definición, a la posición pasiva del asegurado frente a la reclamación de un perjudicado—. La correcta calificación de en cuál de las dos coberturas encaja un siniestro concreto condiciona tanto el límite económico aplicable como el propio alcance del derecho de libre elección de profesional.</w:t>
      </w:r>
    </w:p>
    <w:p>
      <w:pPr>
        <w:pStyle w:val="Heading2"/>
        <w:spacing w:after="160" w:before="400"/>
      </w:pPr>
      <w:r>
        <w:rPr>
          <w:rFonts w:ascii="Fraunces" w:cs="Fraunces" w:eastAsia="Fraunces" w:hAnsi="Fraunces"/>
          <w:b/>
          <w:bCs/>
          <w:color w:val="0A2540"/>
          <w:sz w:val="24"/>
          <w:szCs w:val="24"/>
        </w:rPr>
        <w:t xml:space="preserve">10.3. Los límites cuantitativos a la libre elección: delimitadores, limitativos o lesivos</w:t>
      </w:r>
    </w:p>
    <w:p>
      <w:pPr>
        <w:spacing w:after="180" w:line="300"/>
        <w:jc w:val="both"/>
      </w:pPr>
      <w:r>
        <w:rPr>
          <w:rFonts w:ascii="Archivo" w:cs="Archivo" w:eastAsia="Archivo" w:hAnsi="Archivo"/>
          <w:sz w:val="21"/>
          <w:szCs w:val="21"/>
        </w:rPr>
        <w:t xml:space="preserve">La práctica totalidad de las pólizas de hogar fijan un límite económico a la cobertura de defensa jurídica en caso de libre designación de profesionales. La calificación jurídica de estos límites —cuestión sobre la que, según reconoce la propia Sala Primera, «ante el silencio del legislador, corresponde a los tribunales»— ha sido resuelta mediante un criterio funcional que atiende a la suficiencia real del límite pactado en relación con el tipo de procedimiento cubierto: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24 de febrero de 2021 (ROJ: STS 584/2021; ECLI:ES:TS:2021:584; MP: Parra Lucán), con cita de la STS 421/2020, de 4 de julio</w:t>
            </w:r>
          </w:p>
          <w:p>
            <w:pPr>
              <w:spacing w:after="0" w:line="280"/>
              <w:jc w:val="both"/>
            </w:pPr>
            <w:r>
              <w:rPr>
                <w:rFonts w:ascii="Archivo" w:cs="Archivo" w:eastAsia="Archivo" w:hAnsi="Archivo"/>
                <w:color w:val="0A2540"/>
                <w:sz w:val="19"/>
                <w:szCs w:val="19"/>
              </w:rPr>
              <w:t xml:space="preserve">«Aunque en principio la cláusula puede calificarse como delimitadora del riesgo, en atención a las circunstancias del caso será limitativa de los derechos del asegurado, incluso lesiva, si fija unos límites notoriamente insuficientes en relación con la cuantía cubierta por el seguro de responsabilidad civil.»</w:t>
            </w:r>
          </w:p>
        </w:tc>
      </w:tr>
    </w:tbl>
    <w:p>
      <w:pPr>
        <w:spacing w:after="180" w:line="300"/>
        <w:jc w:val="both"/>
      </w:pPr>
      <w:r>
        <w:rPr>
          <w:rFonts w:ascii="Archivo" w:cs="Archivo" w:eastAsia="Archivo" w:hAnsi="Archivo"/>
          <w:sz w:val="21"/>
          <w:szCs w:val="21"/>
        </w:rPr>
        <w:t xml:space="preserve">De esta doctrina se extrae una metodología de análisis en tres escalones que el profesional debe aplicar sistemáticamente ante cualquier límite cuantitativo de defensa jurídica: primero, verificar los requisitos formales del art. 3 LCS (destacado y, en su caso, aceptación específica); segundo, comparar el importe del límite con el coste real y previsible de una defensa jurídica adecuada al tipo de procedimiento cubierto (un límite de 600 euros, como el enjuiciado en la propia STS 584/2021, puede resultar manifiestamente insuficiente para un procedimiento ordinario o incluso para un juicio verbal de cierta complejidad); y tercero, si el límite vacía de contenido efectivo el derecho de libre elección reconocido por la ley, concluir su carácter limitativo —o, en los casos más extremos, lesivo y por tanto nulo— con independencia de su ubicación formal en el condicionado.</w:t>
      </w:r>
    </w:p>
    <w:p>
      <w:pPr>
        <w:pStyle w:val="Heading2"/>
        <w:spacing w:after="160" w:before="400"/>
      </w:pPr>
      <w:r>
        <w:rPr>
          <w:rFonts w:ascii="Fraunces" w:cs="Fraunces" w:eastAsia="Fraunces" w:hAnsi="Fraunces"/>
          <w:b/>
          <w:bCs/>
          <w:color w:val="0A2540"/>
          <w:sz w:val="24"/>
          <w:szCs w:val="24"/>
        </w:rPr>
        <w:t xml:space="preserve">10.4. Conflicto de intereses y defensa independiente en la garantía de responsabilidad civil</w:t>
      </w:r>
    </w:p>
    <w:p>
      <w:pPr>
        <w:spacing w:after="180" w:line="300"/>
        <w:jc w:val="both"/>
      </w:pPr>
      <w:r>
        <w:rPr>
          <w:rFonts w:ascii="Archivo" w:cs="Archivo" w:eastAsia="Archivo" w:hAnsi="Archivo"/>
          <w:sz w:val="21"/>
          <w:szCs w:val="21"/>
        </w:rPr>
        <w:t xml:space="preserve">Como se anticipó en el capítulo 13, cuando la reclamación de responsabilidad civil enfrenta al asegurado con otro cliente de la misma aseguradora, o concurre cualquier otro conflicto de intereses, el asegurado puede optar por una dirección jurídica independiente conforme al art. 74 LCS, sujeta también al límite cuantitativo pactado en póliza y al mismo escrutinio de suficiencia que se acaba de exponer para la garantía específica de defensa jurídica.</w:t>
      </w:r>
    </w:p>
    <w:p>
      <w:pPr>
        <w:pStyle w:val="Heading2"/>
        <w:spacing w:after="160" w:before="400"/>
      </w:pPr>
      <w:r>
        <w:rPr>
          <w:rFonts w:ascii="Fraunces" w:cs="Fraunces" w:eastAsia="Fraunces" w:hAnsi="Fraunces"/>
          <w:b/>
          <w:bCs/>
          <w:color w:val="0A2540"/>
          <w:sz w:val="24"/>
          <w:szCs w:val="24"/>
        </w:rPr>
        <w:t xml:space="preserve">10.5. La garantía de asistencia en el hogar</w:t>
      </w:r>
    </w:p>
    <w:p>
      <w:pPr>
        <w:spacing w:after="180" w:line="300"/>
        <w:jc w:val="both"/>
      </w:pPr>
      <w:r>
        <w:rPr>
          <w:rFonts w:ascii="Archivo" w:cs="Archivo" w:eastAsia="Archivo" w:hAnsi="Archivo"/>
          <w:sz w:val="21"/>
          <w:szCs w:val="21"/>
        </w:rPr>
        <w:t xml:space="preserve">Junto a la defensa jurídica propiamente dicha, la práctica aseguradora incorpora con frecuencia una garantía de «asistencia en el hogar» de naturaleza puramente contractual y heterogénea —sin correlato en un régimen legal específico de la LCS— que suele comprender servicios de urgencia (cerrajería, fontanería o electricidad de urgencia), envío de profesionales para reparaciones menores, y en ocasiones asistencia informática o telefónica. Por su naturaleza de prestación de servicios más que de indemnización dineraria, su régimen de cláusulas limitativas y su interpretación se rigen íntegramente por el art. 3 LCS y por la metodología general expuesta en el capítulo 5, sin las especialidades del régimen legal propio del seguro de defensa jurídica.</w:t>
      </w:r>
    </w:p>
    <w:p>
      <w:pPr>
        <w:pStyle w:val="Heading2"/>
        <w:spacing w:after="160" w:before="400"/>
      </w:pPr>
      <w:r>
        <w:rPr>
          <w:rFonts w:ascii="Fraunces" w:cs="Fraunces" w:eastAsia="Fraunces" w:hAnsi="Fraunces"/>
          <w:b/>
          <w:bCs/>
          <w:color w:val="0A2540"/>
          <w:sz w:val="24"/>
          <w:szCs w:val="24"/>
        </w:rPr>
        <w:t xml:space="preserve">10.6.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ante un límite de defensa jurídica insuficiente</w:t>
            </w:r>
          </w:p>
          <w:p>
            <w:pPr>
              <w:pStyle w:val="ListParagraph"/>
              <w:numPr>
                <w:ilvl w:val="0"/>
                <w:numId w:val="2"/>
              </w:numPr>
              <w:spacing w:after="80" w:line="280"/>
            </w:pPr>
            <w:r>
              <w:rPr>
                <w:rFonts w:ascii="Archivo" w:cs="Archivo" w:eastAsia="Archivo" w:hAnsi="Archivo"/>
                <w:sz w:val="19"/>
                <w:szCs w:val="19"/>
              </w:rPr>
              <w:t xml:space="preserve">Comprobar el cumplimiento de los requisitos formales del art. 3 LCS respecto del límite cuantitativo pactado.</w:t>
            </w:r>
          </w:p>
          <w:p>
            <w:pPr>
              <w:pStyle w:val="ListParagraph"/>
              <w:numPr>
                <w:ilvl w:val="0"/>
                <w:numId w:val="2"/>
              </w:numPr>
              <w:spacing w:after="80" w:line="280"/>
            </w:pPr>
            <w:r>
              <w:rPr>
                <w:rFonts w:ascii="Archivo" w:cs="Archivo" w:eastAsia="Archivo" w:hAnsi="Archivo"/>
                <w:sz w:val="19"/>
                <w:szCs w:val="19"/>
              </w:rPr>
              <w:t xml:space="preserve">Cuantificar el coste real y previsible de una defensa jurídica adecuada al procedimiento concreto, comparándolo con el límite pactado, siguiendo la metodología de la STS 584/2021 (ROJ: STS 584/2021).</w:t>
            </w:r>
          </w:p>
          <w:p>
            <w:pPr>
              <w:pStyle w:val="ListParagraph"/>
              <w:numPr>
                <w:ilvl w:val="0"/>
                <w:numId w:val="2"/>
              </w:numPr>
              <w:spacing w:after="80" w:line="280"/>
            </w:pPr>
            <w:r>
              <w:rPr>
                <w:rFonts w:ascii="Archivo" w:cs="Archivo" w:eastAsia="Archivo" w:hAnsi="Archivo"/>
                <w:sz w:val="19"/>
                <w:szCs w:val="19"/>
              </w:rPr>
              <w:t xml:space="preserve">Si el límite resulta notoriamente insuficiente, plantear alternativamente su calificación como cláusula limitativa mal incorporada o como cláusula lesiva nula de pleno derecho.</w:t>
            </w:r>
          </w:p>
          <w:p>
            <w:pPr>
              <w:pStyle w:val="ListParagraph"/>
              <w:numPr>
                <w:ilvl w:val="0"/>
                <w:numId w:val="2"/>
              </w:numPr>
              <w:spacing w:after="80" w:line="280"/>
            </w:pPr>
            <w:r>
              <w:rPr>
                <w:rFonts w:ascii="Archivo" w:cs="Archivo" w:eastAsia="Archivo" w:hAnsi="Archivo"/>
                <w:sz w:val="19"/>
                <w:szCs w:val="19"/>
              </w:rPr>
              <w:t xml:space="preserve">En los seguros de responsabilidad civil con dirección jurídica del asegurador, verificar si concurre conflicto de intereses que habilite la defensa independiente del art. 74 LCS.</w:t>
            </w:r>
          </w:p>
        </w:tc>
      </w:tr>
    </w:tbl>
    <w:p>
      <w:pPr>
        <w:pStyle w:val="Heading2"/>
        <w:spacing w:after="160" w:before="400"/>
      </w:pPr>
      <w:r>
        <w:rPr>
          <w:rFonts w:ascii="Fraunces" w:cs="Fraunces" w:eastAsia="Fraunces" w:hAnsi="Fraunces"/>
          <w:b/>
          <w:bCs/>
          <w:color w:val="0A2540"/>
          <w:sz w:val="24"/>
          <w:szCs w:val="24"/>
        </w:rPr>
        <w:t xml:space="preserve">10.7.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sobre la defensa jurídica de su seguro de hogar</w:t>
            </w:r>
          </w:p>
          <w:p>
            <w:pPr>
              <w:pStyle w:val="ListParagraph"/>
              <w:numPr>
                <w:ilvl w:val="0"/>
                <w:numId w:val="2"/>
              </w:numPr>
              <w:spacing w:after="80" w:line="280"/>
            </w:pPr>
            <w:r>
              <w:rPr>
                <w:rFonts w:ascii="Archivo" w:cs="Archivo" w:eastAsia="Archivo" w:hAnsi="Archivo"/>
                <w:sz w:val="19"/>
                <w:szCs w:val="19"/>
              </w:rPr>
              <w:t xml:space="preserve">Tiene derecho a elegir a su propio abogado y procurador en caso de litigio cubierto por esta garantía, no solo a los designados por la aseguradora.</w:t>
            </w:r>
          </w:p>
          <w:p>
            <w:pPr>
              <w:pStyle w:val="ListParagraph"/>
              <w:numPr>
                <w:ilvl w:val="0"/>
                <w:numId w:val="2"/>
              </w:numPr>
              <w:spacing w:after="80" w:line="280"/>
            </w:pPr>
            <w:r>
              <w:rPr>
                <w:rFonts w:ascii="Archivo" w:cs="Archivo" w:eastAsia="Archivo" w:hAnsi="Archivo"/>
                <w:sz w:val="19"/>
                <w:szCs w:val="19"/>
              </w:rPr>
              <w:t xml:space="preserve">Revise el límite económico de esta cobertura en sus condiciones particulares: si es muy reducido en relación con el tipo de procedimiento previsible, puede no cubrir realmente los honorarios de un profesional independiente.</w:t>
            </w:r>
          </w:p>
          <w:p>
            <w:pPr>
              <w:pStyle w:val="ListParagraph"/>
              <w:numPr>
                <w:ilvl w:val="0"/>
                <w:numId w:val="2"/>
              </w:numPr>
              <w:spacing w:after="80" w:line="280"/>
            </w:pPr>
            <w:r>
              <w:rPr>
                <w:rFonts w:ascii="Archivo" w:cs="Archivo" w:eastAsia="Archivo" w:hAnsi="Archivo"/>
                <w:sz w:val="19"/>
                <w:szCs w:val="19"/>
              </w:rPr>
              <w:t xml:space="preserve">Si su aseguradora le abona solo una parte de los honorarios de su abogado alegando el límite de la póliza, consulte si ese límite podría ser insuficiente y, por tanto, impugnable.</w:t>
            </w:r>
          </w:p>
        </w:tc>
      </w:tr>
    </w:tbl>
    <w:p>
      <w:pPr>
        <w:pStyle w:val="Heading2"/>
        <w:spacing w:after="160" w:before="400"/>
      </w:pPr>
      <w:r>
        <w:rPr>
          <w:rFonts w:ascii="Fraunces" w:cs="Fraunces" w:eastAsia="Fraunces" w:hAnsi="Fraunces"/>
          <w:b/>
          <w:bCs/>
          <w:color w:val="0A2540"/>
          <w:sz w:val="24"/>
          <w:szCs w:val="24"/>
        </w:rPr>
        <w:t xml:space="preserve">10.8. Checklist: activación de la cobertura de defensa jurídica</w:t>
      </w:r>
    </w:p>
    <w:p>
      <w:pPr>
        <w:pStyle w:val="ListParagraph"/>
        <w:numPr>
          <w:ilvl w:val="0"/>
          <w:numId w:val="2"/>
        </w:numPr>
        <w:spacing w:after="100" w:line="290"/>
      </w:pPr>
      <w:r>
        <w:rPr>
          <w:rFonts w:ascii="Archivo" w:cs="Archivo" w:eastAsia="Archivo" w:hAnsi="Archivo"/>
          <w:sz w:val="21"/>
          <w:szCs w:val="21"/>
        </w:rPr>
        <w:t xml:space="preserve">1. ¿El conflicto está cubierto por la garantía de defensa jurídica de la póliza (materia, cuantía, momento de origen)?</w:t>
      </w:r>
    </w:p>
    <w:p>
      <w:pPr>
        <w:pStyle w:val="ListParagraph"/>
        <w:numPr>
          <w:ilvl w:val="0"/>
          <w:numId w:val="2"/>
        </w:numPr>
        <w:spacing w:after="100" w:line="290"/>
      </w:pPr>
      <w:r>
        <w:rPr>
          <w:rFonts w:ascii="Archivo" w:cs="Archivo" w:eastAsia="Archivo" w:hAnsi="Archivo"/>
          <w:sz w:val="21"/>
          <w:szCs w:val="21"/>
        </w:rPr>
        <w:t xml:space="preserve">2. ¿Se ha ejercitado o comunicado el derecho de libre elección de abogado y procurador?</w:t>
      </w:r>
    </w:p>
    <w:p>
      <w:pPr>
        <w:pStyle w:val="ListParagraph"/>
        <w:numPr>
          <w:ilvl w:val="0"/>
          <w:numId w:val="2"/>
        </w:numPr>
        <w:spacing w:after="100" w:line="290"/>
      </w:pPr>
      <w:r>
        <w:rPr>
          <w:rFonts w:ascii="Archivo" w:cs="Archivo" w:eastAsia="Archivo" w:hAnsi="Archivo"/>
          <w:sz w:val="21"/>
          <w:szCs w:val="21"/>
        </w:rPr>
        <w:t xml:space="preserve">3. ¿Cuál es el límite económico pactado, y resulta razonablemente suficiente para el tipo de procedimiento?</w:t>
      </w:r>
    </w:p>
    <w:p>
      <w:pPr>
        <w:pStyle w:val="ListParagraph"/>
        <w:numPr>
          <w:ilvl w:val="0"/>
          <w:numId w:val="2"/>
        </w:numPr>
        <w:spacing w:after="100" w:line="290"/>
      </w:pPr>
      <w:r>
        <w:rPr>
          <w:rFonts w:ascii="Archivo" w:cs="Archivo" w:eastAsia="Archivo" w:hAnsi="Archivo"/>
          <w:sz w:val="21"/>
          <w:szCs w:val="21"/>
        </w:rPr>
        <w:t xml:space="preserve">4. ¿Existe conflicto de intereses con la propia aseguradora u otro asegurado de la misma compañía?</w:t>
      </w:r>
    </w:p>
    <w:p>
      <w:pPr>
        <w:pStyle w:val="ListParagraph"/>
        <w:numPr>
          <w:ilvl w:val="0"/>
          <w:numId w:val="2"/>
        </w:numPr>
        <w:spacing w:after="100" w:line="290"/>
      </w:pPr>
      <w:r>
        <w:rPr>
          <w:rFonts w:ascii="Archivo" w:cs="Archivo" w:eastAsia="Archivo" w:hAnsi="Archivo"/>
          <w:sz w:val="21"/>
          <w:szCs w:val="21"/>
        </w:rPr>
        <w:t xml:space="preserve">5. ¿Se ha reclamado, en su caso, la diferencia entre lo abonado por la aseguradora y el coste real de la defensa?</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BATALLER GRAU, J.; BOQUERA MATARREDONA, J.; OLAVARRÍA IGLESIA, J. (coords.), Comentarios a la Ley de Contrato de Seguro, Tirant lo Blanch, Valencia.</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15. </w:t>
      </w:r>
      <w:r>
        <w:rPr>
          <w:rFonts w:ascii="Fraunces" w:cs="Fraunces" w:eastAsia="Fraunces" w:hAnsi="Fraunces"/>
          <w:b/>
          <w:bCs/>
          <w:color w:val="0A2540"/>
          <w:sz w:val="30"/>
          <w:szCs w:val="30"/>
        </w:rPr>
        <w:t xml:space="preserve">Coberturas especiales: joyas, objetos de valor, equipos electrónicos y comunidades de propietarios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11.1. El régimen de sublímites en el seguro de hogar</w:t>
            </w:r>
          </w:p>
          <w:p>
            <w:pPr>
              <w:spacing w:after="40" w:line="260"/>
            </w:pPr>
            <w:r>
              <w:rPr>
                <w:rFonts w:ascii="Archivo" w:cs="Archivo" w:eastAsia="Archivo" w:hAnsi="Archivo"/>
                <w:sz w:val="18"/>
                <w:szCs w:val="18"/>
              </w:rPr>
              <w:t xml:space="preserve">11.2. Joyas y objetos de valor</w:t>
            </w:r>
          </w:p>
          <w:p>
            <w:pPr>
              <w:spacing w:after="40" w:line="260"/>
            </w:pPr>
            <w:r>
              <w:rPr>
                <w:rFonts w:ascii="Archivo" w:cs="Archivo" w:eastAsia="Archivo" w:hAnsi="Archivo"/>
                <w:sz w:val="18"/>
                <w:szCs w:val="18"/>
              </w:rPr>
              <w:t xml:space="preserve">11.3. Equipos electrónicos, informáticos y de telefonía</w:t>
            </w:r>
          </w:p>
          <w:p>
            <w:pPr>
              <w:spacing w:after="40" w:line="260"/>
            </w:pPr>
            <w:r>
              <w:rPr>
                <w:rFonts w:ascii="Archivo" w:cs="Archivo" w:eastAsia="Archivo" w:hAnsi="Archivo"/>
                <w:sz w:val="18"/>
                <w:szCs w:val="18"/>
              </w:rPr>
              <w:t xml:space="preserve">11.4. Obras de arte y colecciones</w:t>
            </w:r>
          </w:p>
          <w:p>
            <w:pPr>
              <w:spacing w:after="40" w:line="260"/>
            </w:pPr>
            <w:r>
              <w:rPr>
                <w:rFonts w:ascii="Archivo" w:cs="Archivo" w:eastAsia="Archivo" w:hAnsi="Archivo"/>
                <w:sz w:val="18"/>
                <w:szCs w:val="18"/>
              </w:rPr>
              <w:t xml:space="preserve">11.5. El seguro de la comunidad de propietarios y su interacción con la póliza individual</w:t>
            </w:r>
          </w:p>
          <w:p>
            <w:pPr>
              <w:spacing w:after="40" w:line="260"/>
            </w:pPr>
            <w:r>
              <w:rPr>
                <w:rFonts w:ascii="Archivo" w:cs="Archivo" w:eastAsia="Archivo" w:hAnsi="Archivo"/>
                <w:sz w:val="18"/>
                <w:szCs w:val="18"/>
              </w:rPr>
              <w:t xml:space="preserve">11.6. Nuevos riesgos del hogar: domótica, autoconsumo eléctrico y ciberriesgos domésticos</w:t>
            </w:r>
          </w:p>
          <w:p>
            <w:pPr>
              <w:spacing w:after="40" w:line="260"/>
            </w:pPr>
            <w:r>
              <w:rPr>
                <w:rFonts w:ascii="Archivo" w:cs="Archivo" w:eastAsia="Archivo" w:hAnsi="Archivo"/>
                <w:sz w:val="18"/>
                <w:szCs w:val="18"/>
              </w:rPr>
              <w:t xml:space="preserve">11.7. Ficha para el profesional</w:t>
            </w:r>
          </w:p>
          <w:p>
            <w:pPr>
              <w:spacing w:after="40" w:line="260"/>
            </w:pPr>
            <w:r>
              <w:rPr>
                <w:rFonts w:ascii="Archivo" w:cs="Archivo" w:eastAsia="Archivo" w:hAnsi="Archivo"/>
                <w:sz w:val="18"/>
                <w:szCs w:val="18"/>
              </w:rPr>
              <w:t xml:space="preserve">11.8. Ficha para el asegurado</w:t>
            </w:r>
          </w:p>
          <w:p>
            <w:pPr>
              <w:spacing w:after="40" w:line="260"/>
            </w:pPr>
            <w:r>
              <w:rPr>
                <w:rFonts w:ascii="Archivo" w:cs="Archivo" w:eastAsia="Archivo" w:hAnsi="Archivo"/>
                <w:sz w:val="18"/>
                <w:szCs w:val="18"/>
              </w:rPr>
              <w:t xml:space="preserve">11.9. Checklist: revisión de sublímites y coberturas especiales</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sistematiza las coberturas especiales o adicionales del seguro de hogar —joyas, dinero en efectivo, equipos electrónicos, obras de arte— estructuradas técnicamente como sublímites dentro de la suma asegurada general del contenido, y su calificación como cláusulas delimitadoras o limitativas conforme a la doctrina ya expuesta en los capítulos 1 y 5. Se completa con el estudio de la interacción entre el seguro individual del propietario y el seguro de la comunidad de propietarios en régimen de propiedad horizontal.</w:t>
            </w:r>
          </w:p>
          <w:p>
            <w:pPr>
              <w:spacing w:after="160"/>
            </w:pPr>
            <w:r>
              <w:rPr>
                <w:rFonts w:ascii="Archivo" w:cs="Archivo" w:eastAsia="Archivo" w:hAnsi="Archivo"/>
                <w:b/>
                <w:bCs/>
                <w:sz w:val="17"/>
                <w:szCs w:val="17"/>
              </w:rPr>
              <w:t xml:space="preserve">Palabras clave: sublímites, joyas, objetos de valor, equipos electrónicos, comunidad de propietarios, seguro de comunidad.</w:t>
            </w:r>
          </w:p>
          <w:p>
            <w:pPr>
              <w:spacing w:after="100"/>
              <w:jc w:val="both"/>
            </w:pPr>
            <w:r>
              <w:rPr>
                <w:rFonts w:ascii="Archivo" w:cs="Archivo" w:eastAsia="Archivo" w:hAnsi="Archivo"/>
                <w:i/>
                <w:iCs/>
                <w:sz w:val="18"/>
                <w:szCs w:val="18"/>
              </w:rPr>
              <w:t xml:space="preserve">This chapter systematises the special or additional covers of homeowners' insurance —jewellery, cash, electronic equipment, artwork— structured technically as sub-limits within the overall contents sum insured, and their classification as risk-delimiting or rights-limiting clauses under the doctrine already set out in Chapters 1 and 4. It closes with an examination of the interaction between an individual owner's policy and the homeowners' association's own insurance under the condominium regime.</w:t>
            </w:r>
          </w:p>
          <w:p>
            <w:pPr>
              <w:spacing w:after="0"/>
            </w:pPr>
            <w:r>
              <w:rPr>
                <w:rFonts w:ascii="Archivo" w:cs="Archivo" w:eastAsia="Archivo" w:hAnsi="Archivo"/>
                <w:b/>
                <w:bCs/>
                <w:sz w:val="17"/>
                <w:szCs w:val="17"/>
              </w:rPr>
              <w:t xml:space="preserve">Keywords: sub-limits, jewellery, valuables, electronic equipment, condominium insurance.</w:t>
            </w:r>
          </w:p>
        </w:tc>
      </w:tr>
    </w:tbl>
    <w:p>
      <w:pPr>
        <w:spacing w:after="200"/>
      </w:pPr>
    </w:p>
    <w:p>
      <w:pPr>
        <w:pStyle w:val="Heading2"/>
        <w:spacing w:after="160" w:before="400"/>
      </w:pPr>
      <w:r>
        <w:rPr>
          <w:rFonts w:ascii="Fraunces" w:cs="Fraunces" w:eastAsia="Fraunces" w:hAnsi="Fraunces"/>
          <w:b/>
          <w:bCs/>
          <w:color w:val="0A2540"/>
          <w:sz w:val="24"/>
          <w:szCs w:val="24"/>
        </w:rPr>
        <w:t xml:space="preserve">11.1. El régimen de sublímites en el seguro de hogar</w:t>
      </w:r>
    </w:p>
    <w:p>
      <w:pPr>
        <w:spacing w:after="180" w:line="300"/>
        <w:jc w:val="both"/>
      </w:pPr>
      <w:r>
        <w:rPr>
          <w:rFonts w:ascii="Archivo" w:cs="Archivo" w:eastAsia="Archivo" w:hAnsi="Archivo"/>
          <w:sz w:val="21"/>
          <w:szCs w:val="21"/>
        </w:rPr>
        <w:t xml:space="preserve">Como se anticipó en el capítulo 1, la práctica aseguradora somete determinadas categorías de bienes del contenido a sublímites cuantitativos específicos, inferiores a la suma asegurada general del contenido. Técnicamente, un sublímite es una cláusula delimitadora del objeto de la cobertura —concreta hasta qué importe responde la aseguradora respecto de una determinada categoría de bienes—, pero su calificación puede mudar a limitativa, e incluso lesiva, cuando se aparta de forma sorpresiva de las expectativas razonables del asegurado sobre el alcance de su cobertura general</w:t>
      </w:r>
      <w:r>
        <w:rPr>
          <w:rStyle w:val="FootnoteReference"/>
        </w:rPr>
        <w:footnoteReference w:id="30"/>
      </w:r>
      <w:r>
        <w:rPr>
          <w:rFonts w:ascii="Archivo" w:cs="Archivo" w:eastAsia="Archivo" w:hAnsi="Archivo"/>
          <w:sz w:val="21"/>
          <w:szCs w:val="21"/>
        </w:rPr>
        <w:t xml:space="preserve">, conforme a la metodología de análisis fijada en el capítulo 5.</w:t>
      </w:r>
    </w:p>
    <w:p>
      <w:pPr>
        <w:pStyle w:val="Heading2"/>
        <w:spacing w:after="160" w:before="400"/>
      </w:pPr>
      <w:r>
        <w:rPr>
          <w:rFonts w:ascii="Fraunces" w:cs="Fraunces" w:eastAsia="Fraunces" w:hAnsi="Fraunces"/>
          <w:b/>
          <w:bCs/>
          <w:color w:val="0A2540"/>
          <w:sz w:val="24"/>
          <w:szCs w:val="24"/>
        </w:rPr>
        <w:t xml:space="preserve">11.2. Joyas y objetos de valor</w:t>
      </w:r>
    </w:p>
    <w:p>
      <w:pPr>
        <w:spacing w:after="180" w:line="300"/>
        <w:jc w:val="both"/>
      </w:pPr>
      <w:r>
        <w:rPr>
          <w:rFonts w:ascii="Archivo" w:cs="Archivo" w:eastAsia="Archivo" w:hAnsi="Archivo"/>
          <w:sz w:val="21"/>
          <w:szCs w:val="21"/>
        </w:rPr>
        <w:t xml:space="preserve">El artículo 46 LCS, estudiado en el capítulo 7, excluye de la cobertura estándar de incendio, «salvo pacto expreso en contrario», los valores mobiliarios, billetes de banco, piedras y metales preciosos y objetos artísticos. La práctica aseguradora traduce esta reserva legal en un sublímite específico para joyas y objetos de valor, normalmente fijado como un porcentaje reducido de la suma asegurada general del contenido, que conviene verificar expresamente en las condiciones particulares. Además del límite cuantitativo, es habitual que estas garantías exijan la acreditación reforzada de la preexistencia (facturas, tasaciones, fotografías) y, en ocasiones, la custodia en caja fuerte como condición de cobertura para determinados umbrales de valor —cláusula cuyo carácter limitativo, si no está debidamente destacada y aceptada conforme al art. 3 LCS, puede ser cuestionado con los mismos argumentos ya expuestos en el capítulo 5.</w:t>
      </w:r>
    </w:p>
    <w:p>
      <w:pPr>
        <w:pStyle w:val="Heading2"/>
        <w:spacing w:after="160" w:before="400"/>
      </w:pPr>
      <w:r>
        <w:rPr>
          <w:rFonts w:ascii="Fraunces" w:cs="Fraunces" w:eastAsia="Fraunces" w:hAnsi="Fraunces"/>
          <w:b/>
          <w:bCs/>
          <w:color w:val="0A2540"/>
          <w:sz w:val="24"/>
          <w:szCs w:val="24"/>
        </w:rPr>
        <w:t xml:space="preserve">11.3. Equipos electrónicos, informáticos y de telefonía</w:t>
      </w:r>
    </w:p>
    <w:p>
      <w:pPr>
        <w:spacing w:after="180" w:line="300"/>
        <w:jc w:val="both"/>
      </w:pPr>
      <w:r>
        <w:rPr>
          <w:rFonts w:ascii="Archivo" w:cs="Archivo" w:eastAsia="Archivo" w:hAnsi="Archivo"/>
          <w:sz w:val="21"/>
          <w:szCs w:val="21"/>
        </w:rPr>
        <w:t xml:space="preserve">La cobertura de equipos electrónicos plantea una problemática específica derivada de su rápida obsolescencia y depreciación: la distinción, ya analizada en el capítulo 1 a propósito de la STS 2233/2020 (ROJ: STS 2233/2020) sobre prendas de vestir, entre valoración por «valor real» y por «valor de reposición» adquiere aquí especial relevancia económica, dada la disparidad frecuente entre ambos criterios en bienes tecnológicos. El profesional debe verificar con particular atención qué criterio de valoración aplica la póliza a esta categoría de bienes, por ser habitualmente la fuente de mayor discrepancia económica entre la expectativa del asegurado y la oferta de la aseguradora.</w:t>
      </w:r>
    </w:p>
    <w:p>
      <w:pPr>
        <w:pStyle w:val="Heading2"/>
        <w:spacing w:after="160" w:before="400"/>
      </w:pPr>
      <w:r>
        <w:rPr>
          <w:rFonts w:ascii="Fraunces" w:cs="Fraunces" w:eastAsia="Fraunces" w:hAnsi="Fraunces"/>
          <w:b/>
          <w:bCs/>
          <w:color w:val="0A2540"/>
          <w:sz w:val="24"/>
          <w:szCs w:val="24"/>
        </w:rPr>
        <w:t xml:space="preserve">11.4. Obras de arte y colecciones</w:t>
      </w:r>
    </w:p>
    <w:p>
      <w:pPr>
        <w:spacing w:after="180" w:line="300"/>
        <w:jc w:val="both"/>
      </w:pPr>
      <w:r>
        <w:rPr>
          <w:rFonts w:ascii="Archivo" w:cs="Archivo" w:eastAsia="Archivo" w:hAnsi="Archivo"/>
          <w:sz w:val="21"/>
          <w:szCs w:val="21"/>
        </w:rPr>
        <w:t xml:space="preserve">Las pólizas de hogar de gama alta incorporan, en ocasiones mediante condiciones especiales específicas, coberturas para obras de arte, antigüedades o colecciones, sujetas normalmente a la aportación de una tasación pericial previa a la contratación (declaración de valor) que, a diferencia del régimen general, puede vincular contractualmente a las partes sobre el valor del bien a efectos de la indemnización, atemperando en la práctica la aplicación de la regla proporcional del infraseguro estudiada en el capítulo 19 respecto de estos bienes concretos, siempre que la declaración de valor haya sido expresamente aceptada por la aseguradora.</w:t>
      </w:r>
    </w:p>
    <w:p>
      <w:pPr>
        <w:pStyle w:val="Heading2"/>
        <w:spacing w:after="160" w:before="400"/>
      </w:pPr>
      <w:r>
        <w:rPr>
          <w:rFonts w:ascii="Fraunces" w:cs="Fraunces" w:eastAsia="Fraunces" w:hAnsi="Fraunces"/>
          <w:b/>
          <w:bCs/>
          <w:color w:val="0A2540"/>
          <w:sz w:val="24"/>
          <w:szCs w:val="24"/>
        </w:rPr>
        <w:t xml:space="preserve">11.5. El seguro de la comunidad de propietarios y su interacción con la póliza individual</w:t>
      </w:r>
    </w:p>
    <w:p>
      <w:pPr>
        <w:spacing w:after="180" w:line="300"/>
        <w:jc w:val="both"/>
      </w:pPr>
      <w:r>
        <w:rPr>
          <w:rFonts w:ascii="Archivo" w:cs="Archivo" w:eastAsia="Archivo" w:hAnsi="Archivo"/>
          <w:sz w:val="21"/>
          <w:szCs w:val="21"/>
        </w:rPr>
        <w:t xml:space="preserve">La Ley de Propiedad Horizontal no impone con carácter general la obligación de asegurar el edificio, pero sí prevé expresamente la posibilidad de que la comunidad, con cargo al fondo de reserva obligatorio, suscriba un contrato de seguro que cubra los daños causados en la finca</w:t>
      </w:r>
      <w:r>
        <w:rPr>
          <w:rStyle w:val="FootnoteReference"/>
        </w:rPr>
        <w:footnoteReference w:id="31"/>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9.1.f) LPH (extracto)</w:t>
            </w:r>
          </w:p>
          <w:p>
            <w:pPr>
              <w:spacing w:after="0" w:line="280"/>
              <w:jc w:val="both"/>
            </w:pPr>
            <w:r>
              <w:rPr>
                <w:rFonts w:ascii="IBM Plex Mono" w:cs="IBM Plex Mono" w:eastAsia="IBM Plex Mono" w:hAnsi="IBM Plex Mono"/>
                <w:i/>
                <w:iCs/>
                <w:color w:val="0A2540"/>
                <w:sz w:val="18"/>
                <w:szCs w:val="18"/>
              </w:rPr>
              <w:t xml:space="preserve">Con cargo al fondo de reserva la comunidad podrá suscribir un contrato de seguro que cubra los daños causados en la finca o bien concluir un contrato de mantenimiento permanente del inmueble y sus instalaciones generales.</w:t>
            </w:r>
          </w:p>
        </w:tc>
      </w:tr>
    </w:tbl>
    <w:p>
      <w:pPr>
        <w:spacing w:after="180" w:line="300"/>
        <w:jc w:val="both"/>
      </w:pPr>
      <w:r>
        <w:rPr>
          <w:rFonts w:ascii="Archivo" w:cs="Archivo" w:eastAsia="Archivo" w:hAnsi="Archivo"/>
          <w:sz w:val="21"/>
          <w:szCs w:val="21"/>
        </w:rPr>
        <w:t xml:space="preserve">Cuando existe seguro de comunidad, su interacción con la póliza individual de cada propietario debe analizarse, como se expuso en el capítulo 8 a propósito de la STS 1227/2025 (ROJ: STS 1227/2025), verificando la identidad de riesgo e interés asegurado en cada caso concreto: la propia sentencia distingue expresamente los supuestos de «coberturas concurrentes de elementos privativos de inmuebles en propiedad horizontal» —en los que resulta más fácil apreciar dicha identidad y, por tanto, aplicar la contribución proporcional del art. 32 LCS— de otros supuestos, como el arrendamiento, en los que el interés asegurado por cada póliza puede ser sustancialmente distinto.</w:t>
      </w:r>
    </w:p>
    <w:p>
      <w:pPr>
        <w:pStyle w:val="Heading2"/>
        <w:spacing w:after="160" w:before="400"/>
      </w:pPr>
      <w:r>
        <w:rPr>
          <w:rFonts w:ascii="Fraunces" w:cs="Fraunces" w:eastAsia="Fraunces" w:hAnsi="Fraunces"/>
          <w:b/>
          <w:bCs/>
          <w:color w:val="0A2540"/>
          <w:sz w:val="24"/>
          <w:szCs w:val="24"/>
        </w:rPr>
        <w:t xml:space="preserve">11.6. Nuevos riesgos del hogar: domótica, autoconsumo eléctrico y ciberriesgos domésticos</w:t>
      </w:r>
    </w:p>
    <w:p>
      <w:pPr>
        <w:spacing w:after="180" w:line="300"/>
        <w:jc w:val="both"/>
      </w:pPr>
      <w:r>
        <w:rPr>
          <w:rFonts w:ascii="Archivo" w:cs="Archivo" w:eastAsia="Archivo" w:hAnsi="Archivo"/>
          <w:sz w:val="21"/>
          <w:szCs w:val="21"/>
        </w:rPr>
        <w:t xml:space="preserve">La transformación tecnológica de la vivienda española plantea, con una velocidad muy superior a la de la reforma legislativa, cuestiones de cobertura que ni la LCS ni buena parte del clausulado tradicional resuelven de forma expresa, lo que exige del profesional un ejercicio de encaje analógico particularmente cuidadoso</w:t>
      </w:r>
      <w:r>
        <w:rPr>
          <w:rStyle w:val="FootnoteReference"/>
        </w:rPr>
        <w:footnoteReference w:id="32"/>
      </w:r>
      <w:r>
        <w:rPr>
          <w:rFonts w:ascii="Archivo" w:cs="Archivo" w:eastAsia="Archivo" w:hAnsi="Archivo"/>
          <w:sz w:val="21"/>
          <w:szCs w:val="21"/>
        </w:rPr>
        <w:t xml:space="preserve">:</w:t>
      </w:r>
    </w:p>
    <w:p>
      <w:pPr>
        <w:pStyle w:val="ListParagraph"/>
        <w:numPr>
          <w:ilvl w:val="0"/>
          <w:numId w:val="2"/>
        </w:numPr>
        <w:spacing w:after="100" w:line="290"/>
      </w:pPr>
      <w:r>
        <w:rPr>
          <w:rFonts w:ascii="Archivo" w:cs="Archivo" w:eastAsia="Archivo" w:hAnsi="Archivo"/>
          <w:b/>
          <w:bCs/>
          <w:sz w:val="21"/>
          <w:szCs w:val="21"/>
        </w:rPr>
        <w:t xml:space="preserve">Instalaciones de autoconsumo eléctrico (placas solares) y baterías domésticas: </w:t>
      </w:r>
      <w:r>
        <w:rPr>
          <w:rFonts w:ascii="Archivo" w:cs="Archivo" w:eastAsia="Archivo" w:hAnsi="Archivo"/>
          <w:sz w:val="21"/>
          <w:szCs w:val="21"/>
        </w:rPr>
        <w:t xml:space="preserve">su condición de elementos fijos incorporados a la vivienda permite, en principio, reconducirlos al concepto de continente estudiado en el capítulo 1, pero su elevado valor unitario y su exposición diferenciada a determinados riesgos (fenómenos atmosféricos, sobretensiones) aconsejan verificar si están sujetas a un sublímite propio o exigen declaración expresa al contratar, dado su carácter de circunstancia potencialmente relevante para la valoración del riesgo a efectos del art. 10 LCS (capítulo 4).</w:t>
      </w:r>
    </w:p>
    <w:p>
      <w:pPr>
        <w:pStyle w:val="ListParagraph"/>
        <w:numPr>
          <w:ilvl w:val="0"/>
          <w:numId w:val="2"/>
        </w:numPr>
        <w:spacing w:after="100" w:line="290"/>
      </w:pPr>
      <w:r>
        <w:rPr>
          <w:rFonts w:ascii="Archivo" w:cs="Archivo" w:eastAsia="Archivo" w:hAnsi="Archivo"/>
          <w:b/>
          <w:bCs/>
          <w:sz w:val="21"/>
          <w:szCs w:val="21"/>
        </w:rPr>
        <w:t xml:space="preserve">Cargadores de vehículo eléctrico: </w:t>
      </w:r>
      <w:r>
        <w:rPr>
          <w:rFonts w:ascii="Archivo" w:cs="Archivo" w:eastAsia="Archivo" w:hAnsi="Archivo"/>
          <w:sz w:val="21"/>
          <w:szCs w:val="21"/>
        </w:rPr>
        <w:t xml:space="preserve">plantean una doble problemática de cobertura (el propio equipo, como contenido o instalación fija, y los daños que su mal funcionamiento pueda causar, reconducibles a la garantía de daños eléctricos del capítulo 7 o a la de responsabilidad civil del capítulo 13) que exige revisar expresamente su tratamiento en condiciones particulares.</w:t>
      </w:r>
    </w:p>
    <w:p>
      <w:pPr>
        <w:pStyle w:val="ListParagraph"/>
        <w:numPr>
          <w:ilvl w:val="0"/>
          <w:numId w:val="2"/>
        </w:numPr>
        <w:spacing w:after="100" w:line="290"/>
      </w:pPr>
      <w:r>
        <w:rPr>
          <w:rFonts w:ascii="Archivo" w:cs="Archivo" w:eastAsia="Archivo" w:hAnsi="Archivo"/>
          <w:b/>
          <w:bCs/>
          <w:sz w:val="21"/>
          <w:szCs w:val="21"/>
        </w:rPr>
        <w:t xml:space="preserve">Domótica y dispositivos conectados: </w:t>
      </w:r>
      <w:r>
        <w:rPr>
          <w:rFonts w:ascii="Archivo" w:cs="Archivo" w:eastAsia="Archivo" w:hAnsi="Archivo"/>
          <w:sz w:val="21"/>
          <w:szCs w:val="21"/>
        </w:rPr>
        <w:t xml:space="preserve">su valor como contenido está normalmente cubierto por las garantías estándar de incendio, agua o robo, pero los daños derivados específicamente de su mal funcionamiento informático (no físico) plantean una cuestión de encaje más compleja, próxima a los ciberriesgos.</w:t>
      </w:r>
    </w:p>
    <w:p>
      <w:pPr>
        <w:pStyle w:val="ListParagraph"/>
        <w:numPr>
          <w:ilvl w:val="0"/>
          <w:numId w:val="2"/>
        </w:numPr>
        <w:spacing w:after="100" w:line="290"/>
      </w:pPr>
      <w:r>
        <w:rPr>
          <w:rFonts w:ascii="Archivo" w:cs="Archivo" w:eastAsia="Archivo" w:hAnsi="Archivo"/>
          <w:b/>
          <w:bCs/>
          <w:sz w:val="21"/>
          <w:szCs w:val="21"/>
        </w:rPr>
        <w:t xml:space="preserve">Ciberriesgos domésticos: </w:t>
      </w:r>
      <w:r>
        <w:rPr>
          <w:rFonts w:ascii="Archivo" w:cs="Archivo" w:eastAsia="Archivo" w:hAnsi="Archivo"/>
          <w:sz w:val="21"/>
          <w:szCs w:val="21"/>
        </w:rPr>
        <w:t xml:space="preserve">fraude informático, suplantación de identidad o ataques a la red doméstica son, en la generalidad de las pólizas de hogar españolas actuales, riesgos no cubiertos por defecto, salvo que se haya contratado expresamente una garantía específica de ciberprotección doméstica, cada vez más ofrecida como cobertura opcional autónoma y sujeta a su propio clausulado, ajeno al régimen de las garantías materiales tradicionales estudiadas en esta obra.</w:t>
      </w:r>
    </w:p>
    <w:p>
      <w:pPr>
        <w:pStyle w:val="ListParagraph"/>
        <w:numPr>
          <w:ilvl w:val="0"/>
          <w:numId w:val="2"/>
        </w:numPr>
        <w:spacing w:after="100" w:line="290"/>
      </w:pPr>
      <w:r>
        <w:rPr>
          <w:rFonts w:ascii="Archivo" w:cs="Archivo" w:eastAsia="Archivo" w:hAnsi="Archivo"/>
          <w:b/>
          <w:bCs/>
          <w:sz w:val="21"/>
          <w:szCs w:val="21"/>
        </w:rPr>
        <w:t xml:space="preserve">Alquiler vacacional y teletrabajo: </w:t>
      </w:r>
      <w:r>
        <w:rPr>
          <w:rFonts w:ascii="Archivo" w:cs="Archivo" w:eastAsia="Archivo" w:hAnsi="Archivo"/>
          <w:sz w:val="21"/>
          <w:szCs w:val="21"/>
        </w:rPr>
        <w:t xml:space="preserve">el uso de la vivienda para alquiler turístico de corta duración o para el desarrollo de una actividad profesional o empresarial puede constituir, si no fue declarado al contratar, una circunstancia relevante para la valoración del riesgo (art. 10 LCS) o una agravación sobrevenida (art. 11 LCS) sujeta al régimen ya estudiado en el capítulo 4, por lo que su comunicación expresa a la aseguradora es una cautela elemental antes de destinar la vivienda a estos usos.</w:t>
      </w:r>
    </w:p>
    <w:p>
      <w:pPr>
        <w:spacing w:after="180" w:line="300"/>
        <w:jc w:val="both"/>
      </w:pPr>
      <w:r>
        <w:rPr>
          <w:rFonts w:ascii="Archivo" w:cs="Archivo" w:eastAsia="Archivo" w:hAnsi="Archivo"/>
          <w:sz w:val="21"/>
          <w:szCs w:val="21"/>
        </w:rPr>
        <w:t xml:space="preserve">La pauta metodológica general ante cualquiera de estos supuestos es la misma que rige el resto de la obra: en ausencia de previsión expresa en la póliza, debe estarse al contenido natural y a la expectativa razonable del asegurado medio del producto contratado (capítulo 1), sin que la mera novedad técnica del riesgo permita presumir ni su cobertura automática ni su exclusión automática.</w:t>
      </w:r>
    </w:p>
    <w:p>
      <w:pPr>
        <w:pStyle w:val="Heading2"/>
        <w:spacing w:after="160" w:before="400"/>
      </w:pPr>
      <w:r>
        <w:rPr>
          <w:rFonts w:ascii="Fraunces" w:cs="Fraunces" w:eastAsia="Fraunces" w:hAnsi="Fraunces"/>
          <w:b/>
          <w:bCs/>
          <w:color w:val="0A2540"/>
          <w:sz w:val="24"/>
          <w:szCs w:val="24"/>
        </w:rPr>
        <w:t xml:space="preserve">11.7.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sobre coberturas especiales</w:t>
            </w:r>
          </w:p>
          <w:p>
            <w:pPr>
              <w:pStyle w:val="ListParagraph"/>
              <w:numPr>
                <w:ilvl w:val="0"/>
                <w:numId w:val="2"/>
              </w:numPr>
              <w:spacing w:after="80" w:line="280"/>
            </w:pPr>
            <w:r>
              <w:rPr>
                <w:rFonts w:ascii="Archivo" w:cs="Archivo" w:eastAsia="Archivo" w:hAnsi="Archivo"/>
                <w:sz w:val="19"/>
                <w:szCs w:val="19"/>
              </w:rPr>
              <w:t xml:space="preserve">Verificar la existencia y cuantía de cada sublímite (joyas, dinero, equipos electrónicos, obras de arte) frente a la suma asegurada general del contenido.</w:t>
            </w:r>
          </w:p>
          <w:p>
            <w:pPr>
              <w:pStyle w:val="ListParagraph"/>
              <w:numPr>
                <w:ilvl w:val="0"/>
                <w:numId w:val="2"/>
              </w:numPr>
              <w:spacing w:after="80" w:line="280"/>
            </w:pPr>
            <w:r>
              <w:rPr>
                <w:rFonts w:ascii="Archivo" w:cs="Archivo" w:eastAsia="Archivo" w:hAnsi="Archivo"/>
                <w:sz w:val="19"/>
                <w:szCs w:val="19"/>
              </w:rPr>
              <w:t xml:space="preserve">Aplicar la metodología del capítulo 5 (incorporación, calificación, requisitos formales, interpretación) a cada sublímite controvertido, con particular atención a su carácter sorpresivo.</w:t>
            </w:r>
          </w:p>
          <w:p>
            <w:pPr>
              <w:pStyle w:val="ListParagraph"/>
              <w:numPr>
                <w:ilvl w:val="0"/>
                <w:numId w:val="2"/>
              </w:numPr>
              <w:spacing w:after="80" w:line="280"/>
            </w:pPr>
            <w:r>
              <w:rPr>
                <w:rFonts w:ascii="Archivo" w:cs="Archivo" w:eastAsia="Archivo" w:hAnsi="Archivo"/>
                <w:sz w:val="19"/>
                <w:szCs w:val="19"/>
              </w:rPr>
              <w:t xml:space="preserve">En equipos electrónicos, verificar expresamente el criterio de valoración pactado (valor real o de reposición), invocando en su caso la doctrina de la STS 2233/2020 (ROJ: STS 2233/2020).</w:t>
            </w:r>
          </w:p>
          <w:p>
            <w:pPr>
              <w:pStyle w:val="ListParagraph"/>
              <w:numPr>
                <w:ilvl w:val="0"/>
                <w:numId w:val="2"/>
              </w:numPr>
              <w:spacing w:after="80" w:line="280"/>
            </w:pPr>
            <w:r>
              <w:rPr>
                <w:rFonts w:ascii="Archivo" w:cs="Archivo" w:eastAsia="Archivo" w:hAnsi="Archivo"/>
                <w:sz w:val="19"/>
                <w:szCs w:val="19"/>
              </w:rPr>
              <w:t xml:space="preserve">Ante un siniestro que afecte a elementos comunes y privativos simultáneamente, verificar la existencia de seguro de comunidad y la identidad de riesgo e interés con la póliza individual, conforme a la STS 1227/2025 (ROJ: STS 1227/2025).</w:t>
            </w:r>
          </w:p>
          <w:p>
            <w:pPr>
              <w:pStyle w:val="ListParagraph"/>
              <w:numPr>
                <w:ilvl w:val="0"/>
                <w:numId w:val="2"/>
              </w:numPr>
              <w:spacing w:after="80" w:line="280"/>
            </w:pPr>
            <w:r>
              <w:rPr>
                <w:rFonts w:ascii="Archivo" w:cs="Archivo" w:eastAsia="Archivo" w:hAnsi="Archivo"/>
                <w:sz w:val="19"/>
                <w:szCs w:val="19"/>
              </w:rPr>
              <w:t xml:space="preserve">Ante nuevos riesgos del hogar (placas solares, domótica, ciberriesgos, alquiler vacacional), verificar expresamente su tratamiento contractual y, en su caso, su relevancia a efectos del deber de declaración del riesgo del art. 10 LCS.</w:t>
            </w:r>
          </w:p>
        </w:tc>
      </w:tr>
    </w:tbl>
    <w:p>
      <w:pPr>
        <w:pStyle w:val="Heading2"/>
        <w:spacing w:after="160" w:before="400"/>
      </w:pPr>
      <w:r>
        <w:rPr>
          <w:rFonts w:ascii="Fraunces" w:cs="Fraunces" w:eastAsia="Fraunces" w:hAnsi="Fraunces"/>
          <w:b/>
          <w:bCs/>
          <w:color w:val="0A2540"/>
          <w:sz w:val="24"/>
          <w:szCs w:val="24"/>
        </w:rPr>
        <w:t xml:space="preserve">11.8.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revisar sobre sus bienes de especial valor</w:t>
            </w:r>
          </w:p>
          <w:p>
            <w:pPr>
              <w:pStyle w:val="ListParagraph"/>
              <w:numPr>
                <w:ilvl w:val="0"/>
                <w:numId w:val="2"/>
              </w:numPr>
              <w:spacing w:after="80" w:line="280"/>
            </w:pPr>
            <w:r>
              <w:rPr>
                <w:rFonts w:ascii="Archivo" w:cs="Archivo" w:eastAsia="Archivo" w:hAnsi="Archivo"/>
                <w:sz w:val="19"/>
                <w:szCs w:val="19"/>
              </w:rPr>
              <w:t xml:space="preserve">Si posee joyas, dinero en efectivo u objetos de valor por encima del sublímite estándar de su póliza, valore contratar una ampliación específica de esta garantía.</w:t>
            </w:r>
          </w:p>
          <w:p>
            <w:pPr>
              <w:pStyle w:val="ListParagraph"/>
              <w:numPr>
                <w:ilvl w:val="0"/>
                <w:numId w:val="2"/>
              </w:numPr>
              <w:spacing w:after="80" w:line="280"/>
            </w:pPr>
            <w:r>
              <w:rPr>
                <w:rFonts w:ascii="Archivo" w:cs="Archivo" w:eastAsia="Archivo" w:hAnsi="Archivo"/>
                <w:sz w:val="19"/>
                <w:szCs w:val="19"/>
              </w:rPr>
              <w:t xml:space="preserve">Conserve facturas, tasaciones y fotografías de sus bienes de mayor valor: son la prueba más eficaz en caso de siniestro.</w:t>
            </w:r>
          </w:p>
          <w:p>
            <w:pPr>
              <w:pStyle w:val="ListParagraph"/>
              <w:numPr>
                <w:ilvl w:val="0"/>
                <w:numId w:val="2"/>
              </w:numPr>
              <w:spacing w:after="80" w:line="280"/>
            </w:pPr>
            <w:r>
              <w:rPr>
                <w:rFonts w:ascii="Archivo" w:cs="Archivo" w:eastAsia="Archivo" w:hAnsi="Archivo"/>
                <w:sz w:val="19"/>
                <w:szCs w:val="19"/>
              </w:rPr>
              <w:t xml:space="preserve">Pregunte a su aseguradora si su comunidad de propietarios tiene contratado un seguro propio y qué cubre exactamente, para evitar solapamientos o lagunas de cobertura.</w:t>
            </w:r>
          </w:p>
        </w:tc>
      </w:tr>
    </w:tbl>
    <w:p>
      <w:pPr>
        <w:pStyle w:val="Heading2"/>
        <w:spacing w:after="160" w:before="400"/>
      </w:pPr>
      <w:r>
        <w:rPr>
          <w:rFonts w:ascii="Fraunces" w:cs="Fraunces" w:eastAsia="Fraunces" w:hAnsi="Fraunces"/>
          <w:b/>
          <w:bCs/>
          <w:color w:val="0A2540"/>
          <w:sz w:val="24"/>
          <w:szCs w:val="24"/>
        </w:rPr>
        <w:t xml:space="preserve">11.9. Checklist: revisión de sublímites y coberturas especiales</w:t>
      </w:r>
    </w:p>
    <w:p>
      <w:pPr>
        <w:pStyle w:val="ListParagraph"/>
        <w:numPr>
          <w:ilvl w:val="0"/>
          <w:numId w:val="2"/>
        </w:numPr>
        <w:spacing w:after="100" w:line="290"/>
      </w:pPr>
      <w:r>
        <w:rPr>
          <w:rFonts w:ascii="Archivo" w:cs="Archivo" w:eastAsia="Archivo" w:hAnsi="Archivo"/>
          <w:sz w:val="21"/>
          <w:szCs w:val="21"/>
        </w:rPr>
        <w:t xml:space="preserve">1. ¿Qué sublímite tiene pactado para joyas y objetos de valor, y es suficiente para los bienes que realmente posee?</w:t>
      </w:r>
    </w:p>
    <w:p>
      <w:pPr>
        <w:pStyle w:val="ListParagraph"/>
        <w:numPr>
          <w:ilvl w:val="0"/>
          <w:numId w:val="2"/>
        </w:numPr>
        <w:spacing w:after="100" w:line="290"/>
      </w:pPr>
      <w:r>
        <w:rPr>
          <w:rFonts w:ascii="Archivo" w:cs="Archivo" w:eastAsia="Archivo" w:hAnsi="Archivo"/>
          <w:sz w:val="21"/>
          <w:szCs w:val="21"/>
        </w:rPr>
        <w:t xml:space="preserve">2. ¿Qué sublímite tiene para dinero en efectivo dentro y fuera de la vivienda?</w:t>
      </w:r>
    </w:p>
    <w:p>
      <w:pPr>
        <w:pStyle w:val="ListParagraph"/>
        <w:numPr>
          <w:ilvl w:val="0"/>
          <w:numId w:val="2"/>
        </w:numPr>
        <w:spacing w:after="100" w:line="290"/>
      </w:pPr>
      <w:r>
        <w:rPr>
          <w:rFonts w:ascii="Archivo" w:cs="Archivo" w:eastAsia="Archivo" w:hAnsi="Archivo"/>
          <w:sz w:val="21"/>
          <w:szCs w:val="21"/>
        </w:rPr>
        <w:t xml:space="preserve">3. ¿Qué criterio de valoración aplica a los equipos electrónicos (valor real o de reposición)?</w:t>
      </w:r>
    </w:p>
    <w:p>
      <w:pPr>
        <w:pStyle w:val="ListParagraph"/>
        <w:numPr>
          <w:ilvl w:val="0"/>
          <w:numId w:val="2"/>
        </w:numPr>
        <w:spacing w:after="100" w:line="290"/>
      </w:pPr>
      <w:r>
        <w:rPr>
          <w:rFonts w:ascii="Archivo" w:cs="Archivo" w:eastAsia="Archivo" w:hAnsi="Archivo"/>
          <w:sz w:val="21"/>
          <w:szCs w:val="21"/>
        </w:rPr>
        <w:t xml:space="preserve">4. ¿Existe cobertura específica para obras de arte o colecciones, con declaración de valor aceptada por la aseguradora?</w:t>
      </w:r>
    </w:p>
    <w:p>
      <w:pPr>
        <w:pStyle w:val="ListParagraph"/>
        <w:numPr>
          <w:ilvl w:val="0"/>
          <w:numId w:val="2"/>
        </w:numPr>
        <w:spacing w:after="100" w:line="290"/>
      </w:pPr>
      <w:r>
        <w:rPr>
          <w:rFonts w:ascii="Archivo" w:cs="Archivo" w:eastAsia="Archivo" w:hAnsi="Archivo"/>
          <w:sz w:val="21"/>
          <w:szCs w:val="21"/>
        </w:rPr>
        <w:t xml:space="preserve">5. ¿Existe seguro de la comunidad de propietarios? ¿Qué elementos cubre?</w:t>
      </w:r>
    </w:p>
    <w:p>
      <w:pPr>
        <w:pStyle w:val="ListParagraph"/>
        <w:numPr>
          <w:ilvl w:val="0"/>
          <w:numId w:val="2"/>
        </w:numPr>
        <w:spacing w:after="100" w:line="290"/>
      </w:pPr>
      <w:r>
        <w:rPr>
          <w:rFonts w:ascii="Archivo" w:cs="Archivo" w:eastAsia="Archivo" w:hAnsi="Archivo"/>
          <w:sz w:val="21"/>
          <w:szCs w:val="21"/>
        </w:rPr>
        <w:t xml:space="preserve">6. ¿Podría existir concurrencia entre la póliza individual y la de la comunidad respecto de algún elemento?</w:t>
      </w:r>
    </w:p>
    <w:p>
      <w:pPr>
        <w:pStyle w:val="ListParagraph"/>
        <w:numPr>
          <w:ilvl w:val="0"/>
          <w:numId w:val="2"/>
        </w:numPr>
        <w:spacing w:after="100" w:line="290"/>
      </w:pPr>
      <w:r>
        <w:rPr>
          <w:rFonts w:ascii="Archivo" w:cs="Archivo" w:eastAsia="Archivo" w:hAnsi="Archivo"/>
          <w:sz w:val="21"/>
          <w:szCs w:val="21"/>
        </w:rPr>
        <w:t xml:space="preserve">7. ¿Tiene la vivienda placas solares, baterías, cargador de vehículo eléctrico o domótica declarados a la aseguradora?</w:t>
      </w:r>
    </w:p>
    <w:p>
      <w:pPr>
        <w:pStyle w:val="ListParagraph"/>
        <w:numPr>
          <w:ilvl w:val="0"/>
          <w:numId w:val="2"/>
        </w:numPr>
        <w:spacing w:after="100" w:line="290"/>
      </w:pPr>
      <w:r>
        <w:rPr>
          <w:rFonts w:ascii="Archivo" w:cs="Archivo" w:eastAsia="Archivo" w:hAnsi="Archivo"/>
          <w:sz w:val="21"/>
          <w:szCs w:val="21"/>
        </w:rPr>
        <w:t xml:space="preserve">8. ¿Se destina la vivienda, total o parcialmente, a alquiler turístico o actividad profesional? En tal caso, ¿se ha comunicado a la aseguradora?</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BATALLER GRAU, J.; BOQUERA MATARREDONA, J.; OLAVARRÍA IGLESIA, J. (coords.), Comentarios a la Ley de Contrato de Seguro, Tirant lo Blanch, Valencia.</w:t>
      </w:r>
    </w:p>
    <w:p>
      <w:pPr>
        <w:spacing w:after="180" w:line="300"/>
        <w:jc w:val="both"/>
      </w:pPr>
      <w:r>
        <w:rPr>
          <w:rFonts w:ascii="Archivo" w:cs="Archivo" w:eastAsia="Archivo" w:hAnsi="Archivo"/>
          <w:sz w:val="21"/>
          <w:szCs w:val="21"/>
        </w:rPr>
        <w:t xml:space="preserve">VEIGA COPO, A. B., Condiciones generales y particulares en 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16. </w:t>
      </w:r>
      <w:r>
        <w:rPr>
          <w:rFonts w:ascii="Fraunces" w:cs="Fraunces" w:eastAsia="Fraunces" w:hAnsi="Fraunces"/>
          <w:b/>
          <w:bCs/>
          <w:color w:val="0A2540"/>
          <w:sz w:val="30"/>
          <w:szCs w:val="30"/>
        </w:rPr>
        <w:t xml:space="preserve">Exclusiones generales y particulares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12.1. Sistemática de las exclusiones en el seguro de hogar</w:t>
            </w:r>
          </w:p>
          <w:p>
            <w:pPr>
              <w:spacing w:after="40" w:line="260"/>
            </w:pPr>
            <w:r>
              <w:rPr>
                <w:rFonts w:ascii="Archivo" w:cs="Archivo" w:eastAsia="Archivo" w:hAnsi="Archivo"/>
                <w:sz w:val="18"/>
                <w:szCs w:val="18"/>
              </w:rPr>
              <w:t xml:space="preserve">12.2. Exclusiones legales de orden público: dolo y mala fe (art. 19 LCS)</w:t>
            </w:r>
          </w:p>
          <w:p>
            <w:pPr>
              <w:spacing w:after="40" w:line="260"/>
            </w:pPr>
            <w:r>
              <w:rPr>
                <w:rFonts w:ascii="Archivo" w:cs="Archivo" w:eastAsia="Archivo" w:hAnsi="Archivo"/>
                <w:sz w:val="18"/>
                <w:szCs w:val="18"/>
              </w:rPr>
              <w:t xml:space="preserve">12.3. Exclusiones típicas de riesgos catastróficos y bélicos</w:t>
            </w:r>
          </w:p>
          <w:p>
            <w:pPr>
              <w:spacing w:after="40" w:line="260"/>
            </w:pPr>
            <w:r>
              <w:rPr>
                <w:rFonts w:ascii="Archivo" w:cs="Archivo" w:eastAsia="Archivo" w:hAnsi="Archivo"/>
                <w:sz w:val="18"/>
                <w:szCs w:val="18"/>
              </w:rPr>
              <w:t xml:space="preserve">12.4. Exclusiones por vicio propio, desgaste y falta de mantenimiento</w:t>
            </w:r>
          </w:p>
          <w:p>
            <w:pPr>
              <w:spacing w:after="40" w:line="260"/>
            </w:pPr>
            <w:r>
              <w:rPr>
                <w:rFonts w:ascii="Archivo" w:cs="Archivo" w:eastAsia="Archivo" w:hAnsi="Archivo"/>
                <w:sz w:val="18"/>
                <w:szCs w:val="18"/>
              </w:rPr>
              <w:t xml:space="preserve">12.5. Exclusiones por desocupación prolongada de la vivienda</w:t>
            </w:r>
          </w:p>
          <w:p>
            <w:pPr>
              <w:spacing w:after="40" w:line="260"/>
            </w:pPr>
            <w:r>
              <w:rPr>
                <w:rFonts w:ascii="Archivo" w:cs="Archivo" w:eastAsia="Archivo" w:hAnsi="Archivo"/>
                <w:sz w:val="18"/>
                <w:szCs w:val="18"/>
              </w:rPr>
              <w:t xml:space="preserve">12.6. El control de las exclusiones conforme al art. 3 LCS: síntesis metodológica</w:t>
            </w:r>
          </w:p>
          <w:p>
            <w:pPr>
              <w:spacing w:after="40" w:line="260"/>
            </w:pPr>
            <w:r>
              <w:rPr>
                <w:rFonts w:ascii="Archivo" w:cs="Archivo" w:eastAsia="Archivo" w:hAnsi="Archivo"/>
                <w:sz w:val="18"/>
                <w:szCs w:val="18"/>
              </w:rPr>
              <w:t xml:space="preserve">12.7. Ficha para el profesional</w:t>
            </w:r>
          </w:p>
          <w:p>
            <w:pPr>
              <w:spacing w:after="40" w:line="260"/>
            </w:pPr>
            <w:r>
              <w:rPr>
                <w:rFonts w:ascii="Archivo" w:cs="Archivo" w:eastAsia="Archivo" w:hAnsi="Archivo"/>
                <w:sz w:val="18"/>
                <w:szCs w:val="18"/>
              </w:rPr>
              <w:t xml:space="preserve">12.8. Ficha para el asegurado</w:t>
            </w:r>
          </w:p>
          <w:p>
            <w:pPr>
              <w:spacing w:after="40" w:line="260"/>
            </w:pPr>
            <w:r>
              <w:rPr>
                <w:rFonts w:ascii="Archivo" w:cs="Archivo" w:eastAsia="Archivo" w:hAnsi="Archivo"/>
                <w:sz w:val="18"/>
                <w:szCs w:val="18"/>
              </w:rPr>
              <w:t xml:space="preserve">12.9. Checklist: análisis de una exclusión invocada por la aseguradora</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cierra la Parte II sistematizando el régimen de exclusiones del seguro de hogar, distinguiendo las exclusiones legales de orden público —inderogables por pacto— de las exclusiones convencionales, sujetas al régimen general de control del art. 3 LCS ya desarrollado en los capítulos 1 y 5. Se examinan las categorías de exclusión más frecuentes en la práctica: dolo y mala fe, riesgos catastróficos y bélicos, vicio propio y falta de mantenimiento, y desocupación prolongada de la vivienda.</w:t>
            </w:r>
          </w:p>
          <w:p>
            <w:pPr>
              <w:spacing w:after="160"/>
            </w:pPr>
            <w:r>
              <w:rPr>
                <w:rFonts w:ascii="Archivo" w:cs="Archivo" w:eastAsia="Archivo" w:hAnsi="Archivo"/>
                <w:b/>
                <w:bCs/>
                <w:sz w:val="17"/>
                <w:szCs w:val="17"/>
              </w:rPr>
              <w:t xml:space="preserve">Palabras clave: exclusiones, art. 19 LCS, orden público, vicio propio, desocupación de la vivienda.</w:t>
            </w:r>
          </w:p>
          <w:p>
            <w:pPr>
              <w:spacing w:after="100"/>
              <w:jc w:val="both"/>
            </w:pPr>
            <w:r>
              <w:rPr>
                <w:rFonts w:ascii="Archivo" w:cs="Archivo" w:eastAsia="Archivo" w:hAnsi="Archivo"/>
                <w:i/>
                <w:iCs/>
                <w:sz w:val="18"/>
                <w:szCs w:val="18"/>
              </w:rPr>
              <w:t xml:space="preserve">This closing chapter of Part II systematises the exclusions applicable to homeowners' insurance, distinguishing mandatory statutory exclusions from contractual exclusions subject to the general control regime of Article 3 already developed in Chapters 1 and 4. It examines the most frequent exclusion categories in practice: wilful misconduct and bad faith, catastrophic and war risks, inherent defect and lack of maintenance, and prolonged vacancy of the dwelling.</w:t>
            </w:r>
          </w:p>
          <w:p>
            <w:pPr>
              <w:spacing w:after="0"/>
            </w:pPr>
            <w:r>
              <w:rPr>
                <w:rFonts w:ascii="Archivo" w:cs="Archivo" w:eastAsia="Archivo" w:hAnsi="Archivo"/>
                <w:b/>
                <w:bCs/>
                <w:sz w:val="17"/>
                <w:szCs w:val="17"/>
              </w:rPr>
              <w:t xml:space="preserve">Keywords: policy exclusions, public order, inherent vice, prolonged vacancy.</w:t>
            </w:r>
          </w:p>
        </w:tc>
      </w:tr>
    </w:tbl>
    <w:p>
      <w:pPr>
        <w:spacing w:after="200"/>
      </w:pPr>
    </w:p>
    <w:p>
      <w:pPr>
        <w:pStyle w:val="Heading2"/>
        <w:spacing w:after="160" w:before="400"/>
      </w:pPr>
      <w:r>
        <w:rPr>
          <w:rFonts w:ascii="Fraunces" w:cs="Fraunces" w:eastAsia="Fraunces" w:hAnsi="Fraunces"/>
          <w:b/>
          <w:bCs/>
          <w:color w:val="0A2540"/>
          <w:sz w:val="24"/>
          <w:szCs w:val="24"/>
        </w:rPr>
        <w:t xml:space="preserve">12.1. Sistemática de las exclusiones en el seguro de hogar</w:t>
      </w:r>
    </w:p>
    <w:p>
      <w:pPr>
        <w:spacing w:after="180" w:line="300"/>
        <w:jc w:val="both"/>
      </w:pPr>
      <w:r>
        <w:rPr>
          <w:rFonts w:ascii="Archivo" w:cs="Archivo" w:eastAsia="Archivo" w:hAnsi="Archivo"/>
          <w:sz w:val="21"/>
          <w:szCs w:val="21"/>
        </w:rPr>
        <w:t xml:space="preserve">Toda póliza de hogar combina dos tipos de exclusiones de naturaleza jurídica muy distinta, cuya confusión es fuente frecuente de error en la práctica profesional</w:t>
      </w:r>
      <w:r>
        <w:rPr>
          <w:rStyle w:val="FootnoteReference"/>
        </w:rPr>
        <w:footnoteReference w:id="33"/>
      </w:r>
      <w:r>
        <w:rPr>
          <w:rFonts w:ascii="Archivo" w:cs="Archivo" w:eastAsia="Archivo" w:hAnsi="Archivo"/>
          <w:sz w:val="21"/>
          <w:szCs w:val="21"/>
        </w:rPr>
        <w:t xml:space="preserve">:</w:t>
      </w:r>
    </w:p>
    <w:p>
      <w:pPr>
        <w:pStyle w:val="ListParagraph"/>
        <w:numPr>
          <w:ilvl w:val="0"/>
          <w:numId w:val="2"/>
        </w:numPr>
        <w:spacing w:after="100" w:line="290"/>
      </w:pPr>
      <w:r>
        <w:rPr>
          <w:rFonts w:ascii="Archivo" w:cs="Archivo" w:eastAsia="Archivo" w:hAnsi="Archivo"/>
          <w:b/>
          <w:bCs/>
          <w:sz w:val="21"/>
          <w:szCs w:val="21"/>
        </w:rPr>
        <w:t xml:space="preserve">Exclusiones legales de orden público: </w:t>
      </w:r>
      <w:r>
        <w:rPr>
          <w:rFonts w:ascii="Archivo" w:cs="Archivo" w:eastAsia="Archivo" w:hAnsi="Archivo"/>
          <w:sz w:val="21"/>
          <w:szCs w:val="21"/>
        </w:rPr>
        <w:t xml:space="preserve">derivan directamente de la LCS (arts. 19 y 48, entre otros) y no pueden ser alteradas por pacto en perjuicio del asegurado; su fundamento no es contractual sino de orden público asegurador.</w:t>
      </w:r>
    </w:p>
    <w:p>
      <w:pPr>
        <w:pStyle w:val="ListParagraph"/>
        <w:numPr>
          <w:ilvl w:val="0"/>
          <w:numId w:val="2"/>
        </w:numPr>
        <w:spacing w:after="100" w:line="290"/>
      </w:pPr>
      <w:r>
        <w:rPr>
          <w:rFonts w:ascii="Archivo" w:cs="Archivo" w:eastAsia="Archivo" w:hAnsi="Archivo"/>
          <w:b/>
          <w:bCs/>
          <w:sz w:val="21"/>
          <w:szCs w:val="21"/>
        </w:rPr>
        <w:t xml:space="preserve">Exclusiones convencionales: </w:t>
      </w:r>
      <w:r>
        <w:rPr>
          <w:rFonts w:ascii="Archivo" w:cs="Archivo" w:eastAsia="Archivo" w:hAnsi="Archivo"/>
          <w:sz w:val="21"/>
          <w:szCs w:val="21"/>
        </w:rPr>
        <w:t xml:space="preserve">son fruto de la libertad de pactos de las partes dentro de los límites de la LCS, y quedan sometidas íntegramente al régimen de control de incorporación, calificación e interpretación estudiado en los capítulos 1 y 5 (arts. 3 LCS, 5 y 7 LCGC, 1288 CC).</w:t>
      </w:r>
    </w:p>
    <w:p>
      <w:pPr>
        <w:pStyle w:val="Heading2"/>
        <w:spacing w:after="160" w:before="400"/>
      </w:pPr>
      <w:r>
        <w:rPr>
          <w:rFonts w:ascii="Fraunces" w:cs="Fraunces" w:eastAsia="Fraunces" w:hAnsi="Fraunces"/>
          <w:b/>
          <w:bCs/>
          <w:color w:val="0A2540"/>
          <w:sz w:val="24"/>
          <w:szCs w:val="24"/>
        </w:rPr>
        <w:t xml:space="preserve">12.2. Exclusiones legales de orden público: dolo y mala fe</w:t>
      </w:r>
    </w:p>
    <w:p>
      <w:pPr>
        <w:spacing w:after="180" w:line="300"/>
        <w:jc w:val="both"/>
      </w:pPr>
      <w:r>
        <w:rPr>
          <w:rFonts w:ascii="Archivo" w:cs="Archivo" w:eastAsia="Archivo" w:hAnsi="Archivo"/>
          <w:sz w:val="21"/>
          <w:szCs w:val="21"/>
        </w:rPr>
        <w:t xml:space="preserve">La exclusión legal por excelencia en el seguro de daños es la del artículo 19 LCS, ya estudiada en su proyección general en el capítulo 1 y que se desarrolla con detalle en el capítulo 21 de esta obra: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19 LCS</w:t>
            </w:r>
          </w:p>
          <w:p>
            <w:pPr>
              <w:spacing w:after="0" w:line="280"/>
              <w:jc w:val="both"/>
            </w:pPr>
            <w:r>
              <w:rPr>
                <w:rFonts w:ascii="IBM Plex Mono" w:cs="IBM Plex Mono" w:eastAsia="IBM Plex Mono" w:hAnsi="IBM Plex Mono"/>
                <w:i/>
                <w:iCs/>
                <w:color w:val="0A2540"/>
                <w:sz w:val="18"/>
                <w:szCs w:val="18"/>
              </w:rPr>
              <w:t xml:space="preserve">El asegurador estará obligado al pago de la prestación, salvo en el supuesto de que el siniestro haya sido causado por mala fe del asegurado.</w:t>
            </w:r>
          </w:p>
        </w:tc>
      </w:tr>
    </w:tbl>
    <w:p>
      <w:pPr>
        <w:spacing w:after="180" w:line="300"/>
        <w:jc w:val="both"/>
      </w:pPr>
      <w:r>
        <w:rPr>
          <w:rFonts w:ascii="Archivo" w:cs="Archivo" w:eastAsia="Archivo" w:hAnsi="Archivo"/>
          <w:sz w:val="21"/>
          <w:szCs w:val="21"/>
        </w:rPr>
        <w:t xml:space="preserve">Esta exclusión, a diferencia de las convencionales, no necesita figurar destacada en la póliza para desplegar sus efectos: opera ope legis como límite estructural de la propia institución aseguradora, pues un seguro que cubriera el siniestro provocado de mala fe por el propio asegurado dejaría de cumplir su función de traslación de un riesgo incierto y ajeno a la voluntad del asegurado.</w:t>
      </w:r>
    </w:p>
    <w:p>
      <w:pPr>
        <w:pStyle w:val="Heading2"/>
        <w:spacing w:after="160" w:before="400"/>
      </w:pPr>
      <w:r>
        <w:rPr>
          <w:rFonts w:ascii="Fraunces" w:cs="Fraunces" w:eastAsia="Fraunces" w:hAnsi="Fraunces"/>
          <w:b/>
          <w:bCs/>
          <w:color w:val="0A2540"/>
          <w:sz w:val="24"/>
          <w:szCs w:val="24"/>
        </w:rPr>
        <w:t xml:space="preserve">12.3. Exclusiones típicas de riesgos catastróficos y bélicos</w:t>
      </w:r>
    </w:p>
    <w:p>
      <w:pPr>
        <w:spacing w:after="180" w:line="300"/>
        <w:jc w:val="both"/>
      </w:pPr>
      <w:r>
        <w:rPr>
          <w:rFonts w:ascii="Archivo" w:cs="Archivo" w:eastAsia="Archivo" w:hAnsi="Archivo"/>
          <w:sz w:val="21"/>
          <w:szCs w:val="21"/>
        </w:rPr>
        <w:t xml:space="preserve">Las condiciones generales de las pólizas de hogar excluyen de forma prácticamente universal los daños derivados de conflictos armados, energía nuclear y, como se estudió en el capítulo 10, los acontecimientos calificados como «extraordinarios» conforme al RDL 7/2004, cuya cobertura corresponde al Consorcio de Compensación de Seguros y no a la aseguradora privada. Estas exclusiones, aunque formuladas contractualmente, responden a una lógica de distribución legal de riesgos entre el mercado privado y el sistema público de compensación, por lo que su control de incorporación e interpretación, sin dejar de aplicarse, opera con menor intensidad que respecto de exclusiones puramente convencionales sin ese correlato en la distribución legal de riesgos.</w:t>
      </w:r>
    </w:p>
    <w:p>
      <w:pPr>
        <w:pStyle w:val="Heading2"/>
        <w:spacing w:after="160" w:before="400"/>
      </w:pPr>
      <w:r>
        <w:rPr>
          <w:rFonts w:ascii="Fraunces" w:cs="Fraunces" w:eastAsia="Fraunces" w:hAnsi="Fraunces"/>
          <w:b/>
          <w:bCs/>
          <w:color w:val="0A2540"/>
          <w:sz w:val="24"/>
          <w:szCs w:val="24"/>
        </w:rPr>
        <w:t xml:space="preserve">12.4. Exclusiones por vicio propio, desgaste y falta de mantenimiento</w:t>
      </w:r>
    </w:p>
    <w:p>
      <w:pPr>
        <w:spacing w:after="180" w:line="300"/>
        <w:jc w:val="both"/>
      </w:pPr>
      <w:r>
        <w:rPr>
          <w:rFonts w:ascii="Archivo" w:cs="Archivo" w:eastAsia="Archivo" w:hAnsi="Archivo"/>
          <w:sz w:val="21"/>
          <w:szCs w:val="21"/>
        </w:rPr>
        <w:t xml:space="preserve">Como se estudió con detalle en el capítulo 8 a propósito de los daños por agua, la exclusión del vicio propio, el desgaste natural y la falta de mantenimiento es una de las más invocadas —y más litigiosas— en la práctica del seguro de hogar, por la dificultad de distinguir, en el plano técnico, entre el evento súbito y accidental (cubierto) y el proceso de deterioro progresivo (excluido). La metodología de análisis expuesta en el capítulo 8 —prueba pericial sobre la causa técnica del daño, carga de la prueba de la aseguradora que invoca la exclusión, y proyección de la regla contra proferentem ante la duda razonable— es plenamente aplicable a esta categoría de exclusión con independencia de la garantía concreta afectada (agua, incendio, estructura).</w:t>
      </w:r>
    </w:p>
    <w:p>
      <w:pPr>
        <w:pStyle w:val="Heading2"/>
        <w:spacing w:after="160" w:before="400"/>
      </w:pPr>
      <w:r>
        <w:rPr>
          <w:rFonts w:ascii="Fraunces" w:cs="Fraunces" w:eastAsia="Fraunces" w:hAnsi="Fraunces"/>
          <w:b/>
          <w:bCs/>
          <w:color w:val="0A2540"/>
          <w:sz w:val="24"/>
          <w:szCs w:val="24"/>
        </w:rPr>
        <w:t xml:space="preserve">12.5. Exclusiones por desocupación prolongada de la vivienda</w:t>
      </w:r>
    </w:p>
    <w:p>
      <w:pPr>
        <w:spacing w:after="180" w:line="300"/>
        <w:jc w:val="both"/>
      </w:pPr>
      <w:r>
        <w:rPr>
          <w:rFonts w:ascii="Archivo" w:cs="Archivo" w:eastAsia="Archivo" w:hAnsi="Archivo"/>
          <w:sz w:val="21"/>
          <w:szCs w:val="21"/>
        </w:rPr>
        <w:t xml:space="preserve">Es habitual que las condiciones generales excluyan, o limiten severamente, la cobertura de determinados riesgos (típicamente, robo y daños por agua) cuando la vivienda ha permanecido desocupada durante un período prolongado —normalmente entre treinta y noventa días consecutivos, según póliza—, por el incremento objetivo de riesgo que la desocupación comporta</w:t>
      </w:r>
      <w:r>
        <w:rPr>
          <w:rStyle w:val="FootnoteReference"/>
        </w:rPr>
        <w:footnoteReference w:id="34"/>
      </w:r>
      <w:r>
        <w:rPr>
          <w:rFonts w:ascii="Archivo" w:cs="Archivo" w:eastAsia="Archivo" w:hAnsi="Archivo"/>
          <w:sz w:val="21"/>
          <w:szCs w:val="21"/>
        </w:rPr>
        <w:t xml:space="preserve">. Esta exclusión, formulada en términos objetivos de días de desocupación, se califica generalmente como delimitadora del riesgo si está formulada con claridad en las condiciones particulares, pero puede recalificarse como limitativa —y exigir, por tanto, el cumplimiento de los requisitos del art. 3 LCS— cuando su aplicación se extiende de forma sorpresiva a supuestos de desocupación ordinaria y previsible (vacaciones, segunda residencia de uso esporádico) no anunciados con claridad al contratar.</w:t>
      </w:r>
    </w:p>
    <w:p>
      <w:pPr>
        <w:pStyle w:val="Heading2"/>
        <w:spacing w:after="160" w:before="400"/>
      </w:pPr>
      <w:r>
        <w:rPr>
          <w:rFonts w:ascii="Fraunces" w:cs="Fraunces" w:eastAsia="Fraunces" w:hAnsi="Fraunces"/>
          <w:b/>
          <w:bCs/>
          <w:color w:val="0A2540"/>
          <w:sz w:val="24"/>
          <w:szCs w:val="24"/>
        </w:rPr>
        <w:t xml:space="preserve">12.6. El control de las exclusiones conforme al art. 3 LCS: síntesis metodológica</w:t>
      </w:r>
    </w:p>
    <w:p>
      <w:pPr>
        <w:spacing w:after="180" w:line="300"/>
        <w:jc w:val="both"/>
      </w:pPr>
      <w:r>
        <w:rPr>
          <w:rFonts w:ascii="Archivo" w:cs="Archivo" w:eastAsia="Archivo" w:hAnsi="Archivo"/>
          <w:sz w:val="21"/>
          <w:szCs w:val="21"/>
        </w:rPr>
        <w:t xml:space="preserve">Cierra este capítulo, y con él la Parte II de la obra, una síntesis de la metodología de análisis de cualquier exclusión invocada por una aseguradora, que recoge y unifica los criterios desarrollados a lo largo de los capítulos 1, 5, 8 y 16:</w:t>
      </w:r>
    </w:p>
    <w:p>
      <w:pPr>
        <w:pStyle w:val="ListParagraph"/>
        <w:numPr>
          <w:ilvl w:val="0"/>
          <w:numId w:val="2"/>
        </w:numPr>
        <w:spacing w:after="100" w:line="290"/>
      </w:pPr>
      <w:r>
        <w:rPr>
          <w:rFonts w:ascii="Archivo" w:cs="Archivo" w:eastAsia="Archivo" w:hAnsi="Archivo"/>
          <w:sz w:val="21"/>
          <w:szCs w:val="21"/>
        </w:rPr>
        <w:t xml:space="preserve">1. Calificar la naturaleza de la exclusión: legal de orden público (inderogable) o convencional (sujeta al art. 3 LCS).</w:t>
      </w:r>
    </w:p>
    <w:p>
      <w:pPr>
        <w:pStyle w:val="ListParagraph"/>
        <w:numPr>
          <w:ilvl w:val="0"/>
          <w:numId w:val="2"/>
        </w:numPr>
        <w:spacing w:after="100" w:line="290"/>
      </w:pPr>
      <w:r>
        <w:rPr>
          <w:rFonts w:ascii="Archivo" w:cs="Archivo" w:eastAsia="Archivo" w:hAnsi="Archivo"/>
          <w:sz w:val="21"/>
          <w:szCs w:val="21"/>
        </w:rPr>
        <w:t xml:space="preserve">2. Si es convencional, verificar su incorporación efectiva al contrato (arts. 5 y 7 LCGC, capítulo 5).</w:t>
      </w:r>
    </w:p>
    <w:p>
      <w:pPr>
        <w:pStyle w:val="ListParagraph"/>
        <w:numPr>
          <w:ilvl w:val="0"/>
          <w:numId w:val="2"/>
        </w:numPr>
        <w:spacing w:after="100" w:line="290"/>
      </w:pPr>
      <w:r>
        <w:rPr>
          <w:rFonts w:ascii="Archivo" w:cs="Archivo" w:eastAsia="Archivo" w:hAnsi="Archivo"/>
          <w:sz w:val="21"/>
          <w:szCs w:val="21"/>
        </w:rPr>
        <w:t xml:space="preserve">3. Calificarla como delimitadora o limitativa conforme al test de la cláusula sorpresiva (capítulo 1).</w:t>
      </w:r>
    </w:p>
    <w:p>
      <w:pPr>
        <w:pStyle w:val="ListParagraph"/>
        <w:numPr>
          <w:ilvl w:val="0"/>
          <w:numId w:val="2"/>
        </w:numPr>
        <w:spacing w:after="100" w:line="290"/>
      </w:pPr>
      <w:r>
        <w:rPr>
          <w:rFonts w:ascii="Archivo" w:cs="Archivo" w:eastAsia="Archivo" w:hAnsi="Archivo"/>
          <w:sz w:val="21"/>
          <w:szCs w:val="21"/>
        </w:rPr>
        <w:t xml:space="preserve">4. Si es limitativa, verificar el cumplimiento de los requisitos formales del art. 3 LCS (destacado y aceptación específica).</w:t>
      </w:r>
    </w:p>
    <w:p>
      <w:pPr>
        <w:pStyle w:val="ListParagraph"/>
        <w:numPr>
          <w:ilvl w:val="0"/>
          <w:numId w:val="2"/>
        </w:numPr>
        <w:spacing w:after="100" w:line="290"/>
      </w:pPr>
      <w:r>
        <w:rPr>
          <w:rFonts w:ascii="Archivo" w:cs="Archivo" w:eastAsia="Archivo" w:hAnsi="Archivo"/>
          <w:sz w:val="21"/>
          <w:szCs w:val="21"/>
        </w:rPr>
        <w:t xml:space="preserve">5. Ante la persistencia de duda razonable sobre su alcance, proyectar la regla contra proferentem del art. 1288 CC (capítulo 5).</w:t>
      </w:r>
    </w:p>
    <w:p>
      <w:pPr>
        <w:pStyle w:val="ListParagraph"/>
        <w:numPr>
          <w:ilvl w:val="0"/>
          <w:numId w:val="2"/>
        </w:numPr>
        <w:spacing w:after="100" w:line="290"/>
      </w:pPr>
      <w:r>
        <w:rPr>
          <w:rFonts w:ascii="Archivo" w:cs="Archivo" w:eastAsia="Archivo" w:hAnsi="Archivo"/>
          <w:sz w:val="21"/>
          <w:szCs w:val="21"/>
        </w:rPr>
        <w:t xml:space="preserve">6. Si el tomador es consumidor, verificar adicionalmente su conformidad con el TRLGDCU y la LCGC (capítulo 25).</w:t>
      </w:r>
    </w:p>
    <w:p>
      <w:pPr>
        <w:pStyle w:val="Heading2"/>
        <w:spacing w:after="160" w:before="400"/>
      </w:pPr>
      <w:r>
        <w:rPr>
          <w:rFonts w:ascii="Fraunces" w:cs="Fraunces" w:eastAsia="Fraunces" w:hAnsi="Fraunces"/>
          <w:b/>
          <w:bCs/>
          <w:color w:val="0A2540"/>
          <w:sz w:val="24"/>
          <w:szCs w:val="24"/>
        </w:rPr>
        <w:t xml:space="preserve">12.7.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ante cualquier exclusión invocada</w:t>
            </w:r>
          </w:p>
          <w:p>
            <w:pPr>
              <w:pStyle w:val="ListParagraph"/>
              <w:numPr>
                <w:ilvl w:val="0"/>
                <w:numId w:val="2"/>
              </w:numPr>
              <w:spacing w:after="80" w:line="280"/>
            </w:pPr>
            <w:r>
              <w:rPr>
                <w:rFonts w:ascii="Archivo" w:cs="Archivo" w:eastAsia="Archivo" w:hAnsi="Archivo"/>
                <w:sz w:val="19"/>
                <w:szCs w:val="19"/>
              </w:rPr>
              <w:t xml:space="preserve">Aplicar sistemáticamente la síntesis metodológica del epígrafe 12.6 antes de aceptar o impugnar una exclusión invocada por la aseguradora.</w:t>
            </w:r>
          </w:p>
          <w:p>
            <w:pPr>
              <w:pStyle w:val="ListParagraph"/>
              <w:numPr>
                <w:ilvl w:val="0"/>
                <w:numId w:val="2"/>
              </w:numPr>
              <w:spacing w:after="80" w:line="280"/>
            </w:pPr>
            <w:r>
              <w:rPr>
                <w:rFonts w:ascii="Archivo" w:cs="Archivo" w:eastAsia="Archivo" w:hAnsi="Archivo"/>
                <w:sz w:val="19"/>
                <w:szCs w:val="19"/>
              </w:rPr>
              <w:t xml:space="preserve">Distinguir siempre las exclusiones legales de orden público (dolo, mala fe) de las convencionales, porque su régimen de control es radicalmente distinto.</w:t>
            </w:r>
          </w:p>
          <w:p>
            <w:pPr>
              <w:pStyle w:val="ListParagraph"/>
              <w:numPr>
                <w:ilvl w:val="0"/>
                <w:numId w:val="2"/>
              </w:numPr>
              <w:spacing w:after="80" w:line="280"/>
            </w:pPr>
            <w:r>
              <w:rPr>
                <w:rFonts w:ascii="Archivo" w:cs="Archivo" w:eastAsia="Archivo" w:hAnsi="Archivo"/>
                <w:sz w:val="19"/>
                <w:szCs w:val="19"/>
              </w:rPr>
              <w:t xml:space="preserve">En exclusiones por vicio propio o desgaste, exigir prueba pericial cumplida de la causa técnica del daño, sin admitir afirmaciones genéricas de la aseguradora.</w:t>
            </w:r>
          </w:p>
          <w:p>
            <w:pPr>
              <w:pStyle w:val="ListParagraph"/>
              <w:numPr>
                <w:ilvl w:val="0"/>
                <w:numId w:val="2"/>
              </w:numPr>
              <w:spacing w:after="80" w:line="280"/>
            </w:pPr>
            <w:r>
              <w:rPr>
                <w:rFonts w:ascii="Archivo" w:cs="Archivo" w:eastAsia="Archivo" w:hAnsi="Archivo"/>
                <w:sz w:val="19"/>
                <w:szCs w:val="19"/>
              </w:rPr>
              <w:t xml:space="preserve">En exclusiones por desocupación, verificar si el período aplicado a la vivienda concreta constituye realmente un supuesto excepcional o una desocupación ordinaria y previsible.</w:t>
            </w:r>
          </w:p>
        </w:tc>
      </w:tr>
    </w:tbl>
    <w:p>
      <w:pPr>
        <w:pStyle w:val="Heading2"/>
        <w:spacing w:after="160" w:before="400"/>
      </w:pPr>
      <w:r>
        <w:rPr>
          <w:rFonts w:ascii="Fraunces" w:cs="Fraunces" w:eastAsia="Fraunces" w:hAnsi="Fraunces"/>
          <w:b/>
          <w:bCs/>
          <w:color w:val="0A2540"/>
          <w:sz w:val="24"/>
          <w:szCs w:val="24"/>
        </w:rPr>
        <w:t xml:space="preserve">12.8.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comprobar sobre las exclusiones de su póliza</w:t>
            </w:r>
          </w:p>
          <w:p>
            <w:pPr>
              <w:pStyle w:val="ListParagraph"/>
              <w:numPr>
                <w:ilvl w:val="0"/>
                <w:numId w:val="2"/>
              </w:numPr>
              <w:spacing w:after="80" w:line="280"/>
            </w:pPr>
            <w:r>
              <w:rPr>
                <w:rFonts w:ascii="Archivo" w:cs="Archivo" w:eastAsia="Archivo" w:hAnsi="Archivo"/>
                <w:sz w:val="19"/>
                <w:szCs w:val="19"/>
              </w:rPr>
              <w:t xml:space="preserve">Lea con atención el apartado de exclusiones de sus condiciones generales, no solo el de coberturas: le indicará qué situaciones quedan fuera de su protección.</w:t>
            </w:r>
          </w:p>
          <w:p>
            <w:pPr>
              <w:pStyle w:val="ListParagraph"/>
              <w:numPr>
                <w:ilvl w:val="0"/>
                <w:numId w:val="2"/>
              </w:numPr>
              <w:spacing w:after="80" w:line="280"/>
            </w:pPr>
            <w:r>
              <w:rPr>
                <w:rFonts w:ascii="Archivo" w:cs="Archivo" w:eastAsia="Archivo" w:hAnsi="Archivo"/>
                <w:sz w:val="19"/>
                <w:szCs w:val="19"/>
              </w:rPr>
              <w:t xml:space="preserve">Si va a dejar su vivienda desocupada por un período prolongado (obras, viaje largo, cambio de residencia), consulte a su aseguradora si esto afecta a su cobertura y, si es preciso, comunique la circunstancia.</w:t>
            </w:r>
          </w:p>
          <w:p>
            <w:pPr>
              <w:pStyle w:val="ListParagraph"/>
              <w:numPr>
                <w:ilvl w:val="0"/>
                <w:numId w:val="2"/>
              </w:numPr>
              <w:spacing w:after="80" w:line="280"/>
            </w:pPr>
            <w:r>
              <w:rPr>
                <w:rFonts w:ascii="Archivo" w:cs="Archivo" w:eastAsia="Archivo" w:hAnsi="Archivo"/>
                <w:sz w:val="19"/>
                <w:szCs w:val="19"/>
              </w:rPr>
              <w:t xml:space="preserve">Si le deniegan un siniestro invocando una exclusión, pida que se la citen literalmente y le expliquen por qué se aplica a su caso concreto.</w:t>
            </w:r>
          </w:p>
        </w:tc>
      </w:tr>
    </w:tbl>
    <w:p>
      <w:pPr>
        <w:pStyle w:val="Heading2"/>
        <w:spacing w:after="160" w:before="400"/>
      </w:pPr>
      <w:r>
        <w:rPr>
          <w:rFonts w:ascii="Fraunces" w:cs="Fraunces" w:eastAsia="Fraunces" w:hAnsi="Fraunces"/>
          <w:b/>
          <w:bCs/>
          <w:color w:val="0A2540"/>
          <w:sz w:val="24"/>
          <w:szCs w:val="24"/>
        </w:rPr>
        <w:t xml:space="preserve">12.9. Checklist: análisis de una exclusión invocada por la aseguradora</w:t>
      </w:r>
    </w:p>
    <w:p>
      <w:pPr>
        <w:pStyle w:val="ListParagraph"/>
        <w:numPr>
          <w:ilvl w:val="0"/>
          <w:numId w:val="2"/>
        </w:numPr>
        <w:spacing w:after="100" w:line="290"/>
      </w:pPr>
      <w:r>
        <w:rPr>
          <w:rFonts w:ascii="Archivo" w:cs="Archivo" w:eastAsia="Archivo" w:hAnsi="Archivo"/>
          <w:sz w:val="21"/>
          <w:szCs w:val="21"/>
        </w:rPr>
        <w:t xml:space="preserve">1. ¿Es una exclusión legal de orden público o una exclusión convencional?</w:t>
      </w:r>
    </w:p>
    <w:p>
      <w:pPr>
        <w:pStyle w:val="ListParagraph"/>
        <w:numPr>
          <w:ilvl w:val="0"/>
          <w:numId w:val="2"/>
        </w:numPr>
        <w:spacing w:after="100" w:line="290"/>
      </w:pPr>
      <w:r>
        <w:rPr>
          <w:rFonts w:ascii="Archivo" w:cs="Archivo" w:eastAsia="Archivo" w:hAnsi="Archivo"/>
          <w:sz w:val="21"/>
          <w:szCs w:val="21"/>
        </w:rPr>
        <w:t xml:space="preserve">2. ¿Está la cláusula efectivamente incorporada al contrato (entrega y accesibilidad real)?</w:t>
      </w:r>
    </w:p>
    <w:p>
      <w:pPr>
        <w:pStyle w:val="ListParagraph"/>
        <w:numPr>
          <w:ilvl w:val="0"/>
          <w:numId w:val="2"/>
        </w:numPr>
        <w:spacing w:after="100" w:line="290"/>
      </w:pPr>
      <w:r>
        <w:rPr>
          <w:rFonts w:ascii="Archivo" w:cs="Archivo" w:eastAsia="Archivo" w:hAnsi="Archivo"/>
          <w:sz w:val="21"/>
          <w:szCs w:val="21"/>
        </w:rPr>
        <w:t xml:space="preserve">3. ¿Es delimitadora o limitativa conforme al test de la cláusula sorpresiva?</w:t>
      </w:r>
    </w:p>
    <w:p>
      <w:pPr>
        <w:pStyle w:val="ListParagraph"/>
        <w:numPr>
          <w:ilvl w:val="0"/>
          <w:numId w:val="2"/>
        </w:numPr>
        <w:spacing w:after="100" w:line="290"/>
      </w:pPr>
      <w:r>
        <w:rPr>
          <w:rFonts w:ascii="Archivo" w:cs="Archivo" w:eastAsia="Archivo" w:hAnsi="Archivo"/>
          <w:sz w:val="21"/>
          <w:szCs w:val="21"/>
        </w:rPr>
        <w:t xml:space="preserve">4. Si es limitativa, ¿cumple los requisitos formales del art. 3 LCS?</w:t>
      </w:r>
    </w:p>
    <w:p>
      <w:pPr>
        <w:pStyle w:val="ListParagraph"/>
        <w:numPr>
          <w:ilvl w:val="0"/>
          <w:numId w:val="2"/>
        </w:numPr>
        <w:spacing w:after="100" w:line="290"/>
      </w:pPr>
      <w:r>
        <w:rPr>
          <w:rFonts w:ascii="Archivo" w:cs="Archivo" w:eastAsia="Archivo" w:hAnsi="Archivo"/>
          <w:sz w:val="21"/>
          <w:szCs w:val="21"/>
        </w:rPr>
        <w:t xml:space="preserve">5. ¿Existe duda razonable sobre su alcance que deba resolverse a favor del asegurado (art. 1288 CC)?</w:t>
      </w:r>
    </w:p>
    <w:p>
      <w:pPr>
        <w:pStyle w:val="ListParagraph"/>
        <w:numPr>
          <w:ilvl w:val="0"/>
          <w:numId w:val="2"/>
        </w:numPr>
        <w:spacing w:after="100" w:line="290"/>
      </w:pPr>
      <w:r>
        <w:rPr>
          <w:rFonts w:ascii="Archivo" w:cs="Archivo" w:eastAsia="Archivo" w:hAnsi="Archivo"/>
          <w:sz w:val="21"/>
          <w:szCs w:val="21"/>
        </w:rPr>
        <w:t xml:space="preserve">6. ¿Aporta la aseguradora prueba pericial suficiente de los hechos en que basa la exclusión?</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pageBreakBefore/>
        <w:spacing w:after="200" w:before="2000"/>
      </w:pPr>
      <w:r>
        <w:rPr>
          <w:rFonts w:ascii="Archivo" w:cs="Archivo" w:eastAsia="Archivo" w:hAnsi="Archivo"/>
          <w:b/>
          <w:bCs/>
          <w:color w:val="1B6DF0"/>
          <w:sz w:val="28"/>
          <w:szCs w:val="28"/>
        </w:rPr>
        <w:t xml:space="preserve">PARTE III</w:t>
      </w:r>
    </w:p>
    <w:p>
      <w:pPr>
        <w:pBdr>
          <w:bottom w:val="single" w:color="CBD5E1" w:sz="6" w:space="12"/>
        </w:pBdr>
        <w:spacing w:after="600"/>
      </w:pPr>
      <w:r>
        <w:rPr>
          <w:rFonts w:ascii="Fraunces" w:cs="Fraunces" w:eastAsia="Fraunces" w:hAnsi="Fraunces"/>
          <w:b/>
          <w:bCs/>
          <w:color w:val="0A2540"/>
          <w:sz w:val="44"/>
          <w:szCs w:val="44"/>
        </w:rPr>
        <w:t xml:space="preserve">La gestión del siniestro</w:t>
      </w:r>
    </w:p>
    <w:p>
      <w:pPr>
        <w:pStyle w:val="Heading1"/>
        <w:pageBreakBefore/>
        <w:spacing w:after="300" w:before="200"/>
      </w:pPr>
      <w:r>
        <w:rPr>
          <w:rFonts w:ascii="Archivo" w:cs="Archivo" w:eastAsia="Archivo" w:hAnsi="Archivo"/>
          <w:b/>
          <w:bCs/>
          <w:color w:val="1B6DF0"/>
          <w:sz w:val="22"/>
          <w:szCs w:val="22"/>
        </w:rPr>
        <w:t xml:space="preserve">Capítulo 17. </w:t>
      </w:r>
      <w:r>
        <w:rPr>
          <w:rFonts w:ascii="Fraunces" w:cs="Fraunces" w:eastAsia="Fraunces" w:hAnsi="Fraunces"/>
          <w:b/>
          <w:bCs/>
          <w:color w:val="0A2540"/>
          <w:sz w:val="30"/>
          <w:szCs w:val="30"/>
        </w:rPr>
        <w:t xml:space="preserve">Declaración y comunicación del siniestro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13.1. El deber de comunicación del siniestro (art. 16 LCS)</w:t>
            </w:r>
          </w:p>
          <w:p>
            <w:pPr>
              <w:spacing w:after="40" w:line="260"/>
            </w:pPr>
            <w:r>
              <w:rPr>
                <w:rFonts w:ascii="Archivo" w:cs="Archivo" w:eastAsia="Archivo" w:hAnsi="Archivo"/>
                <w:sz w:val="18"/>
                <w:szCs w:val="18"/>
              </w:rPr>
              <w:t xml:space="preserve">13.2. Plazo y consecuencias del incumplimiento</w:t>
            </w:r>
          </w:p>
          <w:p>
            <w:pPr>
              <w:spacing w:after="40" w:line="260"/>
            </w:pPr>
            <w:r>
              <w:rPr>
                <w:rFonts w:ascii="Archivo" w:cs="Archivo" w:eastAsia="Archivo" w:hAnsi="Archivo"/>
                <w:sz w:val="18"/>
                <w:szCs w:val="18"/>
              </w:rPr>
              <w:t xml:space="preserve">13.3. El deber de información sobre las circunstancias del siniestro</w:t>
            </w:r>
          </w:p>
          <w:p>
            <w:pPr>
              <w:spacing w:after="40" w:line="260"/>
            </w:pPr>
            <w:r>
              <w:rPr>
                <w:rFonts w:ascii="Archivo" w:cs="Archivo" w:eastAsia="Archivo" w:hAnsi="Archivo"/>
                <w:sz w:val="18"/>
                <w:szCs w:val="18"/>
              </w:rPr>
              <w:t xml:space="preserve">13.4. La prueba del conocimiento del siniestro por otro medio</w:t>
            </w:r>
          </w:p>
          <w:p>
            <w:pPr>
              <w:spacing w:after="40" w:line="260"/>
            </w:pPr>
            <w:r>
              <w:rPr>
                <w:rFonts w:ascii="Archivo" w:cs="Archivo" w:eastAsia="Archivo" w:hAnsi="Archivo"/>
                <w:sz w:val="18"/>
                <w:szCs w:val="18"/>
              </w:rPr>
              <w:t xml:space="preserve">13.5. Ficha para el profesional</w:t>
            </w:r>
          </w:p>
          <w:p>
            <w:pPr>
              <w:spacing w:after="40" w:line="260"/>
            </w:pPr>
            <w:r>
              <w:rPr>
                <w:rFonts w:ascii="Archivo" w:cs="Archivo" w:eastAsia="Archivo" w:hAnsi="Archivo"/>
                <w:sz w:val="18"/>
                <w:szCs w:val="18"/>
              </w:rPr>
              <w:t xml:space="preserve">13.6. Ficha para el asegurado</w:t>
            </w:r>
          </w:p>
          <w:p>
            <w:pPr>
              <w:spacing w:after="40" w:line="260"/>
            </w:pPr>
            <w:r>
              <w:rPr>
                <w:rFonts w:ascii="Archivo" w:cs="Archivo" w:eastAsia="Archivo" w:hAnsi="Archivo"/>
                <w:sz w:val="18"/>
                <w:szCs w:val="18"/>
              </w:rPr>
              <w:t xml:space="preserve">13.7. Checklist: comunicación de un siniestro de hogar</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abre la Parte III, dedicada a la gestión del siniestro, con el estudio del deber de comunicación del art. 16 LCS: su plazo de siete días —dispositivo al alza pero no a la baja—, el régimen de consecuencias limitado a la indemnización de los daños y perjuicios efectivamente causados por el retraso (y no a la pérdida automática del derecho a la prestación), y el deber adicional de información sobre las circunstancias del siniestro, sometido a un estándar de dolo o culpa grave que lo diferencia sustancialmente del régimen del deber precontractual de declaración del riesgo estudiado en el capítulo 4.</w:t>
            </w:r>
          </w:p>
          <w:p>
            <w:pPr>
              <w:spacing w:after="160"/>
            </w:pPr>
            <w:r>
              <w:rPr>
                <w:rFonts w:ascii="Archivo" w:cs="Archivo" w:eastAsia="Archivo" w:hAnsi="Archivo"/>
                <w:b/>
                <w:bCs/>
                <w:sz w:val="17"/>
                <w:szCs w:val="17"/>
              </w:rPr>
              <w:t xml:space="preserve">Palabras clave: comunicación del siniestro, art. 16 LCS, plazo de siete días, deber de información.</w:t>
            </w:r>
          </w:p>
          <w:p>
            <w:pPr>
              <w:spacing w:after="100"/>
              <w:jc w:val="both"/>
            </w:pPr>
            <w:r>
              <w:rPr>
                <w:rFonts w:ascii="Archivo" w:cs="Archivo" w:eastAsia="Archivo" w:hAnsi="Archivo"/>
                <w:i/>
                <w:iCs/>
                <w:sz w:val="18"/>
                <w:szCs w:val="18"/>
              </w:rPr>
              <w:t xml:space="preserve">This chapter opens Part III, devoted to claims handling, examining the notification duty under Article 16 of the Insurance Contract Act: its seven-day period —which may be extended but not shortened by policy terms—, the consequences regime limited to indemnifying the loss actually caused by the delay (rather than automatic forfeiture of the claim), and the further duty to inform the insurer of the circumstances of the loss, subject to a wilful misconduct or gross negligence standard distinct from the pre-contractual disclosure duty examined in Chapter 3.</w:t>
            </w:r>
          </w:p>
          <w:p>
            <w:pPr>
              <w:spacing w:after="0"/>
            </w:pPr>
            <w:r>
              <w:rPr>
                <w:rFonts w:ascii="Archivo" w:cs="Archivo" w:eastAsia="Archivo" w:hAnsi="Archivo"/>
                <w:b/>
                <w:bCs/>
                <w:sz w:val="17"/>
                <w:szCs w:val="17"/>
              </w:rPr>
              <w:t xml:space="preserve">Keywords: claim notification, seven-day period, duty to inform, forfeiture.</w:t>
            </w:r>
          </w:p>
        </w:tc>
      </w:tr>
    </w:tbl>
    <w:p>
      <w:pPr>
        <w:spacing w:after="200"/>
      </w:pPr>
    </w:p>
    <w:p>
      <w:pPr>
        <w:pStyle w:val="Heading2"/>
        <w:spacing w:after="160" w:before="400"/>
      </w:pPr>
      <w:r>
        <w:rPr>
          <w:rFonts w:ascii="Fraunces" w:cs="Fraunces" w:eastAsia="Fraunces" w:hAnsi="Fraunces"/>
          <w:b/>
          <w:bCs/>
          <w:color w:val="0A2540"/>
          <w:sz w:val="24"/>
          <w:szCs w:val="24"/>
        </w:rPr>
        <w:t xml:space="preserve">13.1. El deber de comunicación del siniestro</w:t>
      </w:r>
    </w:p>
    <w:p>
      <w:pPr>
        <w:spacing w:after="180" w:line="300"/>
        <w:jc w:val="both"/>
      </w:pPr>
      <w:r>
        <w:rPr>
          <w:rFonts w:ascii="Archivo" w:cs="Archivo" w:eastAsia="Archivo" w:hAnsi="Archivo"/>
          <w:sz w:val="21"/>
          <w:szCs w:val="21"/>
        </w:rPr>
        <w:t xml:space="preserve">Producido el siniestro, el primer deber que recae sobre el tomador, el asegurado o el beneficiario es el de comunicarlo al asegurador, deber que la LCS configura con un rigor sensiblemente menor que el deber precontractual de declaración del riesgo estudiado en el capítulo 4, como revela la comparación de sus respectivos regímenes de consecuencias</w:t>
      </w:r>
      <w:r>
        <w:rPr>
          <w:rStyle w:val="FootnoteReference"/>
        </w:rPr>
        <w:footnoteReference w:id="35"/>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16 LCS</w:t>
            </w:r>
          </w:p>
          <w:p>
            <w:pPr>
              <w:spacing w:after="0" w:line="280"/>
              <w:jc w:val="both"/>
            </w:pPr>
            <w:r>
              <w:rPr>
                <w:rFonts w:ascii="IBM Plex Mono" w:cs="IBM Plex Mono" w:eastAsia="IBM Plex Mono" w:hAnsi="IBM Plex Mono"/>
                <w:i/>
                <w:iCs/>
                <w:color w:val="0A2540"/>
                <w:sz w:val="18"/>
                <w:szCs w:val="18"/>
              </w:rPr>
              <w:t xml:space="preserve">El tomador del seguro o el asegurado o el beneficiario deberán comunicar al asegurador el acaecimiento del siniestro dentro del plazo máximo de siete días de haberlo conocido, salvo que se haya fijado en la póliza un plazo más amplio. En caso de incumplimiento, el asegurador podrá reclamar los daños y perjuicios causados por la falta de declaración. Este efecto no se producirá si se prueba que el asegurador ha tenido conocimiento del siniestro por otro medio. El tomador del seguro o el asegurado deberá, además, dar al asegurador toda clase de informaciones sobre las circunstancias y consecuencias del siniestro. En caso de violación de este deber, la pérdida del derecho a la indemnización sólo se producirá en el supuesto de que hubiese concurrido dolo o culpa grave.</w:t>
            </w:r>
          </w:p>
        </w:tc>
      </w:tr>
    </w:tbl>
    <w:p>
      <w:pPr>
        <w:spacing w:after="180" w:line="300"/>
        <w:jc w:val="both"/>
      </w:pPr>
      <w:r>
        <w:rPr>
          <w:rFonts w:ascii="Archivo" w:cs="Archivo" w:eastAsia="Archivo" w:hAnsi="Archivo"/>
          <w:sz w:val="21"/>
          <w:szCs w:val="21"/>
        </w:rPr>
        <w:t xml:space="preserve">El plazo legal de siete días es, expresamente, un mínimo dispositivo al alza: la póliza puede ampliarlo (y así lo hacen, en la práctica, numerosas condiciones generales, que conceden plazos de hasta treinta días), pero nunca reducirlo por debajo del umbral legal, por tratarse de una previsión de carácter imperativo relativo a favor del asegurado, en línea con la regla general del art. 2 LCS estudiada en el capítulo 1.</w:t>
      </w:r>
    </w:p>
    <w:p>
      <w:pPr>
        <w:pStyle w:val="Heading2"/>
        <w:spacing w:after="160" w:before="400"/>
      </w:pPr>
      <w:r>
        <w:rPr>
          <w:rFonts w:ascii="Fraunces" w:cs="Fraunces" w:eastAsia="Fraunces" w:hAnsi="Fraunces"/>
          <w:b/>
          <w:bCs/>
          <w:color w:val="0A2540"/>
          <w:sz w:val="24"/>
          <w:szCs w:val="24"/>
        </w:rPr>
        <w:t xml:space="preserve">13.2. Plazo y consecuencias del incumplimiento</w:t>
      </w:r>
    </w:p>
    <w:p>
      <w:pPr>
        <w:spacing w:after="180" w:line="300"/>
        <w:jc w:val="both"/>
      </w:pPr>
      <w:r>
        <w:rPr>
          <w:rFonts w:ascii="Archivo" w:cs="Archivo" w:eastAsia="Archivo" w:hAnsi="Archivo"/>
          <w:sz w:val="21"/>
          <w:szCs w:val="21"/>
        </w:rPr>
        <w:t xml:space="preserve">La consecuencia legal del incumplimiento del plazo de comunicación es, a diferencia de lo que erróneamente cree buena parte del público asegurado, no la pérdida automática del derecho a la indemnización, sino una acción de resarcimiento del asegurador limitada a los daños y perjuicios que la falta de declaración le haya efectivamente causado (por ejemplo, la imposibilidad de determinar con precisión la causa del siniestro por haberse alterado irreversiblemente el lugar de los hechos, o el agravamiento del daño por la demora en adoptar medidas de contención). En la práctica, esta consecuencia es de difícil aplicación efectiva, porque exige a la aseguradora acreditar tanto el daño concreto causado por el retraso como su cuantía, prueba que rara vez se aporta con el rigor exigible, lo que explica que la denegación total de cobertura por simple retraso en la comunicación —sin acreditación de un perjuicio concreto— carezca, en rigor, de cobertura legal en el art. 16 LCS.</w:t>
      </w:r>
    </w:p>
    <w:p>
      <w:pPr>
        <w:pStyle w:val="Heading2"/>
        <w:spacing w:after="160" w:before="400"/>
      </w:pPr>
      <w:r>
        <w:rPr>
          <w:rFonts w:ascii="Fraunces" w:cs="Fraunces" w:eastAsia="Fraunces" w:hAnsi="Fraunces"/>
          <w:b/>
          <w:bCs/>
          <w:color w:val="0A2540"/>
          <w:sz w:val="24"/>
          <w:szCs w:val="24"/>
        </w:rPr>
        <w:t xml:space="preserve">13.3. El deber de información sobre las circunstancias del siniestro</w:t>
      </w:r>
    </w:p>
    <w:p>
      <w:pPr>
        <w:spacing w:after="180" w:line="300"/>
        <w:jc w:val="both"/>
      </w:pPr>
      <w:r>
        <w:rPr>
          <w:rFonts w:ascii="Archivo" w:cs="Archivo" w:eastAsia="Archivo" w:hAnsi="Archivo"/>
          <w:sz w:val="21"/>
          <w:szCs w:val="21"/>
        </w:rPr>
        <w:t xml:space="preserve">El segundo párrafo del art. 16 LCS impone, además de la comunicación del acaecimiento del siniestro, un deber más amplio de suministrar «toda clase de informaciones sobre las circunstancias y consecuencias del siniestro» —lo que en la práctica incluye responder a los requerimientos del perito, facilitar el acceso a la vivienda para su inspección, y aportar la documentación acreditativa de los daños—, cuyo incumplimiento se somete a un estándar de imputación subjetiva mucho más exigente que el de la mera comunicación tardía: solo el dolo o la culpa grave del tomador o del asegurado en el incumplimiento de este deber de información determinan la pérdida del derecho a la indemnización, en un paralelismo estructural con el régimen del art. 10 LCS (deber precontractual) y del art. 48 LCS (seguro de incendio) ya estudiados.</w:t>
      </w:r>
    </w:p>
    <w:p>
      <w:pPr>
        <w:pStyle w:val="Heading2"/>
        <w:spacing w:after="160" w:before="400"/>
      </w:pPr>
      <w:r>
        <w:rPr>
          <w:rFonts w:ascii="Fraunces" w:cs="Fraunces" w:eastAsia="Fraunces" w:hAnsi="Fraunces"/>
          <w:b/>
          <w:bCs/>
          <w:color w:val="0A2540"/>
          <w:sz w:val="24"/>
          <w:szCs w:val="24"/>
        </w:rPr>
        <w:t xml:space="preserve">13.4. La prueba del conocimiento del siniestro por otro medio</w:t>
      </w:r>
    </w:p>
    <w:p>
      <w:pPr>
        <w:spacing w:after="180" w:line="300"/>
        <w:jc w:val="both"/>
      </w:pPr>
      <w:r>
        <w:rPr>
          <w:rFonts w:ascii="Archivo" w:cs="Archivo" w:eastAsia="Archivo" w:hAnsi="Archivo"/>
          <w:sz w:val="21"/>
          <w:szCs w:val="21"/>
        </w:rPr>
        <w:t xml:space="preserve">El propio art. 16 LCS neutraliza la consecuencia indemnizatoria del retraso cuando se acredita que el asegurador tuvo conocimiento del siniestro «por otro medio», previsión de notable relevancia práctica en el ramo de hogar cuando, por ejemplo, el mismo siniestro de agua o de incendio ha sido ya comunicado por un vecino afectado, por la comunidad de propietarios, o por el propio perito designado por otra póliza concurrente (capítulo 8): en tales casos, el asegurado que comunicó tardíamente su propio siniestro puede oponer válidamente que la aseguradora ya conocía los hechos por esa vía alternativa.</w:t>
      </w:r>
    </w:p>
    <w:p>
      <w:pPr>
        <w:pStyle w:val="Heading2"/>
        <w:spacing w:after="160" w:before="400"/>
      </w:pPr>
      <w:r>
        <w:rPr>
          <w:rFonts w:ascii="Fraunces" w:cs="Fraunces" w:eastAsia="Fraunces" w:hAnsi="Fraunces"/>
          <w:b/>
          <w:bCs/>
          <w:color w:val="0A2540"/>
          <w:sz w:val="24"/>
          <w:szCs w:val="24"/>
        </w:rPr>
        <w:t xml:space="preserve">13.5.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ante una denegación por comunicación tardía</w:t>
            </w:r>
          </w:p>
          <w:p>
            <w:pPr>
              <w:pStyle w:val="ListParagraph"/>
              <w:numPr>
                <w:ilvl w:val="0"/>
                <w:numId w:val="2"/>
              </w:numPr>
              <w:spacing w:after="80" w:line="280"/>
            </w:pPr>
            <w:r>
              <w:rPr>
                <w:rFonts w:ascii="Archivo" w:cs="Archivo" w:eastAsia="Archivo" w:hAnsi="Archivo"/>
                <w:sz w:val="19"/>
                <w:szCs w:val="19"/>
              </w:rPr>
              <w:t xml:space="preserve">Exigir a la aseguradora que concrete y acredite el daño y perjuicio efectivamente causado por el retraso en la comunicación, no una alegación genérica de incumplimiento del plazo.</w:t>
            </w:r>
          </w:p>
          <w:p>
            <w:pPr>
              <w:pStyle w:val="ListParagraph"/>
              <w:numPr>
                <w:ilvl w:val="0"/>
                <w:numId w:val="2"/>
              </w:numPr>
              <w:spacing w:after="80" w:line="280"/>
            </w:pPr>
            <w:r>
              <w:rPr>
                <w:rFonts w:ascii="Archivo" w:cs="Archivo" w:eastAsia="Archivo" w:hAnsi="Archivo"/>
                <w:sz w:val="19"/>
                <w:szCs w:val="19"/>
              </w:rPr>
              <w:t xml:space="preserve">Verificar si el plazo aplicable es el legal de siete días o un plazo ampliado pactado en las condiciones particulares o generales.</w:t>
            </w:r>
          </w:p>
          <w:p>
            <w:pPr>
              <w:pStyle w:val="ListParagraph"/>
              <w:numPr>
                <w:ilvl w:val="0"/>
                <w:numId w:val="2"/>
              </w:numPr>
              <w:spacing w:after="80" w:line="280"/>
            </w:pPr>
            <w:r>
              <w:rPr>
                <w:rFonts w:ascii="Archivo" w:cs="Archivo" w:eastAsia="Archivo" w:hAnsi="Archivo"/>
                <w:sz w:val="19"/>
                <w:szCs w:val="19"/>
              </w:rPr>
              <w:t xml:space="preserve">Explorar si existe prueba de que la aseguradora tuvo conocimiento del siniestro por otro medio (comunidad de propietarios, otro asegurado, actuación policial o de bomberos).</w:t>
            </w:r>
          </w:p>
          <w:p>
            <w:pPr>
              <w:pStyle w:val="ListParagraph"/>
              <w:numPr>
                <w:ilvl w:val="0"/>
                <w:numId w:val="2"/>
              </w:numPr>
              <w:spacing w:after="80" w:line="280"/>
            </w:pPr>
            <w:r>
              <w:rPr>
                <w:rFonts w:ascii="Archivo" w:cs="Archivo" w:eastAsia="Archivo" w:hAnsi="Archivo"/>
                <w:sz w:val="19"/>
                <w:szCs w:val="19"/>
              </w:rPr>
              <w:t xml:space="preserve">Distinguir con precisión el incumplimiento del deber de comunicación (régimen de resarcimiento de daños concretos) del incumplimiento del deber de información sobre las circunstancias del siniestro (régimen de dolo o culpa grave).</w:t>
            </w:r>
          </w:p>
        </w:tc>
      </w:tr>
    </w:tbl>
    <w:p>
      <w:pPr>
        <w:pStyle w:val="Heading2"/>
        <w:spacing w:after="160" w:before="400"/>
      </w:pPr>
      <w:r>
        <w:rPr>
          <w:rFonts w:ascii="Fraunces" w:cs="Fraunces" w:eastAsia="Fraunces" w:hAnsi="Fraunces"/>
          <w:b/>
          <w:bCs/>
          <w:color w:val="0A2540"/>
          <w:sz w:val="24"/>
          <w:szCs w:val="24"/>
        </w:rPr>
        <w:t xml:space="preserve">13.6.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Cómo y cuándo comunicar un siniestro</w:t>
            </w:r>
          </w:p>
          <w:p>
            <w:pPr>
              <w:pStyle w:val="ListParagraph"/>
              <w:numPr>
                <w:ilvl w:val="0"/>
                <w:numId w:val="2"/>
              </w:numPr>
              <w:spacing w:after="80" w:line="280"/>
            </w:pPr>
            <w:r>
              <w:rPr>
                <w:rFonts w:ascii="Archivo" w:cs="Archivo" w:eastAsia="Archivo" w:hAnsi="Archivo"/>
                <w:sz w:val="19"/>
                <w:szCs w:val="19"/>
              </w:rPr>
              <w:t xml:space="preserve">Comunique el siniestro a su aseguradora lo antes posible, idealmente el mismo día en que lo detecte, aunque el plazo legal sea de siete días: cuanto antes actúe, más fácil será probar la causa y el alcance del daño.</w:t>
            </w:r>
          </w:p>
          <w:p>
            <w:pPr>
              <w:pStyle w:val="ListParagraph"/>
              <w:numPr>
                <w:ilvl w:val="0"/>
                <w:numId w:val="2"/>
              </w:numPr>
              <w:spacing w:after="80" w:line="280"/>
            </w:pPr>
            <w:r>
              <w:rPr>
                <w:rFonts w:ascii="Archivo" w:cs="Archivo" w:eastAsia="Archivo" w:hAnsi="Archivo"/>
                <w:sz w:val="19"/>
                <w:szCs w:val="19"/>
              </w:rPr>
              <w:t xml:space="preserve">Conserve el justificante de la comunicación (número de expediente, correo electrónico, grabación telefónica).</w:t>
            </w:r>
          </w:p>
          <w:p>
            <w:pPr>
              <w:pStyle w:val="ListParagraph"/>
              <w:numPr>
                <w:ilvl w:val="0"/>
                <w:numId w:val="2"/>
              </w:numPr>
              <w:spacing w:after="80" w:line="280"/>
            </w:pPr>
            <w:r>
              <w:rPr>
                <w:rFonts w:ascii="Archivo" w:cs="Archivo" w:eastAsia="Archivo" w:hAnsi="Archivo"/>
                <w:sz w:val="19"/>
                <w:szCs w:val="19"/>
              </w:rPr>
              <w:t xml:space="preserve">Colabore con el perito y facilite toda la información y documentación que le soliciten sobre las circunstancias del siniestro: negarse u ocultar información deliberadamente sí puede hacerle perder el derecho a la indemnización.</w:t>
            </w:r>
          </w:p>
          <w:p>
            <w:pPr>
              <w:pStyle w:val="ListParagraph"/>
              <w:numPr>
                <w:ilvl w:val="0"/>
                <w:numId w:val="2"/>
              </w:numPr>
              <w:spacing w:after="80" w:line="280"/>
            </w:pPr>
            <w:r>
              <w:rPr>
                <w:rFonts w:ascii="Archivo" w:cs="Archivo" w:eastAsia="Archivo" w:hAnsi="Archivo"/>
                <w:sz w:val="19"/>
                <w:szCs w:val="19"/>
              </w:rPr>
              <w:t xml:space="preserve">Si se ha retrasado en la comunicación por causa justificada (por ejemplo, ausencia prolongada), explíquelo y aporte prueba: la ley solo permite a la aseguradora reclamar el perjuicio concreto causado, no denegar la cobertura sin más.</w:t>
            </w:r>
          </w:p>
        </w:tc>
      </w:tr>
    </w:tbl>
    <w:p>
      <w:pPr>
        <w:pStyle w:val="Heading2"/>
        <w:spacing w:after="160" w:before="400"/>
      </w:pPr>
      <w:r>
        <w:rPr>
          <w:rFonts w:ascii="Fraunces" w:cs="Fraunces" w:eastAsia="Fraunces" w:hAnsi="Fraunces"/>
          <w:b/>
          <w:bCs/>
          <w:color w:val="0A2540"/>
          <w:sz w:val="24"/>
          <w:szCs w:val="24"/>
        </w:rPr>
        <w:t xml:space="preserve">13.7. Checklist: comunicación de un siniestro de hogar</w:t>
      </w:r>
    </w:p>
    <w:p>
      <w:pPr>
        <w:pStyle w:val="ListParagraph"/>
        <w:numPr>
          <w:ilvl w:val="0"/>
          <w:numId w:val="2"/>
        </w:numPr>
        <w:spacing w:after="100" w:line="290"/>
      </w:pPr>
      <w:r>
        <w:rPr>
          <w:rFonts w:ascii="Archivo" w:cs="Archivo" w:eastAsia="Archivo" w:hAnsi="Archivo"/>
          <w:sz w:val="21"/>
          <w:szCs w:val="21"/>
        </w:rPr>
        <w:t xml:space="preserve">1. ¿Cuándo tuvo conocimiento el asegurado del siniestro y cuándo lo comunicó?</w:t>
      </w:r>
    </w:p>
    <w:p>
      <w:pPr>
        <w:pStyle w:val="ListParagraph"/>
        <w:numPr>
          <w:ilvl w:val="0"/>
          <w:numId w:val="2"/>
        </w:numPr>
        <w:spacing w:after="100" w:line="290"/>
      </w:pPr>
      <w:r>
        <w:rPr>
          <w:rFonts w:ascii="Archivo" w:cs="Archivo" w:eastAsia="Archivo" w:hAnsi="Archivo"/>
          <w:sz w:val="21"/>
          <w:szCs w:val="21"/>
        </w:rPr>
        <w:t xml:space="preserve">2. ¿Qué plazo de comunicación establece la póliza concreta (legal o ampliado)?</w:t>
      </w:r>
    </w:p>
    <w:p>
      <w:pPr>
        <w:pStyle w:val="ListParagraph"/>
        <w:numPr>
          <w:ilvl w:val="0"/>
          <w:numId w:val="2"/>
        </w:numPr>
        <w:spacing w:after="100" w:line="290"/>
      </w:pPr>
      <w:r>
        <w:rPr>
          <w:rFonts w:ascii="Archivo" w:cs="Archivo" w:eastAsia="Archivo" w:hAnsi="Archivo"/>
          <w:sz w:val="21"/>
          <w:szCs w:val="21"/>
        </w:rPr>
        <w:t xml:space="preserve">3. Si hubo retraso, ¿qué daño o perjuicio concreto alega la aseguradora, y lo acredita?</w:t>
      </w:r>
    </w:p>
    <w:p>
      <w:pPr>
        <w:pStyle w:val="ListParagraph"/>
        <w:numPr>
          <w:ilvl w:val="0"/>
          <w:numId w:val="2"/>
        </w:numPr>
        <w:spacing w:after="100" w:line="290"/>
      </w:pPr>
      <w:r>
        <w:rPr>
          <w:rFonts w:ascii="Archivo" w:cs="Archivo" w:eastAsia="Archivo" w:hAnsi="Archivo"/>
          <w:sz w:val="21"/>
          <w:szCs w:val="21"/>
        </w:rPr>
        <w:t xml:space="preserve">4. ¿Existe prueba de que la aseguradora conocía el siniestro por otro medio?</w:t>
      </w:r>
    </w:p>
    <w:p>
      <w:pPr>
        <w:pStyle w:val="ListParagraph"/>
        <w:numPr>
          <w:ilvl w:val="0"/>
          <w:numId w:val="2"/>
        </w:numPr>
        <w:spacing w:after="100" w:line="290"/>
      </w:pPr>
      <w:r>
        <w:rPr>
          <w:rFonts w:ascii="Archivo" w:cs="Archivo" w:eastAsia="Archivo" w:hAnsi="Archivo"/>
          <w:sz w:val="21"/>
          <w:szCs w:val="21"/>
        </w:rPr>
        <w:t xml:space="preserve">5. ¿Se ha cumplido el deber de información sobre las circunstancias del siniestro (documentación, acceso a la vivienda, colaboración con el perito)?</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pStyle w:val="Heading1"/>
        <w:pageBreakBefore/>
        <w:spacing w:after="300" w:before="200"/>
      </w:pPr>
      <w:r>
        <w:rPr>
          <w:rFonts w:ascii="Archivo" w:cs="Archivo" w:eastAsia="Archivo" w:hAnsi="Archivo"/>
          <w:b/>
          <w:bCs/>
          <w:color w:val="1B6DF0"/>
          <w:sz w:val="22"/>
          <w:szCs w:val="22"/>
        </w:rPr>
        <w:t xml:space="preserve">Capítulo 18. </w:t>
      </w:r>
      <w:r>
        <w:rPr>
          <w:rFonts w:ascii="Fraunces" w:cs="Fraunces" w:eastAsia="Fraunces" w:hAnsi="Fraunces"/>
          <w:b/>
          <w:bCs/>
          <w:color w:val="0A2540"/>
          <w:sz w:val="30"/>
          <w:szCs w:val="30"/>
        </w:rPr>
        <w:t xml:space="preserve">Peritación: designación, procedimiento y tercer perito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14.1. El procedimiento pericial del art. 38 LCS: naturaleza y función</w:t>
            </w:r>
          </w:p>
          <w:p>
            <w:pPr>
              <w:spacing w:after="40" w:line="260"/>
            </w:pPr>
            <w:r>
              <w:rPr>
                <w:rFonts w:ascii="Archivo" w:cs="Archivo" w:eastAsia="Archivo" w:hAnsi="Archivo"/>
                <w:sz w:val="18"/>
                <w:szCs w:val="18"/>
              </w:rPr>
              <w:t xml:space="preserve">14.2. Fases del procedimiento: designación, acuerdo y tercer perito</w:t>
            </w:r>
          </w:p>
          <w:p>
            <w:pPr>
              <w:spacing w:after="40" w:line="260"/>
            </w:pPr>
            <w:r>
              <w:rPr>
                <w:rFonts w:ascii="Archivo" w:cs="Archivo" w:eastAsia="Archivo" w:hAnsi="Archivo"/>
                <w:sz w:val="18"/>
                <w:szCs w:val="18"/>
              </w:rPr>
              <w:t xml:space="preserve">14.3. El alcance vinculante del dictamen: la distinción clave entre liquidación del daño e interpretación del contrato</w:t>
            </w:r>
          </w:p>
          <w:p>
            <w:pPr>
              <w:spacing w:after="40" w:line="260"/>
            </w:pPr>
            <w:r>
              <w:rPr>
                <w:rFonts w:ascii="Archivo" w:cs="Archivo" w:eastAsia="Archivo" w:hAnsi="Archivo"/>
                <w:sz w:val="18"/>
                <w:szCs w:val="18"/>
              </w:rPr>
              <w:t xml:space="preserve">14.4. La impugnación judicial del dictamen: plazos y requisitos</w:t>
            </w:r>
          </w:p>
          <w:p>
            <w:pPr>
              <w:spacing w:after="40" w:line="260"/>
            </w:pPr>
            <w:r>
              <w:rPr>
                <w:rFonts w:ascii="Archivo" w:cs="Archivo" w:eastAsia="Archivo" w:hAnsi="Archivo"/>
                <w:sz w:val="18"/>
                <w:szCs w:val="18"/>
              </w:rPr>
              <w:t xml:space="preserve">14.5. Retraso del asegurado en la iniciación del expediente y sus consecuencias sobre los intereses</w:t>
            </w:r>
          </w:p>
          <w:p>
            <w:pPr>
              <w:spacing w:after="40" w:line="260"/>
            </w:pPr>
            <w:r>
              <w:rPr>
                <w:rFonts w:ascii="Archivo" w:cs="Archivo" w:eastAsia="Archivo" w:hAnsi="Archivo"/>
                <w:sz w:val="18"/>
                <w:szCs w:val="18"/>
              </w:rPr>
              <w:t xml:space="preserve">14.6. Ficha para el profesional</w:t>
            </w:r>
          </w:p>
          <w:p>
            <w:pPr>
              <w:spacing w:after="40" w:line="260"/>
            </w:pPr>
            <w:r>
              <w:rPr>
                <w:rFonts w:ascii="Archivo" w:cs="Archivo" w:eastAsia="Archivo" w:hAnsi="Archivo"/>
                <w:sz w:val="18"/>
                <w:szCs w:val="18"/>
              </w:rPr>
              <w:t xml:space="preserve">14.7. Ficha para el asegurado</w:t>
            </w:r>
          </w:p>
          <w:p>
            <w:pPr>
              <w:spacing w:after="40" w:line="260"/>
            </w:pPr>
            <w:r>
              <w:rPr>
                <w:rFonts w:ascii="Archivo" w:cs="Archivo" w:eastAsia="Archivo" w:hAnsi="Archivo"/>
                <w:sz w:val="18"/>
                <w:szCs w:val="18"/>
              </w:rPr>
              <w:t xml:space="preserve">14.8. Checklist: gestión del procedimiento pericial</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estudia en profundidad el procedimiento de peritación contradictoria del art. 38 LCS, con especial atención a la distinción, fijada por reiterada jurisprudencia de la Sala Primera, entre el ámbito estrictamente vinculante del dictamen pericial —la liquidación cuantitativa del daño— y las cuestiones de naturaleza jurídica —interpretación del contrato y alcance de la cobertura— que quedan extramuros de dicho carácter vinculante y corresponden en exclusiva a los tribunales.</w:t>
            </w:r>
          </w:p>
          <w:p>
            <w:pPr>
              <w:spacing w:after="160"/>
            </w:pPr>
            <w:r>
              <w:rPr>
                <w:rFonts w:ascii="Archivo" w:cs="Archivo" w:eastAsia="Archivo" w:hAnsi="Archivo"/>
                <w:b/>
                <w:bCs/>
                <w:sz w:val="17"/>
                <w:szCs w:val="17"/>
              </w:rPr>
              <w:t xml:space="preserve">Palabras clave: peritación, art. 38 LCS, tercer perito, dictamen vinculante, interpretación del contrato.</w:t>
            </w:r>
          </w:p>
          <w:p>
            <w:pPr>
              <w:spacing w:after="100"/>
              <w:jc w:val="both"/>
            </w:pPr>
            <w:r>
              <w:rPr>
                <w:rFonts w:ascii="Archivo" w:cs="Archivo" w:eastAsia="Archivo" w:hAnsi="Archivo"/>
                <w:i/>
                <w:iCs/>
                <w:sz w:val="18"/>
                <w:szCs w:val="18"/>
              </w:rPr>
              <w:t xml:space="preserve">This chapter examines in depth the contradictory expert appraisal procedure under Article 38 of the Insurance Contract Act, focusing on the distinction, established by consistent Supreme Court case law, between the strictly binding scope of the expert report —the quantitative assessment of the loss— and matters of a legal nature —contract interpretation and the scope of cover— which fall outside that binding effect and remain exclusively within the courts' competence.</w:t>
            </w:r>
          </w:p>
          <w:p>
            <w:pPr>
              <w:spacing w:after="0"/>
            </w:pPr>
            <w:r>
              <w:rPr>
                <w:rFonts w:ascii="Archivo" w:cs="Archivo" w:eastAsia="Archivo" w:hAnsi="Archivo"/>
                <w:b/>
                <w:bCs/>
                <w:sz w:val="17"/>
                <w:szCs w:val="17"/>
              </w:rPr>
              <w:t xml:space="preserve">Keywords: expert appraisal, third expert, binding report, contract interpretation.</w:t>
            </w:r>
          </w:p>
        </w:tc>
      </w:tr>
    </w:tbl>
    <w:p>
      <w:pPr>
        <w:spacing w:after="200"/>
      </w:pPr>
    </w:p>
    <w:p>
      <w:pPr>
        <w:pStyle w:val="Heading2"/>
        <w:spacing w:after="160" w:before="400"/>
      </w:pPr>
      <w:r>
        <w:rPr>
          <w:rFonts w:ascii="Fraunces" w:cs="Fraunces" w:eastAsia="Fraunces" w:hAnsi="Fraunces"/>
          <w:b/>
          <w:bCs/>
          <w:color w:val="0A2540"/>
          <w:sz w:val="24"/>
          <w:szCs w:val="24"/>
        </w:rPr>
        <w:t xml:space="preserve">14.1. El procedimiento pericial del art. 38 LCS: naturaleza y función</w:t>
      </w:r>
    </w:p>
    <w:p>
      <w:pPr>
        <w:spacing w:after="180" w:line="300"/>
        <w:jc w:val="both"/>
      </w:pPr>
      <w:r>
        <w:rPr>
          <w:rFonts w:ascii="Archivo" w:cs="Archivo" w:eastAsia="Archivo" w:hAnsi="Archivo"/>
          <w:sz w:val="21"/>
          <w:szCs w:val="21"/>
        </w:rPr>
        <w:t xml:space="preserve">El artículo 38 LCS regula, con un grado de detalle procedimental infrecuente en la propia Ley, el mecanismo de determinación pericial contradictoria del daño en el seguro contra daños, aplicable con carácter general al seguro de hogar salvo que las partes alcancen un acuerdo directo sobre el importe de la indemnización</w:t>
      </w:r>
      <w:r>
        <w:rPr>
          <w:rStyle w:val="FootnoteReference"/>
        </w:rPr>
        <w:footnoteReference w:id="36"/>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38 LCS (extracto)</w:t>
            </w:r>
          </w:p>
          <w:p>
            <w:pPr>
              <w:spacing w:after="0" w:line="280"/>
              <w:jc w:val="both"/>
            </w:pPr>
            <w:r>
              <w:rPr>
                <w:rFonts w:ascii="IBM Plex Mono" w:cs="IBM Plex Mono" w:eastAsia="IBM Plex Mono" w:hAnsi="IBM Plex Mono"/>
                <w:i/>
                <w:iCs/>
                <w:color w:val="0A2540"/>
                <w:sz w:val="18"/>
                <w:szCs w:val="18"/>
              </w:rPr>
              <w:t xml:space="preserve">Si las partes se pusiesen de acuerdo en cualquier momento sobre el importe y la forma de la indemnización, el asegurador deberá pagar la suma convenida [...]. Si no se lograse el acuerdo [...], cada parte designará un Perito, debiendo constar por escrito la aceptación de éstos. [...] Cuando no haya acuerdo entre los peritos, ambas partes designarán un tercer perito de conformidad. De no existir esta, se podrá promover expediente en la forma prevista en la Ley de la Jurisdicción Voluntaria o en la legislación notarial [...]. El dictamen de los Peritos, por unanimidad o por mayoría, se notificará a las partes de manera inmediata y en forma indubitada, siendo vinculante para éstas, salvo que se impugne judicialmente por alguna de las partes, dentro del plazo de treinta días, en el caso del asegurador y ciento ochenta en el del asegurado, computados ambos desde la fecha de su notificación.</w:t>
            </w:r>
          </w:p>
        </w:tc>
      </w:tr>
    </w:tbl>
    <w:p>
      <w:pPr>
        <w:pStyle w:val="Heading2"/>
        <w:spacing w:after="160" w:before="400"/>
      </w:pPr>
      <w:r>
        <w:rPr>
          <w:rFonts w:ascii="Fraunces" w:cs="Fraunces" w:eastAsia="Fraunces" w:hAnsi="Fraunces"/>
          <w:b/>
          <w:bCs/>
          <w:color w:val="0A2540"/>
          <w:sz w:val="24"/>
          <w:szCs w:val="24"/>
        </w:rPr>
        <w:t xml:space="preserve">14.2. Fases del procedimiento: designación, acuerdo y tercer perito</w:t>
      </w:r>
    </w:p>
    <w:p>
      <w:pPr>
        <w:pStyle w:val="ListParagraph"/>
        <w:numPr>
          <w:ilvl w:val="0"/>
          <w:numId w:val="2"/>
        </w:numPr>
        <w:spacing w:after="100" w:line="290"/>
      </w:pPr>
      <w:r>
        <w:rPr>
          <w:rFonts w:ascii="Archivo" w:cs="Archivo" w:eastAsia="Archivo" w:hAnsi="Archivo"/>
          <w:b/>
          <w:bCs/>
          <w:sz w:val="21"/>
          <w:szCs w:val="21"/>
        </w:rPr>
        <w:t xml:space="preserve">Designación de peritos de parte: </w:t>
      </w:r>
      <w:r>
        <w:rPr>
          <w:rFonts w:ascii="Archivo" w:cs="Archivo" w:eastAsia="Archivo" w:hAnsi="Archivo"/>
          <w:sz w:val="21"/>
          <w:szCs w:val="21"/>
        </w:rPr>
        <w:t xml:space="preserve">cada parte nombra su propio perito; si una de ellas no lo hace en los ocho días siguientes al requerimiento de la otra, se entiende que acepta el dictamen del perito de la parte diligente, quedando vinculada por él.</w:t>
      </w:r>
    </w:p>
    <w:p>
      <w:pPr>
        <w:pStyle w:val="ListParagraph"/>
        <w:numPr>
          <w:ilvl w:val="0"/>
          <w:numId w:val="2"/>
        </w:numPr>
        <w:spacing w:after="100" w:line="290"/>
      </w:pPr>
      <w:r>
        <w:rPr>
          <w:rFonts w:ascii="Archivo" w:cs="Archivo" w:eastAsia="Archivo" w:hAnsi="Archivo"/>
          <w:b/>
          <w:bCs/>
          <w:sz w:val="21"/>
          <w:szCs w:val="21"/>
        </w:rPr>
        <w:t xml:space="preserve">Acuerdo entre peritos: </w:t>
      </w:r>
      <w:r>
        <w:rPr>
          <w:rFonts w:ascii="Archivo" w:cs="Archivo" w:eastAsia="Archivo" w:hAnsi="Archivo"/>
          <w:sz w:val="21"/>
          <w:szCs w:val="21"/>
        </w:rPr>
        <w:t xml:space="preserve">si los peritos de parte alcanzan acuerdo, lo reflejan en un acta conjunta con las causas del siniestro, la valoración de los daños y la propuesta de indemnización.</w:t>
      </w:r>
    </w:p>
    <w:p>
      <w:pPr>
        <w:pStyle w:val="ListParagraph"/>
        <w:numPr>
          <w:ilvl w:val="0"/>
          <w:numId w:val="2"/>
        </w:numPr>
        <w:spacing w:after="100" w:line="290"/>
      </w:pPr>
      <w:r>
        <w:rPr>
          <w:rFonts w:ascii="Archivo" w:cs="Archivo" w:eastAsia="Archivo" w:hAnsi="Archivo"/>
          <w:b/>
          <w:bCs/>
          <w:sz w:val="21"/>
          <w:szCs w:val="21"/>
        </w:rPr>
        <w:t xml:space="preserve">Tercer perito: </w:t>
      </w:r>
      <w:r>
        <w:rPr>
          <w:rFonts w:ascii="Archivo" w:cs="Archivo" w:eastAsia="Archivo" w:hAnsi="Archivo"/>
          <w:sz w:val="21"/>
          <w:szCs w:val="21"/>
        </w:rPr>
        <w:t xml:space="preserve">de no alcanzarse acuerdo, las partes designan de común acuerdo un tercer perito; en su defecto, cualquiera de ellas puede promover expediente de jurisdicción voluntaria o notarial para su designación judicial o notarial.</w:t>
      </w:r>
    </w:p>
    <w:p>
      <w:pPr>
        <w:pStyle w:val="ListParagraph"/>
        <w:numPr>
          <w:ilvl w:val="0"/>
          <w:numId w:val="2"/>
        </w:numPr>
        <w:spacing w:after="100" w:line="290"/>
      </w:pPr>
      <w:r>
        <w:rPr>
          <w:rFonts w:ascii="Archivo" w:cs="Archivo" w:eastAsia="Archivo" w:hAnsi="Archivo"/>
          <w:b/>
          <w:bCs/>
          <w:sz w:val="21"/>
          <w:szCs w:val="21"/>
        </w:rPr>
        <w:t xml:space="preserve">Dictamen final: </w:t>
      </w:r>
      <w:r>
        <w:rPr>
          <w:rFonts w:ascii="Archivo" w:cs="Archivo" w:eastAsia="Archivo" w:hAnsi="Archivo"/>
          <w:sz w:val="21"/>
          <w:szCs w:val="21"/>
        </w:rPr>
        <w:t xml:space="preserve">el dictamen de los peritos, por unanimidad o mayoría, se notifica a las partes y deviene vinculante, salvo impugnación judicial en plazo.</w:t>
      </w:r>
    </w:p>
    <w:p>
      <w:pPr>
        <w:pStyle w:val="Heading2"/>
        <w:spacing w:after="160" w:before="400"/>
      </w:pPr>
      <w:r>
        <w:rPr>
          <w:rFonts w:ascii="Fraunces" w:cs="Fraunces" w:eastAsia="Fraunces" w:hAnsi="Fraunces"/>
          <w:b/>
          <w:bCs/>
          <w:color w:val="0A2540"/>
          <w:sz w:val="24"/>
          <w:szCs w:val="24"/>
        </w:rPr>
        <w:t xml:space="preserve">14.3. El alcance vinculante del dictamen: liquidación del daño frente a interpretación del contrato</w:t>
      </w:r>
    </w:p>
    <w:p>
      <w:pPr>
        <w:spacing w:after="180" w:line="300"/>
        <w:jc w:val="both"/>
      </w:pPr>
      <w:r>
        <w:rPr>
          <w:rFonts w:ascii="Archivo" w:cs="Archivo" w:eastAsia="Archivo" w:hAnsi="Archivo"/>
          <w:sz w:val="21"/>
          <w:szCs w:val="21"/>
        </w:rPr>
        <w:t xml:space="preserve">La cuestión de mayor trascendencia práctica en este ámbito es la del alcance exacto del carácter vinculante del dictamen pericial. La jurisprudencia más reciente de la Sala Primera ha fijado, con particular claridad, una distinción capital que el profesional debe dominar</w:t>
      </w:r>
      <w:r>
        <w:rPr>
          <w:rStyle w:val="FootnoteReference"/>
        </w:rPr>
        <w:footnoteReference w:id="37"/>
      </w:r>
      <w:r>
        <w:rPr>
          <w:rFonts w:ascii="Archivo" w:cs="Archivo" w:eastAsia="Archivo" w:hAnsi="Archivo"/>
          <w:sz w:val="21"/>
          <w:szCs w:val="21"/>
        </w:rPr>
        <w:t xml:space="preserve">:</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26 de julio de 2021 (ROJ: STS 3193/2021; ECLI:ES:TS:2021:3193; MP: Seoane Spiegelberg)</w:t>
            </w:r>
          </w:p>
          <w:p>
            <w:pPr>
              <w:spacing w:after="0" w:line="280"/>
              <w:jc w:val="both"/>
            </w:pPr>
            <w:r>
              <w:rPr>
                <w:rFonts w:ascii="Archivo" w:cs="Archivo" w:eastAsia="Archivo" w:hAnsi="Archivo"/>
                <w:color w:val="0A2540"/>
                <w:sz w:val="19"/>
                <w:szCs w:val="19"/>
              </w:rPr>
              <w:t xml:space="preserve">«El ámbito vinculante del informe pericial [está] circunscrito a la determinación de la valoración de las cosas y no a la decisión sobre el ámbito de la cobertura del seguro litigioso, al ser la primera una cuestión propia de la pericia, mientras que la segunda es de naturaleza jurídica reservada a los órganos jurisdiccionales con intervención de los letrados de las partes [...]. La discrepancia de las partes en la valoración del daño convierte en preceptivo el procedimiento extrajudicial, constituyendo objeto exclusivo de la actividad pericial que se desarrolla la función liquidadora del mismo, determinando la fuerza vinculante del dictamen [...] una vez firme, que, en buena lógica, alcanza exclusivamente a lo que es objeto de la actividad pericial, la liquidación del daño.»</w:t>
            </w:r>
          </w:p>
        </w:tc>
      </w:tr>
    </w:tbl>
    <w:p>
      <w:pPr>
        <w:spacing w:after="180" w:line="300"/>
        <w:jc w:val="both"/>
      </w:pPr>
      <w:r>
        <w:rPr>
          <w:rFonts w:ascii="Archivo" w:cs="Archivo" w:eastAsia="Archivo" w:hAnsi="Archivo"/>
          <w:sz w:val="21"/>
          <w:szCs w:val="21"/>
        </w:rPr>
        <w:t xml:space="preserve">La consecuencia práctica de esta doctrina es doble y de enorme utilidad para el profesional. De un lado, un dictamen pericial firme e inatacado por el cauce específico del art. 38 LCS impide reabrir, por vía judicial ordinaria, la discusión sobre el importe del daño ya liquidado. De otro lado —y este es el matiz decisivo—, dicho dictamen no impide en absoluto discutir judicialmente si un determinado concepto está o no cubierto por la póliza, si resulta aplicable una exclusión, o cuál es la interpretación correcta de una cláusula controvertida: estas son, en toda circunstancia, cuestiones jurídicas ajenas al objeto de la pericia y reservadas a los tribunales, con independencia de que el dictamen pericial haya adquirido firmeza.</w:t>
      </w:r>
    </w:p>
    <w:p>
      <w:pPr>
        <w:pStyle w:val="Heading2"/>
        <w:spacing w:after="160" w:before="400"/>
      </w:pPr>
      <w:r>
        <w:rPr>
          <w:rFonts w:ascii="Fraunces" w:cs="Fraunces" w:eastAsia="Fraunces" w:hAnsi="Fraunces"/>
          <w:b/>
          <w:bCs/>
          <w:color w:val="0A2540"/>
          <w:sz w:val="24"/>
          <w:szCs w:val="24"/>
        </w:rPr>
        <w:t xml:space="preserve">14.4. La impugnación judicial del dictamen: plazos y requisitos</w:t>
      </w:r>
    </w:p>
    <w:p>
      <w:pPr>
        <w:spacing w:after="180" w:line="300"/>
        <w:jc w:val="both"/>
      </w:pPr>
      <w:r>
        <w:rPr>
          <w:rFonts w:ascii="Archivo" w:cs="Archivo" w:eastAsia="Archivo" w:hAnsi="Archivo"/>
          <w:sz w:val="21"/>
          <w:szCs w:val="21"/>
        </w:rPr>
        <w:t xml:space="preserve">La firmeza del dictamen —y, con ella, su fuerza vinculante en el ámbito estrictamente liquidador— exige que no se impugne judicialmente dentro de los plazos legales (treinta días para el asegurador, ciento ochenta para el asegurado, desde la notificación). La jurisprudencia exige que dicha impugnación sea expresa, no bastando reservas genéricas o disconformidades extraprocesales:</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14 de septiembre de 2016 (ROJ: STS 4056/2016; ECLI:ES:TS:2016:4056; MP: Baena Ruiz)</w:t>
            </w:r>
          </w:p>
          <w:p>
            <w:pPr>
              <w:spacing w:after="0" w:line="280"/>
              <w:jc w:val="both"/>
            </w:pPr>
            <w:r>
              <w:rPr>
                <w:rFonts w:ascii="Archivo" w:cs="Archivo" w:eastAsia="Archivo" w:hAnsi="Archivo"/>
                <w:color w:val="0A2540"/>
                <w:sz w:val="19"/>
                <w:szCs w:val="19"/>
              </w:rPr>
              <w:t xml:space="preserve">«El dictamen por unanimidad o por mayoría es vinculante para las partes, salvo que se impugne judicialmente dentro de los plazos que se establecen. Tal impugnación ha de ser expresa y si no se lleva a cabo el dictamen pericial deviene en inatacable [...]. El dictamen de peritos [...] será vinculante cuando adquiera firmeza por no haber sido impugnado expresamente en los plazos que establece el artículo 38 LCS, pero, sin embargo, en el presente supuesto se ha impugnado de modo expreso, detallándose minuciosamente las causas de impugnación, por lo que procede decidir sobre ella.»</w:t>
            </w:r>
          </w:p>
        </w:tc>
      </w:tr>
    </w:tbl>
    <w:p>
      <w:pPr>
        <w:spacing w:after="180" w:line="300"/>
        <w:jc w:val="both"/>
      </w:pPr>
      <w:r>
        <w:rPr>
          <w:rFonts w:ascii="Archivo" w:cs="Archivo" w:eastAsia="Archivo" w:hAnsi="Archivo"/>
          <w:sz w:val="21"/>
          <w:szCs w:val="21"/>
        </w:rPr>
        <w:t xml:space="preserve">La determinación del dies a quo del plazo de impugnación puede complicarse cuando la designación del tercer perito se ha tramitado mediante expediente de jurisdicción voluntaria, supuesto en el que la Sala Primera ha debido precisar desde qué notificación concreta —la del propio dictamen o la de la resolución del expediente de designación— comienza a correr el plazo, remitiendo en todo caso a la fecha de notificación indubitada del dictamen definitivo conforme al tenor literal del art. 38 LCS.</w:t>
      </w:r>
    </w:p>
    <w:p>
      <w:pPr>
        <w:pStyle w:val="Heading2"/>
        <w:spacing w:after="160" w:before="400"/>
      </w:pPr>
      <w:r>
        <w:rPr>
          <w:rFonts w:ascii="Fraunces" w:cs="Fraunces" w:eastAsia="Fraunces" w:hAnsi="Fraunces"/>
          <w:b/>
          <w:bCs/>
          <w:color w:val="0A2540"/>
          <w:sz w:val="24"/>
          <w:szCs w:val="24"/>
        </w:rPr>
        <w:t xml:space="preserve">14.5. Retraso del asegurado en la iniciación del expediente y sus consecuencias sobre los intereses</w:t>
      </w:r>
    </w:p>
    <w:p>
      <w:pPr>
        <w:spacing w:after="180" w:line="300"/>
        <w:jc w:val="both"/>
      </w:pPr>
      <w:r>
        <w:rPr>
          <w:rFonts w:ascii="Archivo" w:cs="Archivo" w:eastAsia="Archivo" w:hAnsi="Archivo"/>
          <w:sz w:val="21"/>
          <w:szCs w:val="21"/>
        </w:rPr>
        <w:t xml:space="preserve">Cuando el retraso en la tramitación del expediente pericial es imputable al propio asegurado —por ejemplo, por demorar la designación de su perito o la aportación de la documentación necesaria—, dicho retraso puede repercutir en el cómputo de los intereses de demora del art. 20 LCS, estudiados en el capítulo 20, en la medida en que la falta de liquidez de la indemnización durante ese período pueda considerarse, según las circunstancias del caso, causa justificada de exoneración parcial de la aseguradora, sin que ello suponga alterar el término inicial legal del cómputo (la fecha del siniestro), sino modular la eventual concurrencia de causa justificada durante el período de demora efectivamente imputable al asegurado.</w:t>
      </w:r>
    </w:p>
    <w:p>
      <w:pPr>
        <w:pStyle w:val="Heading2"/>
        <w:spacing w:after="160" w:before="400"/>
      </w:pPr>
      <w:r>
        <w:rPr>
          <w:rFonts w:ascii="Fraunces" w:cs="Fraunces" w:eastAsia="Fraunces" w:hAnsi="Fraunces"/>
          <w:b/>
          <w:bCs/>
          <w:color w:val="0A2540"/>
          <w:sz w:val="24"/>
          <w:szCs w:val="24"/>
        </w:rPr>
        <w:t xml:space="preserve">14.6.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en el procedimiento del art. 38 LCS</w:t>
            </w:r>
          </w:p>
          <w:p>
            <w:pPr>
              <w:pStyle w:val="ListParagraph"/>
              <w:numPr>
                <w:ilvl w:val="0"/>
                <w:numId w:val="2"/>
              </w:numPr>
              <w:spacing w:after="80" w:line="280"/>
            </w:pPr>
            <w:r>
              <w:rPr>
                <w:rFonts w:ascii="Archivo" w:cs="Archivo" w:eastAsia="Archivo" w:hAnsi="Archivo"/>
                <w:sz w:val="19"/>
                <w:szCs w:val="19"/>
              </w:rPr>
              <w:t xml:space="preserve">Distinguir siempre si la discrepancia versa sobre la valoración cuantitativa del daño (vinculante tras la firmeza del dictamen) o sobre la interpretación del contrato y el alcance de la cobertura (siempre revisable judicialmente, conforme a la STS 3193/2021, ROJ: STS 3193/2021).</w:t>
            </w:r>
          </w:p>
          <w:p>
            <w:pPr>
              <w:pStyle w:val="ListParagraph"/>
              <w:numPr>
                <w:ilvl w:val="0"/>
                <w:numId w:val="2"/>
              </w:numPr>
              <w:spacing w:after="80" w:line="280"/>
            </w:pPr>
            <w:r>
              <w:rPr>
                <w:rFonts w:ascii="Archivo" w:cs="Archivo" w:eastAsia="Archivo" w:hAnsi="Archivo"/>
                <w:sz w:val="19"/>
                <w:szCs w:val="19"/>
              </w:rPr>
              <w:t xml:space="preserve">Verificar el cumplimiento estricto de los plazos de designación de peritos y de impugnación (treinta días para la aseguradora, ciento ochenta para el asegurado), y que la impugnación, si procede, sea expresa y motivada (STS 4056/2016, ROJ: STS 4056/2016).</w:t>
            </w:r>
          </w:p>
          <w:p>
            <w:pPr>
              <w:pStyle w:val="ListParagraph"/>
              <w:numPr>
                <w:ilvl w:val="0"/>
                <w:numId w:val="2"/>
              </w:numPr>
              <w:spacing w:after="80" w:line="280"/>
            </w:pPr>
            <w:r>
              <w:rPr>
                <w:rFonts w:ascii="Archivo" w:cs="Archivo" w:eastAsia="Archivo" w:hAnsi="Archivo"/>
                <w:sz w:val="19"/>
                <w:szCs w:val="19"/>
              </w:rPr>
              <w:t xml:space="preserve">Ante un dictamen desfavorable por cuestiones de cobertura, no combatirlo únicamente como error pericial, sino plantear directamente la cuestión jurídica de interpretación del contrato ante los tribunales.</w:t>
            </w:r>
          </w:p>
          <w:p>
            <w:pPr>
              <w:pStyle w:val="ListParagraph"/>
              <w:numPr>
                <w:ilvl w:val="0"/>
                <w:numId w:val="2"/>
              </w:numPr>
              <w:spacing w:after="80" w:line="280"/>
            </w:pPr>
            <w:r>
              <w:rPr>
                <w:rFonts w:ascii="Archivo" w:cs="Archivo" w:eastAsia="Archivo" w:hAnsi="Archivo"/>
                <w:sz w:val="19"/>
                <w:szCs w:val="19"/>
              </w:rPr>
              <w:t xml:space="preserve">Evaluar si el retraso en la tramitación del expediente pericial es imputable al asegurado, a efectos de su incidencia en los intereses del art. 20 LCS.</w:t>
            </w:r>
          </w:p>
        </w:tc>
      </w:tr>
    </w:tbl>
    <w:p>
      <w:pPr>
        <w:pStyle w:val="Heading2"/>
        <w:spacing w:after="160" w:before="400"/>
      </w:pPr>
      <w:r>
        <w:rPr>
          <w:rFonts w:ascii="Fraunces" w:cs="Fraunces" w:eastAsia="Fraunces" w:hAnsi="Fraunces"/>
          <w:b/>
          <w:bCs/>
          <w:color w:val="0A2540"/>
          <w:sz w:val="24"/>
          <w:szCs w:val="24"/>
        </w:rPr>
        <w:t xml:space="preserve">14.7.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sobre la peritación de su siniestro</w:t>
            </w:r>
          </w:p>
          <w:p>
            <w:pPr>
              <w:pStyle w:val="ListParagraph"/>
              <w:numPr>
                <w:ilvl w:val="0"/>
                <w:numId w:val="2"/>
              </w:numPr>
              <w:spacing w:after="80" w:line="280"/>
            </w:pPr>
            <w:r>
              <w:rPr>
                <w:rFonts w:ascii="Archivo" w:cs="Archivo" w:eastAsia="Archivo" w:hAnsi="Archivo"/>
                <w:sz w:val="19"/>
                <w:szCs w:val="19"/>
              </w:rPr>
              <w:t xml:space="preserve">Si no está de acuerdo con la valoración del perito de la aseguradora, tiene derecho a designar su propio perito: hágalo cuanto antes para no demorar el proceso.</w:t>
            </w:r>
          </w:p>
          <w:p>
            <w:pPr>
              <w:pStyle w:val="ListParagraph"/>
              <w:numPr>
                <w:ilvl w:val="0"/>
                <w:numId w:val="2"/>
              </w:numPr>
              <w:spacing w:after="80" w:line="280"/>
            </w:pPr>
            <w:r>
              <w:rPr>
                <w:rFonts w:ascii="Archivo" w:cs="Archivo" w:eastAsia="Archivo" w:hAnsi="Archivo"/>
                <w:sz w:val="19"/>
                <w:szCs w:val="19"/>
              </w:rPr>
              <w:t xml:space="preserve">Si tras el dictamen de los peritos sigue sin estar de acuerdo, puede impugnarlo judicialmente, pero debe hacerlo dentro del plazo de ciento ochenta días desde su notificación.</w:t>
            </w:r>
          </w:p>
          <w:p>
            <w:pPr>
              <w:pStyle w:val="ListParagraph"/>
              <w:numPr>
                <w:ilvl w:val="0"/>
                <w:numId w:val="2"/>
              </w:numPr>
              <w:spacing w:after="80" w:line="280"/>
            </w:pPr>
            <w:r>
              <w:rPr>
                <w:rFonts w:ascii="Archivo" w:cs="Archivo" w:eastAsia="Archivo" w:hAnsi="Archivo"/>
                <w:sz w:val="19"/>
                <w:szCs w:val="19"/>
              </w:rPr>
              <w:t xml:space="preserve">Recuerde que, aunque el dictamen pericial sobre el importe del daño llegue a ser firme, usted siempre puede discutir judicialmente si ese daño estaba o no cubierto por su póliza.</w:t>
            </w:r>
          </w:p>
          <w:p>
            <w:pPr>
              <w:pStyle w:val="ListParagraph"/>
              <w:numPr>
                <w:ilvl w:val="0"/>
                <w:numId w:val="2"/>
              </w:numPr>
              <w:spacing w:after="80" w:line="280"/>
            </w:pPr>
            <w:r>
              <w:rPr>
                <w:rFonts w:ascii="Archivo" w:cs="Archivo" w:eastAsia="Archivo" w:hAnsi="Archivo"/>
                <w:sz w:val="19"/>
                <w:szCs w:val="19"/>
              </w:rPr>
              <w:t xml:space="preserve">Colabore diligentemente con el proceso pericial: los retrasos que le sean imputables pueden afectar a los intereses de demora que, en otro caso, le corresponderían.</w:t>
            </w:r>
          </w:p>
        </w:tc>
      </w:tr>
    </w:tbl>
    <w:p>
      <w:pPr>
        <w:pStyle w:val="Heading2"/>
        <w:spacing w:after="160" w:before="400"/>
      </w:pPr>
      <w:r>
        <w:rPr>
          <w:rFonts w:ascii="Fraunces" w:cs="Fraunces" w:eastAsia="Fraunces" w:hAnsi="Fraunces"/>
          <w:b/>
          <w:bCs/>
          <w:color w:val="0A2540"/>
          <w:sz w:val="24"/>
          <w:szCs w:val="24"/>
        </w:rPr>
        <w:t xml:space="preserve">14.8. Checklist: gestión del procedimiento pericial</w:t>
      </w:r>
    </w:p>
    <w:p>
      <w:pPr>
        <w:pStyle w:val="ListParagraph"/>
        <w:numPr>
          <w:ilvl w:val="0"/>
          <w:numId w:val="2"/>
        </w:numPr>
        <w:spacing w:after="100" w:line="290"/>
      </w:pPr>
      <w:r>
        <w:rPr>
          <w:rFonts w:ascii="Archivo" w:cs="Archivo" w:eastAsia="Archivo" w:hAnsi="Archivo"/>
          <w:sz w:val="21"/>
          <w:szCs w:val="21"/>
        </w:rPr>
        <w:t xml:space="preserve">1. ¿Se ha designado perito de parte por ambas partes en el plazo debido?</w:t>
      </w:r>
    </w:p>
    <w:p>
      <w:pPr>
        <w:pStyle w:val="ListParagraph"/>
        <w:numPr>
          <w:ilvl w:val="0"/>
          <w:numId w:val="2"/>
        </w:numPr>
        <w:spacing w:after="100" w:line="290"/>
      </w:pPr>
      <w:r>
        <w:rPr>
          <w:rFonts w:ascii="Archivo" w:cs="Archivo" w:eastAsia="Archivo" w:hAnsi="Archivo"/>
          <w:sz w:val="21"/>
          <w:szCs w:val="21"/>
        </w:rPr>
        <w:t xml:space="preserve">2. ¿Existe acuerdo entre los peritos, o es necesario acudir a un tercer perito?</w:t>
      </w:r>
    </w:p>
    <w:p>
      <w:pPr>
        <w:pStyle w:val="ListParagraph"/>
        <w:numPr>
          <w:ilvl w:val="0"/>
          <w:numId w:val="2"/>
        </w:numPr>
        <w:spacing w:after="100" w:line="290"/>
      </w:pPr>
      <w:r>
        <w:rPr>
          <w:rFonts w:ascii="Archivo" w:cs="Archivo" w:eastAsia="Archivo" w:hAnsi="Archivo"/>
          <w:sz w:val="21"/>
          <w:szCs w:val="21"/>
        </w:rPr>
        <w:t xml:space="preserve">3. ¿El dictamen se ha notificado de forma indubitada y en qué fecha?</w:t>
      </w:r>
    </w:p>
    <w:p>
      <w:pPr>
        <w:pStyle w:val="ListParagraph"/>
        <w:numPr>
          <w:ilvl w:val="0"/>
          <w:numId w:val="2"/>
        </w:numPr>
        <w:spacing w:after="100" w:line="290"/>
      </w:pPr>
      <w:r>
        <w:rPr>
          <w:rFonts w:ascii="Archivo" w:cs="Archivo" w:eastAsia="Archivo" w:hAnsi="Archivo"/>
          <w:sz w:val="21"/>
          <w:szCs w:val="21"/>
        </w:rPr>
        <w:t xml:space="preserve">4. ¿La discrepancia versa sobre la valoración del daño o sobre la interpretación del contrato/cobertura?</w:t>
      </w:r>
    </w:p>
    <w:p>
      <w:pPr>
        <w:pStyle w:val="ListParagraph"/>
        <w:numPr>
          <w:ilvl w:val="0"/>
          <w:numId w:val="2"/>
        </w:numPr>
        <w:spacing w:after="100" w:line="290"/>
      </w:pPr>
      <w:r>
        <w:rPr>
          <w:rFonts w:ascii="Archivo" w:cs="Archivo" w:eastAsia="Archivo" w:hAnsi="Archivo"/>
          <w:sz w:val="21"/>
          <w:szCs w:val="21"/>
        </w:rPr>
        <w:t xml:space="preserve">5. Si procede impugnación, ¿se ha formulado expresamente y dentro de plazo?</w:t>
      </w:r>
    </w:p>
    <w:p>
      <w:pPr>
        <w:pStyle w:val="ListParagraph"/>
        <w:numPr>
          <w:ilvl w:val="0"/>
          <w:numId w:val="2"/>
        </w:numPr>
        <w:spacing w:after="100" w:line="290"/>
      </w:pPr>
      <w:r>
        <w:rPr>
          <w:rFonts w:ascii="Archivo" w:cs="Archivo" w:eastAsia="Archivo" w:hAnsi="Archivo"/>
          <w:sz w:val="21"/>
          <w:szCs w:val="21"/>
        </w:rPr>
        <w:t xml:space="preserve">6. ¿Existe retraso imputable a alguna de las partes con incidencia en los intereses del art. 20 LCS?</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BATALLER GRAU, J.; BOQUERA MATARREDONA, J.; OLAVARRÍA IGLESIA, J. (coords.), Comentarios a la Ley de Contrato de Seguro, Tirant lo Blanch, Valencia.</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19. </w:t>
      </w:r>
      <w:r>
        <w:rPr>
          <w:rFonts w:ascii="Fraunces" w:cs="Fraunces" w:eastAsia="Fraunces" w:hAnsi="Fraunces"/>
          <w:b/>
          <w:bCs/>
          <w:color w:val="0A2540"/>
          <w:sz w:val="30"/>
          <w:szCs w:val="30"/>
        </w:rPr>
        <w:t xml:space="preserve">Infraseguro, sobreseguro y regla proporcional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15.1. El principio indemnizatorio como fundamento de la regla proporcional</w:t>
            </w:r>
          </w:p>
          <w:p>
            <w:pPr>
              <w:spacing w:after="40" w:line="260"/>
            </w:pPr>
            <w:r>
              <w:rPr>
                <w:rFonts w:ascii="Archivo" w:cs="Archivo" w:eastAsia="Archivo" w:hAnsi="Archivo"/>
                <w:sz w:val="18"/>
                <w:szCs w:val="18"/>
              </w:rPr>
              <w:t xml:space="preserve">15.2. El infraseguro y la regla proporcional del art. 30 LCS</w:t>
            </w:r>
          </w:p>
          <w:p>
            <w:pPr>
              <w:spacing w:after="40" w:line="260"/>
            </w:pPr>
            <w:r>
              <w:rPr>
                <w:rFonts w:ascii="Archivo" w:cs="Archivo" w:eastAsia="Archivo" w:hAnsi="Archivo"/>
                <w:sz w:val="18"/>
                <w:szCs w:val="18"/>
              </w:rPr>
              <w:t xml:space="preserve">15.3. La exclusión pactada de la regla proporcional</w:t>
            </w:r>
          </w:p>
          <w:p>
            <w:pPr>
              <w:spacing w:after="40" w:line="260"/>
            </w:pPr>
            <w:r>
              <w:rPr>
                <w:rFonts w:ascii="Archivo" w:cs="Archivo" w:eastAsia="Archivo" w:hAnsi="Archivo"/>
                <w:sz w:val="18"/>
                <w:szCs w:val="18"/>
              </w:rPr>
              <w:t xml:space="preserve">15.4. El sobreseguro (art. 27 LCS)</w:t>
            </w:r>
          </w:p>
          <w:p>
            <w:pPr>
              <w:spacing w:after="40" w:line="260"/>
            </w:pPr>
            <w:r>
              <w:rPr>
                <w:rFonts w:ascii="Archivo" w:cs="Archivo" w:eastAsia="Archivo" w:hAnsi="Archivo"/>
                <w:sz w:val="18"/>
                <w:szCs w:val="18"/>
              </w:rPr>
              <w:t xml:space="preserve">15.5. Infraseguro y concurrencia de seguros: dos figuras que no deben confundirse</w:t>
            </w:r>
          </w:p>
          <w:p>
            <w:pPr>
              <w:spacing w:after="40" w:line="260"/>
            </w:pPr>
            <w:r>
              <w:rPr>
                <w:rFonts w:ascii="Archivo" w:cs="Archivo" w:eastAsia="Archivo" w:hAnsi="Archivo"/>
                <w:sz w:val="18"/>
                <w:szCs w:val="18"/>
              </w:rPr>
              <w:t xml:space="preserve">15.6. Partidas excluidas de la regla proporcional por pacto expreso</w:t>
            </w:r>
          </w:p>
          <w:p>
            <w:pPr>
              <w:spacing w:after="40" w:line="260"/>
            </w:pPr>
            <w:r>
              <w:rPr>
                <w:rFonts w:ascii="Archivo" w:cs="Archivo" w:eastAsia="Archivo" w:hAnsi="Archivo"/>
                <w:sz w:val="18"/>
                <w:szCs w:val="18"/>
              </w:rPr>
              <w:t xml:space="preserve">15.7. Ficha para el profesional</w:t>
            </w:r>
          </w:p>
          <w:p>
            <w:pPr>
              <w:spacing w:after="40" w:line="260"/>
            </w:pPr>
            <w:r>
              <w:rPr>
                <w:rFonts w:ascii="Archivo" w:cs="Archivo" w:eastAsia="Archivo" w:hAnsi="Archivo"/>
                <w:sz w:val="18"/>
                <w:szCs w:val="18"/>
              </w:rPr>
              <w:t xml:space="preserve">15.8. Ficha para el asegurado</w:t>
            </w:r>
          </w:p>
          <w:p>
            <w:pPr>
              <w:spacing w:after="40" w:line="260"/>
            </w:pPr>
            <w:r>
              <w:rPr>
                <w:rFonts w:ascii="Archivo" w:cs="Archivo" w:eastAsia="Archivo" w:hAnsi="Archivo"/>
                <w:sz w:val="18"/>
                <w:szCs w:val="18"/>
              </w:rPr>
              <w:t xml:space="preserve">15.9. Checklist: verificación de la suma asegurada</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analiza la regla proporcional del art. 30 LCS, aplicable cuando la suma asegurada es inferior al valor real del interés asegurado en el momento del siniestro, y su reverso, el sobreseguro del art. 27 LCS. Se dedica especial atención a la distinción, frecuentemente confundida en la práctica y clarificada por la jurisprudencia, entre el infraseguro (defecto de suma asegurada en una única póliza) y la concurrencia de seguros (pluralidad de pólizas sobre un mismo interés), cuyos regímenes jurídicos, aunque inspirados en el mismo principio indemnizatorio, son sustancialmente distintos.</w:t>
            </w:r>
          </w:p>
          <w:p>
            <w:pPr>
              <w:spacing w:after="160"/>
            </w:pPr>
            <w:r>
              <w:rPr>
                <w:rFonts w:ascii="Archivo" w:cs="Archivo" w:eastAsia="Archivo" w:hAnsi="Archivo"/>
                <w:b/>
                <w:bCs/>
                <w:sz w:val="17"/>
                <w:szCs w:val="17"/>
              </w:rPr>
              <w:t xml:space="preserve">Palabras clave: infraseguro, regla proporcional, art. 30 LCS, sobreseguro, concurrencia de seguros.</w:t>
            </w:r>
          </w:p>
          <w:p>
            <w:pPr>
              <w:spacing w:after="100"/>
              <w:jc w:val="both"/>
            </w:pPr>
            <w:r>
              <w:rPr>
                <w:rFonts w:ascii="Archivo" w:cs="Archivo" w:eastAsia="Archivo" w:hAnsi="Archivo"/>
                <w:i/>
                <w:iCs/>
                <w:sz w:val="18"/>
                <w:szCs w:val="18"/>
              </w:rPr>
              <w:t xml:space="preserve">This chapter examines the proportional rule of Article 30 of the Insurance Contract Act, applicable when the sum insured is lower than the actual value of the insured interest at the time of loss, and its counterpart, over-insurance under Article 27. Particular attention is paid to the distinction — frequently blurred in practice and clarified by case law — between under-insurance (an insufficient sum insured under a single policy) and concurrent insurance (multiple policies over the same interest), whose legal regimes, though both rooted in the indemnity principle, differ substantially.</w:t>
            </w:r>
          </w:p>
          <w:p>
            <w:pPr>
              <w:spacing w:after="0"/>
            </w:pPr>
            <w:r>
              <w:rPr>
                <w:rFonts w:ascii="Archivo" w:cs="Archivo" w:eastAsia="Archivo" w:hAnsi="Archivo"/>
                <w:b/>
                <w:bCs/>
                <w:sz w:val="17"/>
                <w:szCs w:val="17"/>
              </w:rPr>
              <w:t xml:space="preserve">Keywords: under-insurance, proportional rule, over-insurance, concurrent insurance.</w:t>
            </w:r>
          </w:p>
        </w:tc>
      </w:tr>
    </w:tbl>
    <w:p>
      <w:pPr>
        <w:spacing w:after="200"/>
      </w:pPr>
    </w:p>
    <w:p>
      <w:pPr>
        <w:pStyle w:val="Heading2"/>
        <w:spacing w:after="160" w:before="400"/>
      </w:pPr>
      <w:r>
        <w:rPr>
          <w:rFonts w:ascii="Fraunces" w:cs="Fraunces" w:eastAsia="Fraunces" w:hAnsi="Fraunces"/>
          <w:b/>
          <w:bCs/>
          <w:color w:val="0A2540"/>
          <w:sz w:val="24"/>
          <w:szCs w:val="24"/>
        </w:rPr>
        <w:t xml:space="preserve">15.1. El principio indemnizatorio como fundamento de la regla proporcional</w:t>
      </w:r>
    </w:p>
    <w:p>
      <w:pPr>
        <w:spacing w:after="180" w:line="300"/>
        <w:jc w:val="both"/>
      </w:pPr>
      <w:r>
        <w:rPr>
          <w:rFonts w:ascii="Archivo" w:cs="Archivo" w:eastAsia="Archivo" w:hAnsi="Archivo"/>
          <w:sz w:val="21"/>
          <w:szCs w:val="21"/>
        </w:rPr>
        <w:t xml:space="preserve">Como se anticipó en el capítulo 2, el seguro de daños está gobernado por el principio indemnizatorio del art. 26 LCS, que prohíbe el enriquecimiento del asegurado a través del seguro. La regla proporcional del infraseguro es una manifestación directa de este principio: si el asegurado ha declarado y asegurado un valor inferior al real del interés, pagando en consecuencia una prima también inferior a la que técnicamente correspondería al riesgo real, resultaría contrario a la mutualidad aseguradora que, producido un siniestro parcial, percibiera una indemnización íntegra sin haber soportado el coste actuarial correspondiente</w:t>
      </w:r>
      <w:r>
        <w:rPr>
          <w:rStyle w:val="FootnoteReference"/>
        </w:rPr>
        <w:footnoteReference w:id="38"/>
      </w:r>
      <w:r>
        <w:rPr>
          <w:rFonts w:ascii="Archivo" w:cs="Archivo" w:eastAsia="Archivo" w:hAnsi="Archivo"/>
          <w:sz w:val="21"/>
          <w:szCs w:val="21"/>
        </w:rPr>
        <w:t xml:space="preserve">.</w:t>
      </w:r>
    </w:p>
    <w:p>
      <w:pPr>
        <w:pStyle w:val="Heading2"/>
        <w:spacing w:after="160" w:before="400"/>
      </w:pPr>
      <w:r>
        <w:rPr>
          <w:rFonts w:ascii="Fraunces" w:cs="Fraunces" w:eastAsia="Fraunces" w:hAnsi="Fraunces"/>
          <w:b/>
          <w:bCs/>
          <w:color w:val="0A2540"/>
          <w:sz w:val="24"/>
          <w:szCs w:val="24"/>
        </w:rPr>
        <w:t xml:space="preserve">15.2. El infraseguro y la regla proporcional del art. 30 LCS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30 LCS</w:t>
            </w:r>
          </w:p>
          <w:p>
            <w:pPr>
              <w:spacing w:after="0" w:line="280"/>
              <w:jc w:val="both"/>
            </w:pPr>
            <w:r>
              <w:rPr>
                <w:rFonts w:ascii="IBM Plex Mono" w:cs="IBM Plex Mono" w:eastAsia="IBM Plex Mono" w:hAnsi="IBM Plex Mono"/>
                <w:i/>
                <w:iCs/>
                <w:color w:val="0A2540"/>
                <w:sz w:val="18"/>
                <w:szCs w:val="18"/>
              </w:rPr>
              <w:t xml:space="preserve">Si en el momento de la producción del siniestro la suma asegurada es inferior al valor del interés, el asegurador indemnizará el daño causado en la misma proporción en la que aquélla cubre el interés asegurado. Las partes, de común acuerdo, podrán excluir en la póliza o con posterioridad a la celebración del contrato, la aplicación de la regla proporcional prevista en el párrafo anterior.</w:t>
            </w:r>
          </w:p>
        </w:tc>
      </w:tr>
    </w:tbl>
    <w:p>
      <w:pPr>
        <w:spacing w:after="180" w:line="300"/>
        <w:jc w:val="both"/>
      </w:pPr>
      <w:r>
        <w:rPr>
          <w:rFonts w:ascii="Archivo" w:cs="Archivo" w:eastAsia="Archivo" w:hAnsi="Archivo"/>
          <w:sz w:val="21"/>
          <w:szCs w:val="21"/>
        </w:rPr>
        <w:t xml:space="preserve">La aplicación práctica de la regla se resume en una fórmula que todo profesional del ramo debe manejar con soltura: indemnización = daño × (suma asegurada / valor real del interés). Así, si una vivienda tiene un valor de reconstrucción de 300.000 euros y solo está asegurada por 200.000 euros, y sufre un daño parcial de 30.000 euros, la indemnización se reducirá a 20.000 euros (30.000 × 200.000/300.000), con independencia de que el daño concreto no agote la suma asegurada contratada. Esta consecuencia —contraintuitiva para el asegurado medio, que suele creer que basta con que el daño no supere la suma asegurada para obtener indemnización íntegra— exige una labor pedagógica constante del profesional al explicar el resultado de la liquidación.</w:t>
      </w:r>
    </w:p>
    <w:p>
      <w:pPr>
        <w:pStyle w:val="Heading2"/>
        <w:spacing w:after="160" w:before="400"/>
      </w:pPr>
      <w:r>
        <w:rPr>
          <w:rFonts w:ascii="Fraunces" w:cs="Fraunces" w:eastAsia="Fraunces" w:hAnsi="Fraunces"/>
          <w:b/>
          <w:bCs/>
          <w:color w:val="0A2540"/>
          <w:sz w:val="24"/>
          <w:szCs w:val="24"/>
        </w:rPr>
        <w:t xml:space="preserve">15.3. La exclusión pactada de la regla proporcional</w:t>
      </w:r>
    </w:p>
    <w:p>
      <w:pPr>
        <w:spacing w:after="180" w:line="300"/>
        <w:jc w:val="both"/>
      </w:pPr>
      <w:r>
        <w:rPr>
          <w:rFonts w:ascii="Archivo" w:cs="Archivo" w:eastAsia="Archivo" w:hAnsi="Archivo"/>
          <w:sz w:val="21"/>
          <w:szCs w:val="21"/>
        </w:rPr>
        <w:t xml:space="preserve">El segundo párrafo del art. 30 LCS permite a las partes excluir convencionalmente la regla proporcional, posibilidad que la práctica aseguradora ha convertido en habitual mediante las cláusulas de «seguro a primer riesgo», frecuentes en pólizas de hogar para determinadas partidas (por ejemplo, gastos de desescombro, honorarios de arquitecto, o incluso el contenido en su conjunto en determinados productos), en las que la aseguradora renuncia a aplicar la regla proporcional hasta el límite pactado, indemnizando el daño real hasta dicho límite con independencia de la relación entre suma asegurada y valor total del interés.</w:t>
      </w:r>
    </w:p>
    <w:p>
      <w:pPr>
        <w:pStyle w:val="Heading2"/>
        <w:spacing w:after="160" w:before="400"/>
      </w:pPr>
      <w:r>
        <w:rPr>
          <w:rFonts w:ascii="Fraunces" w:cs="Fraunces" w:eastAsia="Fraunces" w:hAnsi="Fraunces"/>
          <w:b/>
          <w:bCs/>
          <w:color w:val="0A2540"/>
          <w:sz w:val="24"/>
          <w:szCs w:val="24"/>
        </w:rPr>
        <w:t xml:space="preserve">15.4. El sobreseguro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27 LCS</w:t>
            </w:r>
          </w:p>
          <w:p>
            <w:pPr>
              <w:spacing w:after="0" w:line="280"/>
              <w:jc w:val="both"/>
            </w:pPr>
            <w:r>
              <w:rPr>
                <w:rFonts w:ascii="IBM Plex Mono" w:cs="IBM Plex Mono" w:eastAsia="IBM Plex Mono" w:hAnsi="IBM Plex Mono"/>
                <w:i/>
                <w:iCs/>
                <w:color w:val="0A2540"/>
                <w:sz w:val="18"/>
                <w:szCs w:val="18"/>
              </w:rPr>
              <w:t xml:space="preserve">La suma asegurada representa el límite máximo de la indemnización a pagar por el asegurador en cada siniestro.</w:t>
            </w:r>
          </w:p>
        </w:tc>
      </w:tr>
    </w:tbl>
    <w:p>
      <w:pPr>
        <w:spacing w:after="180" w:line="300"/>
        <w:jc w:val="both"/>
      </w:pPr>
      <w:r>
        <w:rPr>
          <w:rFonts w:ascii="Archivo" w:cs="Archivo" w:eastAsia="Archivo" w:hAnsi="Archivo"/>
          <w:sz w:val="21"/>
          <w:szCs w:val="21"/>
        </w:rPr>
        <w:t xml:space="preserve">El reverso del infraseguro es el sobreseguro: la suma asegurada excede notablemente el valor real del interés. Puesto que el art. 27 LCS fija la suma asegurada como límite máximo —nunca como derecho a una indemnización automática por ese importe—, el sobreseguro no genera, por sí mismo, derecho a una indemnización superior al daño realmente sufrido; su efecto práctico principal es, más bien, el pago de una prima superior a la técnicamente necesaria, sin beneficio indemnizatorio correlativo, lo que aconseja al profesional revisar periódicamente la adecuación de la suma asegurada al valor real del inmueble, tanto para evitar el infraseguro como el sobreseguro.</w:t>
      </w:r>
    </w:p>
    <w:p>
      <w:pPr>
        <w:pStyle w:val="Heading2"/>
        <w:spacing w:after="160" w:before="400"/>
      </w:pPr>
      <w:r>
        <w:rPr>
          <w:rFonts w:ascii="Fraunces" w:cs="Fraunces" w:eastAsia="Fraunces" w:hAnsi="Fraunces"/>
          <w:b/>
          <w:bCs/>
          <w:color w:val="0A2540"/>
          <w:sz w:val="24"/>
          <w:szCs w:val="24"/>
        </w:rPr>
        <w:t xml:space="preserve">15.5. Infraseguro y concurrencia de seguros: dos figuras que no deben confundirse</w:t>
      </w:r>
    </w:p>
    <w:p>
      <w:pPr>
        <w:spacing w:after="180" w:line="300"/>
        <w:jc w:val="both"/>
      </w:pPr>
      <w:r>
        <w:rPr>
          <w:rFonts w:ascii="Archivo" w:cs="Archivo" w:eastAsia="Archivo" w:hAnsi="Archivo"/>
          <w:sz w:val="21"/>
          <w:szCs w:val="21"/>
        </w:rPr>
        <w:t xml:space="preserve">La distinción entre infraseguro (defecto de suma asegurada dentro de una misma póliza) y concurrencia de seguros (pluralidad de pólizas sobre un mismo riesgo e interés, estudiada en el capítulo 8 a propósito del art. 32 LCS) es, pese a su aparente sencillez conceptual, fuente frecuente de confusión práctica, como ilustra una sentencia ya clásica de la Sala Primera dictada precisamente en un supuesto en que el asegurado pretendió, sin éxito, reconducir un problema de infraseguro a la figura de la concurrencia de seguros</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14 de noviembre de 2002 (ROJ: STS 7531/2002; ECLI:ES:TS:2002:7531; MP: Marín Castán)</w:t>
            </w:r>
          </w:p>
          <w:p>
            <w:pPr>
              <w:spacing w:after="0" w:line="280"/>
              <w:jc w:val="both"/>
            </w:pPr>
            <w:r>
              <w:rPr>
                <w:rFonts w:ascii="Archivo" w:cs="Archivo" w:eastAsia="Archivo" w:hAnsi="Archivo"/>
                <w:color w:val="0A2540"/>
                <w:sz w:val="19"/>
                <w:szCs w:val="19"/>
              </w:rPr>
              <w:t xml:space="preserve">«[La parte recurrente] vuelve a insistir aquí en mezclar el infraseguro con la concurrencia de seguros [...]. [No] es que a los gastos de desescombro no se les deba aplicar la regla proporcional como seguro a primer riesgo, sino la interpretación de las cláusulas de la póliza concretamente dedicadas a este punto estableciendo una suma porcentual, supuesto habitual en la práctica aseguradora que modifica esa pauta general de inaplicabilidad de la regla proporcional a este concepto.»</w:t>
            </w:r>
          </w:p>
        </w:tc>
      </w:tr>
    </w:tbl>
    <w:p>
      <w:pPr>
        <w:spacing w:after="180" w:line="300"/>
        <w:jc w:val="both"/>
      </w:pPr>
      <w:r>
        <w:rPr>
          <w:rFonts w:ascii="Archivo" w:cs="Archivo" w:eastAsia="Archivo" w:hAnsi="Archivo"/>
          <w:sz w:val="21"/>
          <w:szCs w:val="21"/>
        </w:rPr>
        <w:t xml:space="preserve">La sentencia ilustra dos ideas de utilidad práctica constante. Primera, la incomunicabilidad de pólizas distintas —aunque suscritas con el mismo tomador para centros o inmuebles diferentes— impide sumar sus respectivas sumas aseguradas para evitar la aplicación de la regla proporcional a una de ellas: cada póliza responde con su propia suma asegurada en relación con el interés que específicamente cubre. Segunda, determinadas partidas (como los gastos de desescombro) pueden quedar excluidas de la regla proporcional general no por la vía del art. 30, párrafo segundo, sino por la propia configuración de la cláusula que las regula como garantía a primer riesgo con un porcentaje o cuantía autónoma sobre la suma general.</w:t>
      </w:r>
    </w:p>
    <w:p>
      <w:pPr>
        <w:pStyle w:val="Heading2"/>
        <w:spacing w:after="160" w:before="400"/>
      </w:pPr>
      <w:r>
        <w:rPr>
          <w:rFonts w:ascii="Fraunces" w:cs="Fraunces" w:eastAsia="Fraunces" w:hAnsi="Fraunces"/>
          <w:b/>
          <w:bCs/>
          <w:color w:val="0A2540"/>
          <w:sz w:val="24"/>
          <w:szCs w:val="24"/>
        </w:rPr>
        <w:t xml:space="preserve">15.6. Partidas excluidas de la regla proporcional por pacto expreso</w:t>
      </w:r>
    </w:p>
    <w:p>
      <w:pPr>
        <w:spacing w:after="180" w:line="300"/>
        <w:jc w:val="both"/>
      </w:pPr>
      <w:r>
        <w:rPr>
          <w:rFonts w:ascii="Archivo" w:cs="Archivo" w:eastAsia="Archivo" w:hAnsi="Archivo"/>
          <w:sz w:val="21"/>
          <w:szCs w:val="21"/>
        </w:rPr>
        <w:t xml:space="preserve">En la práctica de las pólizas de hogar, es habitual encontrar excluidas de la regla proporcional general —mediante su configuración como garantías a primer riesgo— partidas como los gastos de desescombro y demolición, los honorarios técnicos de reconstrucción, los gastos de realojo provisional y, en ocasiones, la propia garantía de contenido hasta un determinado porcentaje de la suma de continente. La correcta identificación de estas partidas exige una lectura atenta de las condiciones particulares, pues su existencia puede alterar sustancialmente el resultado económico de una liquidación afectada por infraseguro en el resto de la póliza.</w:t>
      </w:r>
    </w:p>
    <w:p>
      <w:pPr>
        <w:pStyle w:val="Heading2"/>
        <w:spacing w:after="160" w:before="400"/>
      </w:pPr>
      <w:r>
        <w:rPr>
          <w:rFonts w:ascii="Fraunces" w:cs="Fraunces" w:eastAsia="Fraunces" w:hAnsi="Fraunces"/>
          <w:b/>
          <w:bCs/>
          <w:color w:val="0A2540"/>
          <w:sz w:val="24"/>
          <w:szCs w:val="24"/>
        </w:rPr>
        <w:t xml:space="preserve">15.7.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ante la aplicación de la regla proporcional</w:t>
            </w:r>
          </w:p>
          <w:p>
            <w:pPr>
              <w:pStyle w:val="ListParagraph"/>
              <w:numPr>
                <w:ilvl w:val="0"/>
                <w:numId w:val="2"/>
              </w:numPr>
              <w:spacing w:after="80" w:line="280"/>
            </w:pPr>
            <w:r>
              <w:rPr>
                <w:rFonts w:ascii="Archivo" w:cs="Archivo" w:eastAsia="Archivo" w:hAnsi="Archivo"/>
                <w:sz w:val="19"/>
                <w:szCs w:val="19"/>
              </w:rPr>
              <w:t xml:space="preserve">Verificar el valor real del interés asegurado en el momento del siniestro (normalmente, el valor de reconstrucción del continente o de reposición del contenido) frente a la suma asegurada contratada.</w:t>
            </w:r>
          </w:p>
          <w:p>
            <w:pPr>
              <w:pStyle w:val="ListParagraph"/>
              <w:numPr>
                <w:ilvl w:val="0"/>
                <w:numId w:val="2"/>
              </w:numPr>
              <w:spacing w:after="80" w:line="280"/>
            </w:pPr>
            <w:r>
              <w:rPr>
                <w:rFonts w:ascii="Archivo" w:cs="Archivo" w:eastAsia="Archivo" w:hAnsi="Archivo"/>
                <w:sz w:val="19"/>
                <w:szCs w:val="19"/>
              </w:rPr>
              <w:t xml:space="preserve">Comprobar si existe pacto expreso de exclusión de la regla proporcional, general o limitado a determinadas partidas (garantías a primer riesgo).</w:t>
            </w:r>
          </w:p>
          <w:p>
            <w:pPr>
              <w:pStyle w:val="ListParagraph"/>
              <w:numPr>
                <w:ilvl w:val="0"/>
                <w:numId w:val="2"/>
              </w:numPr>
              <w:spacing w:after="80" w:line="280"/>
            </w:pPr>
            <w:r>
              <w:rPr>
                <w:rFonts w:ascii="Archivo" w:cs="Archivo" w:eastAsia="Archivo" w:hAnsi="Archivo"/>
                <w:sz w:val="19"/>
                <w:szCs w:val="19"/>
              </w:rPr>
              <w:t xml:space="preserve">Distinguir con precisión el infraseguro de la concurrencia de seguros, conforme a la doctrina de la STS de 14 de noviembre de 2002 (ROJ: STS 7531/2002): pólizas distintas no se suman para evitar la regla proporcional.</w:t>
            </w:r>
          </w:p>
          <w:p>
            <w:pPr>
              <w:pStyle w:val="ListParagraph"/>
              <w:numPr>
                <w:ilvl w:val="0"/>
                <w:numId w:val="2"/>
              </w:numPr>
              <w:spacing w:after="80" w:line="280"/>
            </w:pPr>
            <w:r>
              <w:rPr>
                <w:rFonts w:ascii="Archivo" w:cs="Archivo" w:eastAsia="Archivo" w:hAnsi="Archivo"/>
                <w:sz w:val="19"/>
                <w:szCs w:val="19"/>
              </w:rPr>
              <w:t xml:space="preserve">Recalcular la fórmula de la regla proporcional (daño × suma asegurada / valor real) con precisión aritmética antes de aceptar o impugnar la liquidación de la aseguradora.</w:t>
            </w:r>
          </w:p>
        </w:tc>
      </w:tr>
    </w:tbl>
    <w:p>
      <w:pPr>
        <w:pStyle w:val="Heading2"/>
        <w:spacing w:after="160" w:before="400"/>
      </w:pPr>
      <w:r>
        <w:rPr>
          <w:rFonts w:ascii="Fraunces" w:cs="Fraunces" w:eastAsia="Fraunces" w:hAnsi="Fraunces"/>
          <w:b/>
          <w:bCs/>
          <w:color w:val="0A2540"/>
          <w:sz w:val="24"/>
          <w:szCs w:val="24"/>
        </w:rPr>
        <w:t xml:space="preserve">15.8.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Cómo evitar el infraseguro en su vivienda</w:t>
            </w:r>
          </w:p>
          <w:p>
            <w:pPr>
              <w:pStyle w:val="ListParagraph"/>
              <w:numPr>
                <w:ilvl w:val="0"/>
                <w:numId w:val="2"/>
              </w:numPr>
              <w:spacing w:after="80" w:line="280"/>
            </w:pPr>
            <w:r>
              <w:rPr>
                <w:rFonts w:ascii="Archivo" w:cs="Archivo" w:eastAsia="Archivo" w:hAnsi="Archivo"/>
                <w:sz w:val="19"/>
                <w:szCs w:val="19"/>
              </w:rPr>
              <w:t xml:space="preserve">Revise periódicamente si la suma asegurada de su póliza (continente y contenido) sigue correspondiéndose con el valor real de su vivienda y sus enseres, especialmente tras reformas o revalorizaciones.</w:t>
            </w:r>
          </w:p>
          <w:p>
            <w:pPr>
              <w:pStyle w:val="ListParagraph"/>
              <w:numPr>
                <w:ilvl w:val="0"/>
                <w:numId w:val="2"/>
              </w:numPr>
              <w:spacing w:after="80" w:line="280"/>
            </w:pPr>
            <w:r>
              <w:rPr>
                <w:rFonts w:ascii="Archivo" w:cs="Archivo" w:eastAsia="Archivo" w:hAnsi="Archivo"/>
                <w:sz w:val="19"/>
                <w:szCs w:val="19"/>
              </w:rPr>
              <w:t xml:space="preserve">Recuerde que un daño parcial no se indemniza necesariamente en su totalidad si su vivienda está infraasegurada: la indemnización se reduce proporcionalmente aunque el daño no agote la suma asegurada.</w:t>
            </w:r>
          </w:p>
          <w:p>
            <w:pPr>
              <w:pStyle w:val="ListParagraph"/>
              <w:numPr>
                <w:ilvl w:val="0"/>
                <w:numId w:val="2"/>
              </w:numPr>
              <w:spacing w:after="80" w:line="280"/>
            </w:pPr>
            <w:r>
              <w:rPr>
                <w:rFonts w:ascii="Archivo" w:cs="Archivo" w:eastAsia="Archivo" w:hAnsi="Archivo"/>
                <w:sz w:val="19"/>
                <w:szCs w:val="19"/>
              </w:rPr>
              <w:t xml:space="preserve">Pregunte a su aseguradora si existen garantías contratadas «a primer riesgo» (sin regla proporcional) para gastos de desescombro, honorarios técnicos o realojo.</w:t>
            </w:r>
          </w:p>
        </w:tc>
      </w:tr>
    </w:tbl>
    <w:p>
      <w:pPr>
        <w:pStyle w:val="Heading2"/>
        <w:spacing w:after="160" w:before="400"/>
      </w:pPr>
      <w:r>
        <w:rPr>
          <w:rFonts w:ascii="Fraunces" w:cs="Fraunces" w:eastAsia="Fraunces" w:hAnsi="Fraunces"/>
          <w:b/>
          <w:bCs/>
          <w:color w:val="0A2540"/>
          <w:sz w:val="24"/>
          <w:szCs w:val="24"/>
        </w:rPr>
        <w:t xml:space="preserve">15.9. Checklist: verificación de la suma asegurada</w:t>
      </w:r>
    </w:p>
    <w:p>
      <w:pPr>
        <w:pStyle w:val="ListParagraph"/>
        <w:numPr>
          <w:ilvl w:val="0"/>
          <w:numId w:val="2"/>
        </w:numPr>
        <w:spacing w:after="100" w:line="290"/>
      </w:pPr>
      <w:r>
        <w:rPr>
          <w:rFonts w:ascii="Archivo" w:cs="Archivo" w:eastAsia="Archivo" w:hAnsi="Archivo"/>
          <w:sz w:val="21"/>
          <w:szCs w:val="21"/>
        </w:rPr>
        <w:t xml:space="preserve">1. ¿Cuál es la suma asegurada de continente y de contenido, por separado?</w:t>
      </w:r>
    </w:p>
    <w:p>
      <w:pPr>
        <w:pStyle w:val="ListParagraph"/>
        <w:numPr>
          <w:ilvl w:val="0"/>
          <w:numId w:val="2"/>
        </w:numPr>
        <w:spacing w:after="100" w:line="290"/>
      </w:pPr>
      <w:r>
        <w:rPr>
          <w:rFonts w:ascii="Archivo" w:cs="Archivo" w:eastAsia="Archivo" w:hAnsi="Archivo"/>
          <w:sz w:val="21"/>
          <w:szCs w:val="21"/>
        </w:rPr>
        <w:t xml:space="preserve">2. ¿Cuál es el valor real del interés asegurado en el momento del siniestro?</w:t>
      </w:r>
    </w:p>
    <w:p>
      <w:pPr>
        <w:pStyle w:val="ListParagraph"/>
        <w:numPr>
          <w:ilvl w:val="0"/>
          <w:numId w:val="2"/>
        </w:numPr>
        <w:spacing w:after="100" w:line="290"/>
      </w:pPr>
      <w:r>
        <w:rPr>
          <w:rFonts w:ascii="Archivo" w:cs="Archivo" w:eastAsia="Archivo" w:hAnsi="Archivo"/>
          <w:sz w:val="21"/>
          <w:szCs w:val="21"/>
        </w:rPr>
        <w:t xml:space="preserve">3. ¿Existe infraseguro? En su caso, ¿cuál es la proporción aplicable?</w:t>
      </w:r>
    </w:p>
    <w:p>
      <w:pPr>
        <w:pStyle w:val="ListParagraph"/>
        <w:numPr>
          <w:ilvl w:val="0"/>
          <w:numId w:val="2"/>
        </w:numPr>
        <w:spacing w:after="100" w:line="290"/>
      </w:pPr>
      <w:r>
        <w:rPr>
          <w:rFonts w:ascii="Archivo" w:cs="Archivo" w:eastAsia="Archivo" w:hAnsi="Archivo"/>
          <w:sz w:val="21"/>
          <w:szCs w:val="21"/>
        </w:rPr>
        <w:t xml:space="preserve">4. ¿Existe pacto de exclusión de la regla proporcional, general o para partidas concretas?</w:t>
      </w:r>
    </w:p>
    <w:p>
      <w:pPr>
        <w:pStyle w:val="ListParagraph"/>
        <w:numPr>
          <w:ilvl w:val="0"/>
          <w:numId w:val="2"/>
        </w:numPr>
        <w:spacing w:after="100" w:line="290"/>
      </w:pPr>
      <w:r>
        <w:rPr>
          <w:rFonts w:ascii="Archivo" w:cs="Archivo" w:eastAsia="Archivo" w:hAnsi="Archivo"/>
          <w:sz w:val="21"/>
          <w:szCs w:val="21"/>
        </w:rPr>
        <w:t xml:space="preserve">5. ¿Existen otras pólizas sobre el mismo inmueble? ¿Se trata de infraseguro o de concurrencia de seguros?</w:t>
      </w:r>
    </w:p>
    <w:p>
      <w:pPr>
        <w:pStyle w:val="ListParagraph"/>
        <w:numPr>
          <w:ilvl w:val="0"/>
          <w:numId w:val="2"/>
        </w:numPr>
        <w:spacing w:after="100" w:line="290"/>
      </w:pPr>
      <w:r>
        <w:rPr>
          <w:rFonts w:ascii="Archivo" w:cs="Archivo" w:eastAsia="Archivo" w:hAnsi="Archivo"/>
          <w:sz w:val="21"/>
          <w:szCs w:val="21"/>
        </w:rPr>
        <w:t xml:space="preserve">6. ¿Es la suma asegurada manifiestamente superior al valor real (sobreseguro), con la consiguiente prima excesiva?</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20. </w:t>
      </w:r>
      <w:r>
        <w:rPr>
          <w:rFonts w:ascii="Fraunces" w:cs="Fraunces" w:eastAsia="Fraunces" w:hAnsi="Fraunces"/>
          <w:b/>
          <w:bCs/>
          <w:color w:val="0A2540"/>
          <w:sz w:val="30"/>
          <w:szCs w:val="30"/>
        </w:rPr>
        <w:t xml:space="preserve">Pago de la indemnización, mora del asegurador e intereses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16.1. El pago del importe mínimo (art. 18 LCS)</w:t>
            </w:r>
          </w:p>
          <w:p>
            <w:pPr>
              <w:spacing w:after="40" w:line="260"/>
            </w:pPr>
            <w:r>
              <w:rPr>
                <w:rFonts w:ascii="Archivo" w:cs="Archivo" w:eastAsia="Archivo" w:hAnsi="Archivo"/>
                <w:sz w:val="18"/>
                <w:szCs w:val="18"/>
              </w:rPr>
              <w:t xml:space="preserve">16.2. La mora del asegurador y su régimen especial (art. 20 LCS)</w:t>
            </w:r>
          </w:p>
          <w:p>
            <w:pPr>
              <w:spacing w:after="40" w:line="260"/>
            </w:pPr>
            <w:r>
              <w:rPr>
                <w:rFonts w:ascii="Archivo" w:cs="Archivo" w:eastAsia="Archivo" w:hAnsi="Archivo"/>
                <w:sz w:val="18"/>
                <w:szCs w:val="18"/>
              </w:rPr>
              <w:t xml:space="preserve">16.3. Cálculo de los intereses de demora</w:t>
            </w:r>
          </w:p>
          <w:p>
            <w:pPr>
              <w:spacing w:after="40" w:line="260"/>
            </w:pPr>
            <w:r>
              <w:rPr>
                <w:rFonts w:ascii="Archivo" w:cs="Archivo" w:eastAsia="Archivo" w:hAnsi="Archivo"/>
                <w:sz w:val="18"/>
                <w:szCs w:val="18"/>
              </w:rPr>
              <w:t xml:space="preserve">16.4. La causa justificada de exoneración: doctrina restrictiva del Tribunal Supremo</w:t>
            </w:r>
          </w:p>
          <w:p>
            <w:pPr>
              <w:spacing w:after="40" w:line="260"/>
            </w:pPr>
            <w:r>
              <w:rPr>
                <w:rFonts w:ascii="Archivo" w:cs="Archivo" w:eastAsia="Archivo" w:hAnsi="Archivo"/>
                <w:sz w:val="18"/>
                <w:szCs w:val="18"/>
              </w:rPr>
              <w:t xml:space="preserve">16.5. La pendencia de un proceso judicial como (in)suficiente causa justificada</w:t>
            </w:r>
          </w:p>
          <w:p>
            <w:pPr>
              <w:spacing w:after="40" w:line="260"/>
            </w:pPr>
            <w:r>
              <w:rPr>
                <w:rFonts w:ascii="Archivo" w:cs="Archivo" w:eastAsia="Archivo" w:hAnsi="Archivo"/>
                <w:sz w:val="18"/>
                <w:szCs w:val="18"/>
              </w:rPr>
              <w:t xml:space="preserve">16.6. Ficha para el profesional</w:t>
            </w:r>
          </w:p>
          <w:p>
            <w:pPr>
              <w:spacing w:after="40" w:line="260"/>
            </w:pPr>
            <w:r>
              <w:rPr>
                <w:rFonts w:ascii="Archivo" w:cs="Archivo" w:eastAsia="Archivo" w:hAnsi="Archivo"/>
                <w:sz w:val="18"/>
                <w:szCs w:val="18"/>
              </w:rPr>
              <w:t xml:space="preserve">16.7. Ficha para el asegurado</w:t>
            </w:r>
          </w:p>
          <w:p>
            <w:pPr>
              <w:spacing w:after="40" w:line="260"/>
            </w:pPr>
            <w:r>
              <w:rPr>
                <w:rFonts w:ascii="Archivo" w:cs="Archivo" w:eastAsia="Archivo" w:hAnsi="Archivo"/>
                <w:sz w:val="18"/>
                <w:szCs w:val="18"/>
              </w:rPr>
              <w:t xml:space="preserve">16.8. Checklist: reclamación de intereses del art. 20 LCS</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estudia el régimen de la mora del asegurador del art. 20 LCS, uno de los preceptos de mayor eficacia disuasoria de todo el ordenamiento asegurador español, con especial atención a la doctrina jurisprudencial —marcadamente restrictiva hacia el asegurador— sobre qué constituye «causa justificada» de exoneración, y en particular a la reiterada afirmación de la Sala Primera de que la simple pendencia de un proceso judicial no exonera, por sí sola, del pago de estos intereses.</w:t>
            </w:r>
          </w:p>
          <w:p>
            <w:pPr>
              <w:spacing w:after="160"/>
            </w:pPr>
            <w:r>
              <w:rPr>
                <w:rFonts w:ascii="Archivo" w:cs="Archivo" w:eastAsia="Archivo" w:hAnsi="Archivo"/>
                <w:b/>
                <w:bCs/>
                <w:sz w:val="17"/>
                <w:szCs w:val="17"/>
              </w:rPr>
              <w:t xml:space="preserve">Palabras clave: mora del asegurador, art. 20 LCS, intereses de demora, causa justificada.</w:t>
            </w:r>
          </w:p>
          <w:p>
            <w:pPr>
              <w:spacing w:after="100"/>
              <w:jc w:val="both"/>
            </w:pPr>
            <w:r>
              <w:rPr>
                <w:rFonts w:ascii="Archivo" w:cs="Archivo" w:eastAsia="Archivo" w:hAnsi="Archivo"/>
                <w:i/>
                <w:iCs/>
                <w:sz w:val="18"/>
                <w:szCs w:val="18"/>
              </w:rPr>
              <w:t xml:space="preserve">This chapter examines the insurer's default regime under Article 20 of the Insurance Contract Act, one of the most deterrent provisions in Spanish insurance law, focusing on the markedly restrictive case law on what constitutes 'justified cause' for exoneration, and in particular on the Supreme Court's consistent holding that the mere pendency of judicial proceedings does not, on its own, excuse the insurer from paying default interest.</w:t>
            </w:r>
          </w:p>
          <w:p>
            <w:pPr>
              <w:spacing w:after="0"/>
            </w:pPr>
            <w:r>
              <w:rPr>
                <w:rFonts w:ascii="Archivo" w:cs="Archivo" w:eastAsia="Archivo" w:hAnsi="Archivo"/>
                <w:b/>
                <w:bCs/>
                <w:sz w:val="17"/>
                <w:szCs w:val="17"/>
              </w:rPr>
              <w:t xml:space="preserve">Keywords: insurer default, default interest, justified cause, litigation pendency.</w:t>
            </w:r>
          </w:p>
        </w:tc>
      </w:tr>
    </w:tbl>
    <w:p>
      <w:pPr>
        <w:spacing w:after="200"/>
      </w:pPr>
    </w:p>
    <w:p>
      <w:pPr>
        <w:pStyle w:val="Heading2"/>
        <w:spacing w:after="160" w:before="400"/>
      </w:pPr>
      <w:r>
        <w:rPr>
          <w:rFonts w:ascii="Fraunces" w:cs="Fraunces" w:eastAsia="Fraunces" w:hAnsi="Fraunces"/>
          <w:b/>
          <w:bCs/>
          <w:color w:val="0A2540"/>
          <w:sz w:val="24"/>
          <w:szCs w:val="24"/>
        </w:rPr>
        <w:t xml:space="preserve">16.1. El pago del importe mínimo</w:t>
      </w:r>
    </w:p>
    <w:p>
      <w:pPr>
        <w:spacing w:after="180" w:line="300"/>
        <w:jc w:val="both"/>
      </w:pPr>
      <w:r>
        <w:rPr>
          <w:rFonts w:ascii="Archivo" w:cs="Archivo" w:eastAsia="Archivo" w:hAnsi="Archivo"/>
          <w:sz w:val="21"/>
          <w:szCs w:val="21"/>
        </w:rPr>
        <w:t xml:space="preserve">Antes de examinar el régimen de mora propiamente dicho, conviene recordar la obligación, ya avanzada en capítulos anteriores, de pago del importe mínimo debido: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18 LCS</w:t>
            </w:r>
          </w:p>
          <w:p>
            <w:pPr>
              <w:spacing w:after="0" w:line="280"/>
              <w:jc w:val="both"/>
            </w:pPr>
            <w:r>
              <w:rPr>
                <w:rFonts w:ascii="IBM Plex Mono" w:cs="IBM Plex Mono" w:eastAsia="IBM Plex Mono" w:hAnsi="IBM Plex Mono"/>
                <w:i/>
                <w:iCs/>
                <w:color w:val="0A2540"/>
                <w:sz w:val="18"/>
                <w:szCs w:val="18"/>
              </w:rPr>
              <w:t xml:space="preserve">El asegurador está obligado a satisfacer la indemnización al término de las investigaciones y peritaciones necesarias para establecer la existencia del siniestro y, en su caso, el importe de los daños que resulten del mismo. En cualquier supuesto, el asegurador deberá efectuar, dentro de los cuarenta días, a partir de la recepción de la declaración del siniestro, el pago del importe mínimo de lo que el asegurador pueda deber, según las circunstancias por él conocidas.</w:t>
            </w:r>
          </w:p>
        </w:tc>
      </w:tr>
    </w:tbl>
    <w:p>
      <w:pPr>
        <w:spacing w:after="180" w:line="300"/>
        <w:jc w:val="both"/>
      </w:pPr>
      <w:r>
        <w:rPr>
          <w:rFonts w:ascii="Archivo" w:cs="Archivo" w:eastAsia="Archivo" w:hAnsi="Archivo"/>
          <w:sz w:val="21"/>
          <w:szCs w:val="21"/>
        </w:rPr>
        <w:t xml:space="preserve">Esta obligación de pago del importe mínimo dentro de los cuarenta días —con independencia de que la liquidación definitiva del daño requiera más tiempo— es el primer umbral temporal relevante para el cómputo de los intereses de demora, según se desarrolla en el epígrafe siguiente.</w:t>
      </w:r>
    </w:p>
    <w:p>
      <w:pPr>
        <w:pStyle w:val="Heading2"/>
        <w:spacing w:after="160" w:before="400"/>
      </w:pPr>
      <w:r>
        <w:rPr>
          <w:rFonts w:ascii="Fraunces" w:cs="Fraunces" w:eastAsia="Fraunces" w:hAnsi="Fraunces"/>
          <w:b/>
          <w:bCs/>
          <w:color w:val="0A2540"/>
          <w:sz w:val="24"/>
          <w:szCs w:val="24"/>
        </w:rPr>
        <w:t xml:space="preserve">16.2. La mora del asegurador y su régimen especial</w:t>
      </w:r>
    </w:p>
    <w:p>
      <w:pPr>
        <w:spacing w:after="180" w:line="300"/>
        <w:jc w:val="both"/>
      </w:pPr>
      <w:r>
        <w:rPr>
          <w:rFonts w:ascii="Archivo" w:cs="Archivo" w:eastAsia="Archivo" w:hAnsi="Archivo"/>
          <w:sz w:val="21"/>
          <w:szCs w:val="21"/>
        </w:rPr>
        <w:t xml:space="preserve">El artículo 20 LCS, ya reproducido íntegramente en el capítulo 1, articula un régimen de intereses moratorios especial y más gravoso que el general de los arts. 1108 CC y 576 LEC, cuya aplicación excluye expresamente</w:t>
      </w:r>
      <w:r>
        <w:rPr>
          <w:rStyle w:val="FootnoteReference"/>
        </w:rPr>
        <w:footnoteReference w:id="39"/>
      </w:r>
      <w:r>
        <w:rPr>
          <w:rFonts w:ascii="Archivo" w:cs="Archivo" w:eastAsia="Archivo" w:hAnsi="Archivo"/>
          <w:sz w:val="21"/>
          <w:szCs w:val="21"/>
        </w:rPr>
        <w:t xml:space="preserve">.</w:t>
      </w:r>
    </w:p>
    <w:p>
      <w:pPr>
        <w:spacing w:after="180" w:line="300"/>
        <w:jc w:val="both"/>
      </w:pPr>
      <w:r>
        <w:rPr>
          <w:rFonts w:ascii="Archivo" w:cs="Archivo" w:eastAsia="Archivo" w:hAnsi="Archivo"/>
          <w:sz w:val="21"/>
          <w:szCs w:val="21"/>
        </w:rPr>
        <w:t xml:space="preserve">Los elementos esenciales de este régimen, sistematizados a partir del art. 20 LCS, son:</w:t>
      </w:r>
    </w:p>
    <w:p>
      <w:pPr>
        <w:pStyle w:val="ListParagraph"/>
        <w:numPr>
          <w:ilvl w:val="0"/>
          <w:numId w:val="2"/>
        </w:numPr>
        <w:spacing w:after="100" w:line="290"/>
      </w:pPr>
      <w:r>
        <w:rPr>
          <w:rFonts w:ascii="Archivo" w:cs="Archivo" w:eastAsia="Archivo" w:hAnsi="Archivo"/>
          <w:b/>
          <w:bCs/>
          <w:sz w:val="21"/>
          <w:szCs w:val="21"/>
        </w:rPr>
        <w:t xml:space="preserve">Presupuesto de la mora: </w:t>
      </w:r>
      <w:r>
        <w:rPr>
          <w:rFonts w:ascii="Archivo" w:cs="Archivo" w:eastAsia="Archivo" w:hAnsi="Archivo"/>
          <w:sz w:val="21"/>
          <w:szCs w:val="21"/>
        </w:rPr>
        <w:t xml:space="preserve">no satisfacer la prestación en tres meses desde el siniestro, o no pagar el importe mínimo en cuarenta días desde la declaración.</w:t>
      </w:r>
    </w:p>
    <w:p>
      <w:pPr>
        <w:pStyle w:val="ListParagraph"/>
        <w:numPr>
          <w:ilvl w:val="0"/>
          <w:numId w:val="2"/>
        </w:numPr>
        <w:spacing w:after="100" w:line="290"/>
      </w:pPr>
      <w:r>
        <w:rPr>
          <w:rFonts w:ascii="Archivo" w:cs="Archivo" w:eastAsia="Archivo" w:hAnsi="Archivo"/>
          <w:b/>
          <w:bCs/>
          <w:sz w:val="21"/>
          <w:szCs w:val="21"/>
        </w:rPr>
        <w:t xml:space="preserve">Imposición de oficio: </w:t>
      </w:r>
      <w:r>
        <w:rPr>
          <w:rFonts w:ascii="Archivo" w:cs="Archivo" w:eastAsia="Archivo" w:hAnsi="Archivo"/>
          <w:sz w:val="21"/>
          <w:szCs w:val="21"/>
        </w:rPr>
        <w:t xml:space="preserve">el juez debe imponer estos intereses de oficio, sin necesidad de que se soliciten expresamente ni de reclamación judicial previa para su devengo día a día.</w:t>
      </w:r>
    </w:p>
    <w:p>
      <w:pPr>
        <w:pStyle w:val="ListParagraph"/>
        <w:numPr>
          <w:ilvl w:val="0"/>
          <w:numId w:val="2"/>
        </w:numPr>
        <w:spacing w:after="100" w:line="290"/>
      </w:pPr>
      <w:r>
        <w:rPr>
          <w:rFonts w:ascii="Archivo" w:cs="Archivo" w:eastAsia="Archivo" w:hAnsi="Archivo"/>
          <w:b/>
          <w:bCs/>
          <w:sz w:val="21"/>
          <w:szCs w:val="21"/>
        </w:rPr>
        <w:t xml:space="preserve">Cuantía: </w:t>
      </w:r>
      <w:r>
        <w:rPr>
          <w:rFonts w:ascii="Archivo" w:cs="Archivo" w:eastAsia="Archivo" w:hAnsi="Archivo"/>
          <w:sz w:val="21"/>
          <w:szCs w:val="21"/>
        </w:rPr>
        <w:t xml:space="preserve">interés legal del dinero incrementado en un 50 %; transcurridos dos años desde el siniestro sin pago, el interés anual no podrá ser inferior al 20 %.</w:t>
      </w:r>
    </w:p>
    <w:p>
      <w:pPr>
        <w:pStyle w:val="ListParagraph"/>
        <w:numPr>
          <w:ilvl w:val="0"/>
          <w:numId w:val="2"/>
        </w:numPr>
        <w:spacing w:after="100" w:line="290"/>
      </w:pPr>
      <w:r>
        <w:rPr>
          <w:rFonts w:ascii="Archivo" w:cs="Archivo" w:eastAsia="Archivo" w:hAnsi="Archivo"/>
          <w:b/>
          <w:bCs/>
          <w:sz w:val="21"/>
          <w:szCs w:val="21"/>
        </w:rPr>
        <w:t xml:space="preserve">Dies a quo: </w:t>
      </w:r>
      <w:r>
        <w:rPr>
          <w:rFonts w:ascii="Archivo" w:cs="Archivo" w:eastAsia="Archivo" w:hAnsi="Archivo"/>
          <w:sz w:val="21"/>
          <w:szCs w:val="21"/>
        </w:rPr>
        <w:t xml:space="preserve">la fecha del siniestro, salvo incumplimiento del deber de comunicación en plazo, en cuyo caso el término inicial se traslada a la fecha de la comunicación (capítulo 17).</w:t>
      </w:r>
    </w:p>
    <w:p>
      <w:pPr>
        <w:pStyle w:val="ListParagraph"/>
        <w:numPr>
          <w:ilvl w:val="0"/>
          <w:numId w:val="2"/>
        </w:numPr>
        <w:spacing w:after="100" w:line="290"/>
      </w:pPr>
      <w:r>
        <w:rPr>
          <w:rFonts w:ascii="Archivo" w:cs="Archivo" w:eastAsia="Archivo" w:hAnsi="Archivo"/>
          <w:b/>
          <w:bCs/>
          <w:sz w:val="21"/>
          <w:szCs w:val="21"/>
        </w:rPr>
        <w:t xml:space="preserve">Inaplicabilidad del régimen general: </w:t>
      </w:r>
      <w:r>
        <w:rPr>
          <w:rFonts w:ascii="Archivo" w:cs="Archivo" w:eastAsia="Archivo" w:hAnsi="Archivo"/>
          <w:sz w:val="21"/>
          <w:szCs w:val="21"/>
        </w:rPr>
        <w:t xml:space="preserve">expresamente excluidos el art. 1108 CC y el párrafo cuarto del art. 921 LEC (hoy, en sustancia, el art. 576 LEC), salvo las previsiones de este último sobre revocación total o parcial de la sentencia.</w:t>
      </w:r>
    </w:p>
    <w:p>
      <w:pPr>
        <w:pStyle w:val="Heading2"/>
        <w:spacing w:after="160" w:before="400"/>
      </w:pPr>
      <w:r>
        <w:rPr>
          <w:rFonts w:ascii="Fraunces" w:cs="Fraunces" w:eastAsia="Fraunces" w:hAnsi="Fraunces"/>
          <w:b/>
          <w:bCs/>
          <w:color w:val="0A2540"/>
          <w:sz w:val="24"/>
          <w:szCs w:val="24"/>
        </w:rPr>
        <w:t xml:space="preserve">16.3. Cálculo de los intereses de demora</w:t>
      </w:r>
    </w:p>
    <w:p>
      <w:pPr>
        <w:spacing w:after="180" w:line="300"/>
        <w:jc w:val="both"/>
      </w:pPr>
      <w:r>
        <w:rPr>
          <w:rFonts w:ascii="Archivo" w:cs="Archivo" w:eastAsia="Archivo" w:hAnsi="Archivo"/>
          <w:sz w:val="21"/>
          <w:szCs w:val="21"/>
        </w:rPr>
        <w:t xml:space="preserve">La práctica de la liquidación de estos intereses exige distinguir dos tramos temporales: durante los dos primeros años desde el siniestro, el interés aplicable es el legal del dinero vigente en cada momento incrementado en un 50 %; transcurridos esos dos años sin que la indemnización haya sido satisfecha, el interés no podrá ser en ningún caso inferior al 20 % anual, con independencia de cuál sea el interés legal del dinero vigente en ese momento, lo que en la práctica convierte a este segundo tramo en un severo desincentivo económico a la dilación prolongada por parte de la aseguradora.</w:t>
      </w:r>
    </w:p>
    <w:p>
      <w:pPr>
        <w:pStyle w:val="Heading2"/>
        <w:spacing w:after="160" w:before="400"/>
      </w:pPr>
      <w:r>
        <w:rPr>
          <w:rFonts w:ascii="Fraunces" w:cs="Fraunces" w:eastAsia="Fraunces" w:hAnsi="Fraunces"/>
          <w:b/>
          <w:bCs/>
          <w:color w:val="0A2540"/>
          <w:sz w:val="24"/>
          <w:szCs w:val="24"/>
        </w:rPr>
        <w:t xml:space="preserve">16.4. La causa justificada de exoneración: doctrina restrictiva del Tribunal Supremo</w:t>
      </w:r>
    </w:p>
    <w:p>
      <w:pPr>
        <w:spacing w:after="180" w:line="300"/>
        <w:jc w:val="both"/>
      </w:pPr>
      <w:r>
        <w:rPr>
          <w:rFonts w:ascii="Archivo" w:cs="Archivo" w:eastAsia="Archivo" w:hAnsi="Archivo"/>
          <w:sz w:val="21"/>
          <w:szCs w:val="21"/>
        </w:rPr>
        <w:t xml:space="preserve">El único cauce legal de exoneración de estos intereses es la concurrencia de «causa justificada» (art. 20.8.º LCS) por parte de la aseguradora, concepto jurídico indeterminado cuya interpretación jurisprudencial ha sido, de forma constante, marcadamente restrictiva, en coherencia con la finalidad disuasoria del precepto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27 de septiembre de 2023 (ROJ: STS 3983/2023; ECLI:ES:TS:2023:3983; MP: Seoane Spiegelberg)</w:t>
            </w:r>
          </w:p>
          <w:p>
            <w:pPr>
              <w:spacing w:after="0" w:line="280"/>
              <w:jc w:val="both"/>
            </w:pPr>
            <w:r>
              <w:rPr>
                <w:rFonts w:ascii="Archivo" w:cs="Archivo" w:eastAsia="Archivo" w:hAnsi="Archivo"/>
                <w:color w:val="0A2540"/>
                <w:sz w:val="19"/>
                <w:szCs w:val="19"/>
              </w:rPr>
              <w:t xml:space="preserve">«La simple pendencia de un proceso no puede constituir, por sí solo, causa justificada para obviar la imposición de los intereses moratorios; pues entonces las compañías de seguros no liquidarían los siniestros y esperarían a que se promovieran acciones judiciales contra ellas, lo que conduciría a la frustración de la finalidad perseguida por el art. 20 de la LCS, que se convertiría en papel mojado en contra de la voluntad del legislador.»</w:t>
            </w:r>
          </w:p>
        </w:tc>
      </w:tr>
    </w:tbl>
    <w:p>
      <w:pPr>
        <w:spacing w:after="180" w:line="300"/>
        <w:jc w:val="both"/>
      </w:pPr>
      <w:r>
        <w:rPr>
          <w:rFonts w:ascii="Archivo" w:cs="Archivo" w:eastAsia="Archivo" w:hAnsi="Archivo"/>
          <w:sz w:val="21"/>
          <w:szCs w:val="21"/>
        </w:rPr>
        <w:t xml:space="preserve">La misma sentencia matiza, no obstante, que esta regla general admite excepciones cuando concurren circunstancias verdaderamente singulares: en el caso concreto enjuiciado, se apreció causa justificada porque existía una vía administrativa previa cuyo pronunciamiento alteraba sustancialmente los conceptos indemnizables respecto de los finalmente reclamados en vía judicial, lo que permitía calificar como razonable la prudencia de la aseguradora en esperar dicho pronunciamiento antes de liquidar. Estas excepciones deben interpretarse, en todo caso, restrictivamente y de forma casuística, sin que puedan generalizarse como excusa sistemática frente a cualquier litigio.</w:t>
      </w:r>
    </w:p>
    <w:p>
      <w:pPr>
        <w:pStyle w:val="Heading2"/>
        <w:spacing w:after="160" w:before="400"/>
      </w:pPr>
      <w:r>
        <w:rPr>
          <w:rFonts w:ascii="Fraunces" w:cs="Fraunces" w:eastAsia="Fraunces" w:hAnsi="Fraunces"/>
          <w:b/>
          <w:bCs/>
          <w:color w:val="0A2540"/>
          <w:sz w:val="24"/>
          <w:szCs w:val="24"/>
        </w:rPr>
        <w:t xml:space="preserve">16.5. La pendencia de un proceso judicial como (in)suficiente causa justificada</w:t>
      </w:r>
    </w:p>
    <w:p>
      <w:pPr>
        <w:spacing w:after="180" w:line="300"/>
        <w:jc w:val="both"/>
      </w:pPr>
      <w:r>
        <w:rPr>
          <w:rFonts w:ascii="Archivo" w:cs="Archivo" w:eastAsia="Archivo" w:hAnsi="Archivo"/>
          <w:sz w:val="21"/>
          <w:szCs w:val="21"/>
        </w:rPr>
        <w:t xml:space="preserve">La regla de la STS 3983/2023 no es aislada: la jurisprudencia reciente reitera de forma constante que la mera existencia de un litigio sobre la procedencia o cuantía de la indemnización —incluida la propia discrepancia sobre la interpretación de una cláusula de la póliza— no constituye, por sí misma, causa justificada de exoneración, correspondiendo a la aseguradora acreditar una razón objetiva y específica, distinta de la mera resistencia procesal, que justifique su falta de pago en plazo. Esta doctrina, de aplicación transversal a todas las coberturas del seguro de hogar estudiadas en la Parte II de esta obra, convierte a los intereses del art. 20 LCS en un instrumento de negociación de primer orden en cualquier reclamación extrajudicial: la amenaza fundada de su devengo —especialmente una vez transcurridos los dos años que activan el suelo del 20 % anual— incentiva poderosamente el pago temprano por parte de la aseguradora.</w:t>
      </w:r>
    </w:p>
    <w:p>
      <w:pPr>
        <w:pStyle w:val="Heading2"/>
        <w:spacing w:after="160" w:before="400"/>
      </w:pPr>
      <w:r>
        <w:rPr>
          <w:rFonts w:ascii="Fraunces" w:cs="Fraunces" w:eastAsia="Fraunces" w:hAnsi="Fraunces"/>
          <w:b/>
          <w:bCs/>
          <w:color w:val="0A2540"/>
          <w:sz w:val="24"/>
          <w:szCs w:val="24"/>
        </w:rPr>
        <w:t xml:space="preserve">16.6.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para la reclamación de intereses del art. 20 LCS</w:t>
            </w:r>
          </w:p>
          <w:p>
            <w:pPr>
              <w:pStyle w:val="ListParagraph"/>
              <w:numPr>
                <w:ilvl w:val="0"/>
                <w:numId w:val="2"/>
              </w:numPr>
              <w:spacing w:after="80" w:line="280"/>
            </w:pPr>
            <w:r>
              <w:rPr>
                <w:rFonts w:ascii="Archivo" w:cs="Archivo" w:eastAsia="Archivo" w:hAnsi="Archivo"/>
                <w:sz w:val="19"/>
                <w:szCs w:val="19"/>
              </w:rPr>
              <w:t xml:space="preserve">Fijar con precisión la fecha del siniestro como dies a quo, salvo incumplimiento del deber de comunicación en plazo (capítulo 17).</w:t>
            </w:r>
          </w:p>
          <w:p>
            <w:pPr>
              <w:pStyle w:val="ListParagraph"/>
              <w:numPr>
                <w:ilvl w:val="0"/>
                <w:numId w:val="2"/>
              </w:numPr>
              <w:spacing w:after="80" w:line="280"/>
            </w:pPr>
            <w:r>
              <w:rPr>
                <w:rFonts w:ascii="Archivo" w:cs="Archivo" w:eastAsia="Archivo" w:hAnsi="Archivo"/>
                <w:sz w:val="19"/>
                <w:szCs w:val="19"/>
              </w:rPr>
              <w:t xml:space="preserve">Calcular los intereses por tramos: interés legal + 50 % durante los dos primeros años; suelo del 20 % anual a partir de entonces.</w:t>
            </w:r>
          </w:p>
          <w:p>
            <w:pPr>
              <w:pStyle w:val="ListParagraph"/>
              <w:numPr>
                <w:ilvl w:val="0"/>
                <w:numId w:val="2"/>
              </w:numPr>
              <w:spacing w:after="80" w:line="280"/>
            </w:pPr>
            <w:r>
              <w:rPr>
                <w:rFonts w:ascii="Archivo" w:cs="Archivo" w:eastAsia="Archivo" w:hAnsi="Archivo"/>
                <w:sz w:val="19"/>
                <w:szCs w:val="19"/>
              </w:rPr>
              <w:t xml:space="preserve">Ante la alegación de causa justificada por la aseguradora, exigir la acreditación de una razón objetiva y específica, recordando que la mera pendencia del proceso no basta (STS 3983/2023, ROJ: STS 3983/2023).</w:t>
            </w:r>
          </w:p>
          <w:p>
            <w:pPr>
              <w:pStyle w:val="ListParagraph"/>
              <w:numPr>
                <w:ilvl w:val="0"/>
                <w:numId w:val="2"/>
              </w:numPr>
              <w:spacing w:after="80" w:line="280"/>
            </w:pPr>
            <w:r>
              <w:rPr>
                <w:rFonts w:ascii="Archivo" w:cs="Archivo" w:eastAsia="Archivo" w:hAnsi="Archivo"/>
                <w:sz w:val="19"/>
                <w:szCs w:val="19"/>
              </w:rPr>
              <w:t xml:space="preserve">Solicitar la imposición de oficio de estos intereses en la demanda, sin perjuicio de argumentarlos expresamente para reforzar su aplicación.</w:t>
            </w:r>
          </w:p>
        </w:tc>
      </w:tr>
    </w:tbl>
    <w:p>
      <w:pPr>
        <w:pStyle w:val="Heading2"/>
        <w:spacing w:after="160" w:before="400"/>
      </w:pPr>
      <w:r>
        <w:rPr>
          <w:rFonts w:ascii="Fraunces" w:cs="Fraunces" w:eastAsia="Fraunces" w:hAnsi="Fraunces"/>
          <w:b/>
          <w:bCs/>
          <w:color w:val="0A2540"/>
          <w:sz w:val="24"/>
          <w:szCs w:val="24"/>
        </w:rPr>
        <w:t xml:space="preserve">16.7.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sobre los intereses por retraso de su aseguradora</w:t>
            </w:r>
          </w:p>
          <w:p>
            <w:pPr>
              <w:pStyle w:val="ListParagraph"/>
              <w:numPr>
                <w:ilvl w:val="0"/>
                <w:numId w:val="2"/>
              </w:numPr>
              <w:spacing w:after="80" w:line="280"/>
            </w:pPr>
            <w:r>
              <w:rPr>
                <w:rFonts w:ascii="Archivo" w:cs="Archivo" w:eastAsia="Archivo" w:hAnsi="Archivo"/>
                <w:sz w:val="19"/>
                <w:szCs w:val="19"/>
              </w:rPr>
              <w:t xml:space="preserve">Si su aseguradora tarda más de tres meses desde el siniestro en pagarle, o más de cuarenta días en abonarle al menos el importe mínimo, tiene derecho a intereses de demora, que se suman a la indemnización.</w:t>
            </w:r>
          </w:p>
          <w:p>
            <w:pPr>
              <w:pStyle w:val="ListParagraph"/>
              <w:numPr>
                <w:ilvl w:val="0"/>
                <w:numId w:val="2"/>
              </w:numPr>
              <w:spacing w:after="80" w:line="280"/>
            </w:pPr>
            <w:r>
              <w:rPr>
                <w:rFonts w:ascii="Archivo" w:cs="Archivo" w:eastAsia="Archivo" w:hAnsi="Archivo"/>
                <w:sz w:val="19"/>
                <w:szCs w:val="19"/>
              </w:rPr>
              <w:t xml:space="preserve">Estos intereses son muy superiores a los intereses legales ordinarios: pueden alcanzar el interés legal del dinero incrementado en un 50 %, y un mínimo del 20 % anual si el retraso supera los dos años.</w:t>
            </w:r>
          </w:p>
          <w:p>
            <w:pPr>
              <w:pStyle w:val="ListParagraph"/>
              <w:numPr>
                <w:ilvl w:val="0"/>
                <w:numId w:val="2"/>
              </w:numPr>
              <w:spacing w:after="80" w:line="280"/>
            </w:pPr>
            <w:r>
              <w:rPr>
                <w:rFonts w:ascii="Archivo" w:cs="Archivo" w:eastAsia="Archivo" w:hAnsi="Archivo"/>
                <w:sz w:val="19"/>
                <w:szCs w:val="19"/>
              </w:rPr>
              <w:t xml:space="preserve">No necesita reclamarlos expresamente ante un tribunal para que se devenguen día a día desde el siniestro, aunque conviene mencionarlos siempre en cualquier reclamación.</w:t>
            </w:r>
          </w:p>
        </w:tc>
      </w:tr>
    </w:tbl>
    <w:p>
      <w:pPr>
        <w:pStyle w:val="Heading2"/>
        <w:spacing w:after="160" w:before="400"/>
      </w:pPr>
      <w:r>
        <w:rPr>
          <w:rFonts w:ascii="Fraunces" w:cs="Fraunces" w:eastAsia="Fraunces" w:hAnsi="Fraunces"/>
          <w:b/>
          <w:bCs/>
          <w:color w:val="0A2540"/>
          <w:sz w:val="24"/>
          <w:szCs w:val="24"/>
        </w:rPr>
        <w:t xml:space="preserve">16.8. Checklist: reclamación de intereses del art. 20 LCS</w:t>
      </w:r>
    </w:p>
    <w:p>
      <w:pPr>
        <w:pStyle w:val="ListParagraph"/>
        <w:numPr>
          <w:ilvl w:val="0"/>
          <w:numId w:val="2"/>
        </w:numPr>
        <w:spacing w:after="100" w:line="290"/>
      </w:pPr>
      <w:r>
        <w:rPr>
          <w:rFonts w:ascii="Archivo" w:cs="Archivo" w:eastAsia="Archivo" w:hAnsi="Archivo"/>
          <w:sz w:val="21"/>
          <w:szCs w:val="21"/>
        </w:rPr>
        <w:t xml:space="preserve">1. ¿Cuál es la fecha del siniestro y la de comunicación a la aseguradora?</w:t>
      </w:r>
    </w:p>
    <w:p>
      <w:pPr>
        <w:pStyle w:val="ListParagraph"/>
        <w:numPr>
          <w:ilvl w:val="0"/>
          <w:numId w:val="2"/>
        </w:numPr>
        <w:spacing w:after="100" w:line="290"/>
      </w:pPr>
      <w:r>
        <w:rPr>
          <w:rFonts w:ascii="Archivo" w:cs="Archivo" w:eastAsia="Archivo" w:hAnsi="Archivo"/>
          <w:sz w:val="21"/>
          <w:szCs w:val="21"/>
        </w:rPr>
        <w:t xml:space="preserve">2. ¿Se abonó el importe mínimo dentro de los cuarenta días desde la declaración?</w:t>
      </w:r>
    </w:p>
    <w:p>
      <w:pPr>
        <w:pStyle w:val="ListParagraph"/>
        <w:numPr>
          <w:ilvl w:val="0"/>
          <w:numId w:val="2"/>
        </w:numPr>
        <w:spacing w:after="100" w:line="290"/>
      </w:pPr>
      <w:r>
        <w:rPr>
          <w:rFonts w:ascii="Archivo" w:cs="Archivo" w:eastAsia="Archivo" w:hAnsi="Archivo"/>
          <w:sz w:val="21"/>
          <w:szCs w:val="21"/>
        </w:rPr>
        <w:t xml:space="preserve">3. ¿Se satisfizo la indemnización completa dentro de los tres meses desde el siniestro?</w:t>
      </w:r>
    </w:p>
    <w:p>
      <w:pPr>
        <w:pStyle w:val="ListParagraph"/>
        <w:numPr>
          <w:ilvl w:val="0"/>
          <w:numId w:val="2"/>
        </w:numPr>
        <w:spacing w:after="100" w:line="290"/>
      </w:pPr>
      <w:r>
        <w:rPr>
          <w:rFonts w:ascii="Archivo" w:cs="Archivo" w:eastAsia="Archivo" w:hAnsi="Archivo"/>
          <w:sz w:val="21"/>
          <w:szCs w:val="21"/>
        </w:rPr>
        <w:t xml:space="preserve">4. En caso de retraso, ¿invoca la aseguradora una causa justificada? ¿Es objetiva y específica, o meramente procesal?</w:t>
      </w:r>
    </w:p>
    <w:p>
      <w:pPr>
        <w:pStyle w:val="ListParagraph"/>
        <w:numPr>
          <w:ilvl w:val="0"/>
          <w:numId w:val="2"/>
        </w:numPr>
        <w:spacing w:after="100" w:line="290"/>
      </w:pPr>
      <w:r>
        <w:rPr>
          <w:rFonts w:ascii="Archivo" w:cs="Archivo" w:eastAsia="Archivo" w:hAnsi="Archivo"/>
          <w:sz w:val="21"/>
          <w:szCs w:val="21"/>
        </w:rPr>
        <w:t xml:space="preserve">5. ¿Han transcurrido más de dos años desde el siniestro sin pago (activación del suelo del 20 % anual)?</w:t>
      </w:r>
    </w:p>
    <w:p>
      <w:pPr>
        <w:pStyle w:val="ListParagraph"/>
        <w:numPr>
          <w:ilvl w:val="0"/>
          <w:numId w:val="2"/>
        </w:numPr>
        <w:spacing w:after="100" w:line="290"/>
      </w:pPr>
      <w:r>
        <w:rPr>
          <w:rFonts w:ascii="Archivo" w:cs="Archivo" w:eastAsia="Archivo" w:hAnsi="Archivo"/>
          <w:sz w:val="21"/>
          <w:szCs w:val="21"/>
        </w:rPr>
        <w:t xml:space="preserve">6. ¿Se han calculado correctamente los intereses por tramos temporales?</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pStyle w:val="Heading1"/>
        <w:pageBreakBefore/>
        <w:spacing w:after="300" w:before="200"/>
      </w:pPr>
      <w:r>
        <w:rPr>
          <w:rFonts w:ascii="Archivo" w:cs="Archivo" w:eastAsia="Archivo" w:hAnsi="Archivo"/>
          <w:b/>
          <w:bCs/>
          <w:color w:val="1B6DF0"/>
          <w:sz w:val="22"/>
          <w:szCs w:val="22"/>
        </w:rPr>
        <w:t xml:space="preserve">Capítulo 21. </w:t>
      </w:r>
      <w:r>
        <w:rPr>
          <w:rFonts w:ascii="Fraunces" w:cs="Fraunces" w:eastAsia="Fraunces" w:hAnsi="Fraunces"/>
          <w:b/>
          <w:bCs/>
          <w:color w:val="0A2540"/>
          <w:sz w:val="30"/>
          <w:szCs w:val="30"/>
        </w:rPr>
        <w:t xml:space="preserve">Dolo y culpa grave: causas de exoneración del asegurador</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17.1. Sistemática general: dolo, mala fe y culpa grave en la LCS</w:t>
            </w:r>
          </w:p>
          <w:p>
            <w:pPr>
              <w:spacing w:after="40" w:line="260"/>
            </w:pPr>
            <w:r>
              <w:rPr>
                <w:rFonts w:ascii="Archivo" w:cs="Archivo" w:eastAsia="Archivo" w:hAnsi="Archivo"/>
                <w:sz w:val="18"/>
                <w:szCs w:val="18"/>
              </w:rPr>
              <w:t xml:space="preserve">17.2. El estándar probatorio: la carga de la prueba corresponde al asegurador</w:t>
            </w:r>
          </w:p>
          <w:p>
            <w:pPr>
              <w:spacing w:after="40" w:line="260"/>
            </w:pPr>
            <w:r>
              <w:rPr>
                <w:rFonts w:ascii="Archivo" w:cs="Archivo" w:eastAsia="Archivo" w:hAnsi="Archivo"/>
                <w:sz w:val="18"/>
                <w:szCs w:val="18"/>
              </w:rPr>
              <w:t xml:space="preserve">17.3. La exigencia de nexo causal entre el dolo y el siniestro</w:t>
            </w:r>
          </w:p>
          <w:p>
            <w:pPr>
              <w:spacing w:after="40" w:line="260"/>
            </w:pPr>
            <w:r>
              <w:rPr>
                <w:rFonts w:ascii="Archivo" w:cs="Archivo" w:eastAsia="Archivo" w:hAnsi="Archivo"/>
                <w:sz w:val="18"/>
                <w:szCs w:val="18"/>
              </w:rPr>
              <w:t xml:space="preserve">17.4. El umbral de la culpa grave frente a la negligencia simple</w:t>
            </w:r>
          </w:p>
          <w:p>
            <w:pPr>
              <w:spacing w:after="40" w:line="260"/>
            </w:pPr>
            <w:r>
              <w:rPr>
                <w:rFonts w:ascii="Archivo" w:cs="Archivo" w:eastAsia="Archivo" w:hAnsi="Archivo"/>
                <w:sz w:val="18"/>
                <w:szCs w:val="18"/>
              </w:rPr>
              <w:t xml:space="preserve">17.5. Proyección sobre las distintas coberturas del hogar</w:t>
            </w:r>
          </w:p>
          <w:p>
            <w:pPr>
              <w:spacing w:after="40" w:line="260"/>
            </w:pPr>
            <w:r>
              <w:rPr>
                <w:rFonts w:ascii="Archivo" w:cs="Archivo" w:eastAsia="Archivo" w:hAnsi="Archivo"/>
                <w:sz w:val="18"/>
                <w:szCs w:val="18"/>
              </w:rPr>
              <w:t xml:space="preserve">17.6. Ficha para el profesional</w:t>
            </w:r>
          </w:p>
          <w:p>
            <w:pPr>
              <w:spacing w:after="40" w:line="260"/>
            </w:pPr>
            <w:r>
              <w:rPr>
                <w:rFonts w:ascii="Archivo" w:cs="Archivo" w:eastAsia="Archivo" w:hAnsi="Archivo"/>
                <w:sz w:val="18"/>
                <w:szCs w:val="18"/>
              </w:rPr>
              <w:t xml:space="preserve">17.7. Ficha para el asegurado</w:t>
            </w:r>
          </w:p>
          <w:p>
            <w:pPr>
              <w:spacing w:after="40" w:line="260"/>
            </w:pPr>
            <w:r>
              <w:rPr>
                <w:rFonts w:ascii="Archivo" w:cs="Archivo" w:eastAsia="Archivo" w:hAnsi="Archivo"/>
                <w:sz w:val="18"/>
                <w:szCs w:val="18"/>
              </w:rPr>
              <w:t xml:space="preserve">17.8. Checklist: análisis de una imputación de dolo o culpa grave</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sistematiza el tratamiento del dolo y la culpa grave como causas de exoneración del asegurador a lo largo de la LCS —arts. 19, 48 y 52, entre otros—, con atención especial a dos reglas jurisprudenciales de aplicación transversal: la carga de la prueba del dolo o la culpa grave corresponde siempre a quien los invoca, es decir, al asegurador, y dicha prueba debe extenderse tanto a la conducta subjetivamente reprochable como a su nexo causal específico con el siniestro finalmente producido.</w:t>
            </w:r>
          </w:p>
          <w:p>
            <w:pPr>
              <w:spacing w:after="160"/>
            </w:pPr>
            <w:r>
              <w:rPr>
                <w:rFonts w:ascii="Archivo" w:cs="Archivo" w:eastAsia="Archivo" w:hAnsi="Archivo"/>
                <w:b/>
                <w:bCs/>
                <w:sz w:val="17"/>
                <w:szCs w:val="17"/>
              </w:rPr>
              <w:t xml:space="preserve">Palabras clave: dolo, mala fe, culpa grave, art. 19 LCS, carga de la prueba, nexo causal.</w:t>
            </w:r>
          </w:p>
          <w:p>
            <w:pPr>
              <w:spacing w:after="100"/>
              <w:jc w:val="both"/>
            </w:pPr>
            <w:r>
              <w:rPr>
                <w:rFonts w:ascii="Archivo" w:cs="Archivo" w:eastAsia="Archivo" w:hAnsi="Archivo"/>
                <w:i/>
                <w:iCs/>
                <w:sz w:val="18"/>
                <w:szCs w:val="18"/>
              </w:rPr>
              <w:t xml:space="preserve">This chapter systematises the treatment of wilful misconduct and gross negligence as grounds for insurer exoneration throughout the Insurance Contract Act — Articles 19, 48 and 52, among others — focusing on two cross-cutting case-law rules: the burden of proving wilful misconduct or gross negligence always falls on the party invoking it, namely the insurer, and that proof must extend both to the subjectively reprehensible conduct and to its specific causal link with the loss that actually occurred.</w:t>
            </w:r>
          </w:p>
          <w:p>
            <w:pPr>
              <w:spacing w:after="0"/>
            </w:pPr>
            <w:r>
              <w:rPr>
                <w:rFonts w:ascii="Archivo" w:cs="Archivo" w:eastAsia="Archivo" w:hAnsi="Archivo"/>
                <w:b/>
                <w:bCs/>
                <w:sz w:val="17"/>
                <w:szCs w:val="17"/>
              </w:rPr>
              <w:t xml:space="preserve">Keywords: wilful misconduct, bad faith, gross negligence, burden of proof, causation.</w:t>
            </w:r>
          </w:p>
        </w:tc>
      </w:tr>
    </w:tbl>
    <w:p>
      <w:pPr>
        <w:spacing w:after="200"/>
      </w:pPr>
    </w:p>
    <w:p>
      <w:pPr>
        <w:pStyle w:val="Heading2"/>
        <w:spacing w:after="160" w:before="400"/>
      </w:pPr>
      <w:r>
        <w:rPr>
          <w:rFonts w:ascii="Fraunces" w:cs="Fraunces" w:eastAsia="Fraunces" w:hAnsi="Fraunces"/>
          <w:b/>
          <w:bCs/>
          <w:color w:val="0A2540"/>
          <w:sz w:val="24"/>
          <w:szCs w:val="24"/>
        </w:rPr>
        <w:t xml:space="preserve">17.1. Sistemática general: dolo, mala fe y culpa grave en la LCS</w:t>
      </w:r>
    </w:p>
    <w:p>
      <w:pPr>
        <w:spacing w:after="180" w:line="300"/>
        <w:jc w:val="both"/>
      </w:pPr>
      <w:r>
        <w:rPr>
          <w:rFonts w:ascii="Archivo" w:cs="Archivo" w:eastAsia="Archivo" w:hAnsi="Archivo"/>
          <w:sz w:val="21"/>
          <w:szCs w:val="21"/>
        </w:rPr>
        <w:t xml:space="preserve">La LCS emplea, a lo largo de su articulado, una terminología que conviene sistematizar antes de entrar en el análisis probatorio: «mala fe» (art. 19 LCS, regla general del seguro de daños), «dolo o culpa grave» (arts. 10, 11, 12, 48 y 52 LCS, entre otros, en contextos más específicos), términos que la doctrina y la jurisprudencia consideran, en lo sustancial, equivalentes a efectos de exoneración del asegurador, aunque con matices de umbral según el precepto y la cobertura concreta de que se trate</w:t>
      </w:r>
      <w:r>
        <w:rPr>
          <w:rStyle w:val="FootnoteReference"/>
        </w:rPr>
        <w:footnoteReference w:id="40"/>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19 LCS</w:t>
            </w:r>
          </w:p>
          <w:p>
            <w:pPr>
              <w:spacing w:after="0" w:line="280"/>
              <w:jc w:val="both"/>
            </w:pPr>
            <w:r>
              <w:rPr>
                <w:rFonts w:ascii="IBM Plex Mono" w:cs="IBM Plex Mono" w:eastAsia="IBM Plex Mono" w:hAnsi="IBM Plex Mono"/>
                <w:i/>
                <w:iCs/>
                <w:color w:val="0A2540"/>
                <w:sz w:val="18"/>
                <w:szCs w:val="18"/>
              </w:rPr>
              <w:t xml:space="preserve">El asegurador estará obligado al pago de la prestación, salvo en el supuesto de que el siniestro haya sido causado por mala fe del asegurado.</w:t>
            </w:r>
          </w:p>
        </w:tc>
      </w:tr>
    </w:tbl>
    <w:p>
      <w:pPr>
        <w:spacing w:after="180" w:line="300"/>
        <w:jc w:val="both"/>
      </w:pPr>
      <w:r>
        <w:rPr>
          <w:rFonts w:ascii="Archivo" w:cs="Archivo" w:eastAsia="Archivo" w:hAnsi="Archivo"/>
          <w:sz w:val="21"/>
          <w:szCs w:val="21"/>
        </w:rPr>
        <w:t xml:space="preserve">Se trata de la norma más severa de todo el sistema: exige la provocación intencionada del propio siniestro por el asegurado, sin que la negligencia, por grave que sea, baste por sí sola para exonerar al asegurador bajo este precepto general (a diferencia de lo que ocurre en el régimen específico del seguro de incendio y del seguro de robo, según se expone en el epígrafe 17.4).</w:t>
      </w:r>
    </w:p>
    <w:p>
      <w:pPr>
        <w:pStyle w:val="Heading2"/>
        <w:spacing w:after="160" w:before="400"/>
      </w:pPr>
      <w:r>
        <w:rPr>
          <w:rFonts w:ascii="Fraunces" w:cs="Fraunces" w:eastAsia="Fraunces" w:hAnsi="Fraunces"/>
          <w:b/>
          <w:bCs/>
          <w:color w:val="0A2540"/>
          <w:sz w:val="24"/>
          <w:szCs w:val="24"/>
        </w:rPr>
        <w:t xml:space="preserve">17.2. El estándar probatorio: la carga de la prueba corresponde al asegurador</w:t>
      </w:r>
    </w:p>
    <w:p>
      <w:pPr>
        <w:spacing w:after="180" w:line="300"/>
        <w:jc w:val="both"/>
      </w:pPr>
      <w:r>
        <w:rPr>
          <w:rFonts w:ascii="Archivo" w:cs="Archivo" w:eastAsia="Archivo" w:hAnsi="Archivo"/>
          <w:sz w:val="21"/>
          <w:szCs w:val="21"/>
        </w:rPr>
        <w:t xml:space="preserve">La regla probatoria aplicable a toda invocación de dolo o culpa grave por la aseguradora es de una claridad meridiana en la jurisprudencia reciente, y constituye, junto con la doctrina sobre cláusulas limitativas del capítulo 1, uno de los pilares de protección del asegurado en todo el sistema de la LCS</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17 de julio de 2012 (ROJ: STS 5990/2012; ECLI:ES:TS:2012:5990; MP: Arroyo Fiestas)</w:t>
            </w:r>
          </w:p>
          <w:p>
            <w:pPr>
              <w:spacing w:after="0" w:line="280"/>
              <w:jc w:val="both"/>
            </w:pPr>
            <w:r>
              <w:rPr>
                <w:rFonts w:ascii="Archivo" w:cs="Archivo" w:eastAsia="Archivo" w:hAnsi="Archivo"/>
                <w:color w:val="0A2540"/>
                <w:sz w:val="19"/>
                <w:szCs w:val="19"/>
              </w:rPr>
              <w:t xml:space="preserve">«El propio art. 48 LCS [...] solo exime al asegurador de su obligación de indemnizar los daños cuando el incendio ‘se origine por dolo o culpa grave del asegurado’, lo que exige probar no solo el dolo o la culpa grave del asegurado sino también su relación causal con el origen del incendio, incumbiendo al asegurador, según la doctrina científica y la jurisprudencia, la carga de esta prueba. [...] Si no consta probado que el incendio haya sido provocado, directa ni indirectamente, por el asegurado no se da el supuesto contemplado en la norma [...], y huelga discurrir acerca del dolo o culpa grave del asegurado y del nexo causal.»</w:t>
            </w:r>
          </w:p>
        </w:tc>
      </w:tr>
    </w:tbl>
    <w:p>
      <w:pPr>
        <w:spacing w:after="180" w:line="300"/>
        <w:jc w:val="both"/>
      </w:pPr>
      <w:r>
        <w:rPr>
          <w:rFonts w:ascii="Archivo" w:cs="Archivo" w:eastAsia="Archivo" w:hAnsi="Archivo"/>
          <w:sz w:val="21"/>
          <w:szCs w:val="21"/>
        </w:rPr>
        <w:t xml:space="preserve">De esta doctrina se extrae una regla de aplicación general a cualquier cobertura del hogar: no basta con que existan indicios de que el siniestro pudo ser provocado —por ejemplo, la presencia de trazas de un acelerante en un incendio—; es necesario que la aseguradora acredite, con la certeza exigible en el proceso civil, tanto la conducta dolosa o gravemente negligente como su autoría por el asegurado. Indicios débiles, ambiguos o que «abren el campo más a las dudas y a las hipótesis» que a la certeza —en los términos empleados por la propia sentencia— no son suficientes para exonerar al asegurador de su obligación de indemnizar.</w:t>
      </w:r>
    </w:p>
    <w:p>
      <w:pPr>
        <w:pStyle w:val="Heading2"/>
        <w:spacing w:after="160" w:before="400"/>
      </w:pPr>
      <w:r>
        <w:rPr>
          <w:rFonts w:ascii="Fraunces" w:cs="Fraunces" w:eastAsia="Fraunces" w:hAnsi="Fraunces"/>
          <w:b/>
          <w:bCs/>
          <w:color w:val="0A2540"/>
          <w:sz w:val="24"/>
          <w:szCs w:val="24"/>
        </w:rPr>
        <w:t xml:space="preserve">17.3. La exigencia de nexo causal entre el dolo y el siniestro</w:t>
      </w:r>
    </w:p>
    <w:p>
      <w:pPr>
        <w:spacing w:after="180" w:line="300"/>
        <w:jc w:val="both"/>
      </w:pPr>
      <w:r>
        <w:rPr>
          <w:rFonts w:ascii="Archivo" w:cs="Archivo" w:eastAsia="Archivo" w:hAnsi="Archivo"/>
          <w:sz w:val="21"/>
          <w:szCs w:val="21"/>
        </w:rPr>
        <w:t xml:space="preserve">Como se anticipó en el capítulo 13 a propósito de la STS 1544/2023 (ROJ: STS 1544/2023), la exigencia de nexo causal no se limita a la autoría material del hecho inicial, sino que debe extenderse específicamente al resultado dañoso finalmente producido. La distinción es sutil pero decisiva: un acto inicial voluntario o incluso doloso (por ejemplo, sustraer combustible) no determina automáticamente la calificación dolosa del siniestro final (el incendio subsiguiente) si este último no fue querido ni siquiera aceptado como consecuencia altamente probable de aquel. El profesional debe, por ello, descomponer analíticamente la cadena causal completa del siniestro antes de aceptar o rechazar una imputación de dolo formulada por la aseguradora.</w:t>
      </w:r>
    </w:p>
    <w:p>
      <w:pPr>
        <w:pStyle w:val="Heading2"/>
        <w:spacing w:after="160" w:before="400"/>
      </w:pPr>
      <w:r>
        <w:rPr>
          <w:rFonts w:ascii="Fraunces" w:cs="Fraunces" w:eastAsia="Fraunces" w:hAnsi="Fraunces"/>
          <w:b/>
          <w:bCs/>
          <w:color w:val="0A2540"/>
          <w:sz w:val="24"/>
          <w:szCs w:val="24"/>
        </w:rPr>
        <w:t xml:space="preserve">17.4. El umbral de la culpa grave frente a la negligencia simple</w:t>
      </w:r>
    </w:p>
    <w:p>
      <w:pPr>
        <w:spacing w:after="180" w:line="300"/>
        <w:jc w:val="both"/>
      </w:pPr>
      <w:r>
        <w:rPr>
          <w:rFonts w:ascii="Archivo" w:cs="Archivo" w:eastAsia="Archivo" w:hAnsi="Archivo"/>
          <w:sz w:val="21"/>
          <w:szCs w:val="21"/>
        </w:rPr>
        <w:t xml:space="preserve">Como se estudió en los capítulos 7 y 9, el umbral de imputación subjetiva varía según la cobertura y el precepto aplicable, lo que exige al profesional identificar con precisión cuál es el estándar exigible en cada caso concreto:</w:t>
      </w:r>
    </w:p>
    <w:p>
      <w:pPr>
        <w:pStyle w:val="ListParagraph"/>
        <w:numPr>
          <w:ilvl w:val="0"/>
          <w:numId w:val="2"/>
        </w:numPr>
        <w:spacing w:after="100" w:line="290"/>
      </w:pPr>
      <w:r>
        <w:rPr>
          <w:rFonts w:ascii="Archivo" w:cs="Archivo" w:eastAsia="Archivo" w:hAnsi="Archivo"/>
          <w:b/>
          <w:bCs/>
          <w:sz w:val="21"/>
          <w:szCs w:val="21"/>
        </w:rPr>
        <w:t xml:space="preserve">Régimen general del art. 19 LCS: </w:t>
      </w:r>
      <w:r>
        <w:rPr>
          <w:rFonts w:ascii="Archivo" w:cs="Archivo" w:eastAsia="Archivo" w:hAnsi="Archivo"/>
          <w:sz w:val="21"/>
          <w:szCs w:val="21"/>
        </w:rPr>
        <w:t xml:space="preserve">solo la mala fe (dolo) exonera; la negligencia, incluso grave, no exonera bajo este precepto en su formulación general.</w:t>
      </w:r>
    </w:p>
    <w:p>
      <w:pPr>
        <w:pStyle w:val="ListParagraph"/>
        <w:numPr>
          <w:ilvl w:val="0"/>
          <w:numId w:val="2"/>
        </w:numPr>
        <w:spacing w:after="100" w:line="290"/>
      </w:pPr>
      <w:r>
        <w:rPr>
          <w:rFonts w:ascii="Archivo" w:cs="Archivo" w:eastAsia="Archivo" w:hAnsi="Archivo"/>
          <w:b/>
          <w:bCs/>
          <w:sz w:val="21"/>
          <w:szCs w:val="21"/>
        </w:rPr>
        <w:t xml:space="preserve">Seguro de incendio (art. 48 LCS): </w:t>
      </w:r>
      <w:r>
        <w:rPr>
          <w:rFonts w:ascii="Archivo" w:cs="Archivo" w:eastAsia="Archivo" w:hAnsi="Archivo"/>
          <w:sz w:val="21"/>
          <w:szCs w:val="21"/>
        </w:rPr>
        <w:t xml:space="preserve">el dolo o la culpa grave exoneran; la negligencia leve o simple, incluso propia del asegurado, está expresamente cubierta.</w:t>
      </w:r>
    </w:p>
    <w:p>
      <w:pPr>
        <w:pStyle w:val="ListParagraph"/>
        <w:numPr>
          <w:ilvl w:val="0"/>
          <w:numId w:val="2"/>
        </w:numPr>
        <w:spacing w:after="100" w:line="290"/>
      </w:pPr>
      <w:r>
        <w:rPr>
          <w:rFonts w:ascii="Archivo" w:cs="Archivo" w:eastAsia="Archivo" w:hAnsi="Archivo"/>
          <w:b/>
          <w:bCs/>
          <w:sz w:val="21"/>
          <w:szCs w:val="21"/>
        </w:rPr>
        <w:t xml:space="preserve">Seguro de robo (art. 52.1.ª LCS): </w:t>
      </w:r>
      <w:r>
        <w:rPr>
          <w:rFonts w:ascii="Archivo" w:cs="Archivo" w:eastAsia="Archivo" w:hAnsi="Archivo"/>
          <w:sz w:val="21"/>
          <w:szCs w:val="21"/>
        </w:rPr>
        <w:t xml:space="preserve">la negligencia grave, no solo el dolo, exonera al asegurador, umbral más exigente para el asegurado que en el régimen del incendio.</w:t>
      </w:r>
    </w:p>
    <w:p>
      <w:pPr>
        <w:pStyle w:val="ListParagraph"/>
        <w:numPr>
          <w:ilvl w:val="0"/>
          <w:numId w:val="2"/>
        </w:numPr>
        <w:spacing w:after="100" w:line="290"/>
      </w:pPr>
      <w:r>
        <w:rPr>
          <w:rFonts w:ascii="Archivo" w:cs="Archivo" w:eastAsia="Archivo" w:hAnsi="Archivo"/>
          <w:b/>
          <w:bCs/>
          <w:sz w:val="21"/>
          <w:szCs w:val="21"/>
        </w:rPr>
        <w:t xml:space="preserve">Deber de declaración del riesgo (art. 10 LCS) y agravación (art. 11-12 LCS): </w:t>
      </w:r>
      <w:r>
        <w:rPr>
          <w:rFonts w:ascii="Archivo" w:cs="Archivo" w:eastAsia="Archivo" w:hAnsi="Archivo"/>
          <w:sz w:val="21"/>
          <w:szCs w:val="21"/>
        </w:rPr>
        <w:t xml:space="preserve">el dolo o la culpa grave determinan la liberación total; la reserva o inexactitud sin dolo ni culpa grave da lugar únicamente a reducción proporcional (capítulo 4).</w:t>
      </w:r>
    </w:p>
    <w:p>
      <w:pPr>
        <w:spacing w:after="180" w:line="300"/>
        <w:jc w:val="both"/>
      </w:pPr>
      <w:r>
        <w:rPr>
          <w:rFonts w:ascii="Archivo" w:cs="Archivo" w:eastAsia="Archivo" w:hAnsi="Archivo"/>
          <w:sz w:val="21"/>
          <w:szCs w:val="21"/>
        </w:rPr>
        <w:t xml:space="preserve">Esta heterogeneidad de umbrales, lejos de ser una incoherencia del sistema, refleja una ponderación legislativa deliberada del distinto grado de control que el asegurado puede razonablemente ejercer sobre cada tipo de riesgo: mayor tolerancia a la negligencia propia en el incendio (donde el origen accidental es estadísticamente más frecuente) y mayor exigencia de diligencia en el robo (donde las medidas de precaución del propio asegurado inciden más directamente en la probabilidad de siniestro).</w:t>
      </w:r>
    </w:p>
    <w:p>
      <w:pPr>
        <w:pStyle w:val="Heading2"/>
        <w:spacing w:after="160" w:before="400"/>
      </w:pPr>
      <w:r>
        <w:rPr>
          <w:rFonts w:ascii="Fraunces" w:cs="Fraunces" w:eastAsia="Fraunces" w:hAnsi="Fraunces"/>
          <w:b/>
          <w:bCs/>
          <w:color w:val="0A2540"/>
          <w:sz w:val="24"/>
          <w:szCs w:val="24"/>
        </w:rPr>
        <w:t xml:space="preserve">17.5. Proyección sobre las distintas coberturas del hogar</w:t>
      </w:r>
    </w:p>
    <w:p>
      <w:pPr>
        <w:spacing w:after="180" w:line="300"/>
        <w:jc w:val="both"/>
      </w:pPr>
      <w:r>
        <w:rPr>
          <w:rFonts w:ascii="Archivo" w:cs="Archivo" w:eastAsia="Archivo" w:hAnsi="Archivo"/>
          <w:sz w:val="21"/>
          <w:szCs w:val="21"/>
        </w:rPr>
        <w:t xml:space="preserve">La sistemática expuesta en este capítulo debe proyectarse, en cada caso concreto, sobre el régimen específico de la cobertura afectada: el capítulo 7 desarrolla su aplicación al incendio (con la doctrina de la «malquerencia de extraños»), el capítulo 9 su aplicación al robo, y el capítulo 13 su proyección —de especial complejidad— sobre la garantía de responsabilidad civil, donde la inoponibilidad de las excepciones personales del asegurador al tercero perjudicado (art. 76 LCS) determina que ni siquiera el dolo probado del asegurado sea oponible a quien reclama como perjudicado ajeno a la relación contractual.</w:t>
      </w:r>
    </w:p>
    <w:p>
      <w:pPr>
        <w:pStyle w:val="Heading2"/>
        <w:spacing w:after="160" w:before="400"/>
      </w:pPr>
      <w:r>
        <w:rPr>
          <w:rFonts w:ascii="Fraunces" w:cs="Fraunces" w:eastAsia="Fraunces" w:hAnsi="Fraunces"/>
          <w:b/>
          <w:bCs/>
          <w:color w:val="0A2540"/>
          <w:sz w:val="24"/>
          <w:szCs w:val="24"/>
        </w:rPr>
        <w:t xml:space="preserve">17.6.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ante una imputación de dolo o culpa grave</w:t>
            </w:r>
          </w:p>
          <w:p>
            <w:pPr>
              <w:pStyle w:val="ListParagraph"/>
              <w:numPr>
                <w:ilvl w:val="0"/>
                <w:numId w:val="2"/>
              </w:numPr>
              <w:spacing w:after="80" w:line="280"/>
            </w:pPr>
            <w:r>
              <w:rPr>
                <w:rFonts w:ascii="Archivo" w:cs="Archivo" w:eastAsia="Archivo" w:hAnsi="Archivo"/>
                <w:sz w:val="19"/>
                <w:szCs w:val="19"/>
              </w:rPr>
              <w:t xml:space="preserve">Identificar el precepto exacto aplicable (art. 19, 48, 52, 10 u 11-12 LCS) y el umbral subjetivo específico que exige (solo dolo, o dolo y culpa grave).</w:t>
            </w:r>
          </w:p>
          <w:p>
            <w:pPr>
              <w:pStyle w:val="ListParagraph"/>
              <w:numPr>
                <w:ilvl w:val="0"/>
                <w:numId w:val="2"/>
              </w:numPr>
              <w:spacing w:after="80" w:line="280"/>
            </w:pPr>
            <w:r>
              <w:rPr>
                <w:rFonts w:ascii="Archivo" w:cs="Archivo" w:eastAsia="Archivo" w:hAnsi="Archivo"/>
                <w:sz w:val="19"/>
                <w:szCs w:val="19"/>
              </w:rPr>
              <w:t xml:space="preserve">Exigir a la aseguradora prueba cumplida, no meramente indiciaria o ambigua, tanto de la conducta reprochable como de su nexo causal específico con el siniestro (STS 5990/2012, ROJ: STS 5990/2012).</w:t>
            </w:r>
          </w:p>
          <w:p>
            <w:pPr>
              <w:pStyle w:val="ListParagraph"/>
              <w:numPr>
                <w:ilvl w:val="0"/>
                <w:numId w:val="2"/>
              </w:numPr>
              <w:spacing w:after="80" w:line="280"/>
            </w:pPr>
            <w:r>
              <w:rPr>
                <w:rFonts w:ascii="Archivo" w:cs="Archivo" w:eastAsia="Archivo" w:hAnsi="Archivo"/>
                <w:sz w:val="19"/>
                <w:szCs w:val="19"/>
              </w:rPr>
              <w:t xml:space="preserve">Descomponer la cadena causal del siniestro cuando exista un acto inicial voluntario, para determinar si el dolo alcanza también al resultado dañoso finalmente producido.</w:t>
            </w:r>
          </w:p>
          <w:p>
            <w:pPr>
              <w:pStyle w:val="ListParagraph"/>
              <w:numPr>
                <w:ilvl w:val="0"/>
                <w:numId w:val="2"/>
              </w:numPr>
              <w:spacing w:after="80" w:line="280"/>
            </w:pPr>
            <w:r>
              <w:rPr>
                <w:rFonts w:ascii="Archivo" w:cs="Archivo" w:eastAsia="Archivo" w:hAnsi="Archivo"/>
                <w:sz w:val="19"/>
                <w:szCs w:val="19"/>
              </w:rPr>
              <w:t xml:space="preserve">En coberturas de responsabilidad civil, recordar la inoponibilidad al tercero perjudicado del dolo del asegurado (art. 76 LCS, capítulo 13), con independencia de su eventual prueba en la relación interna asegurador-asegurado.</w:t>
            </w:r>
          </w:p>
        </w:tc>
      </w:tr>
    </w:tbl>
    <w:p>
      <w:pPr>
        <w:pStyle w:val="Heading2"/>
        <w:spacing w:after="160" w:before="400"/>
      </w:pPr>
      <w:r>
        <w:rPr>
          <w:rFonts w:ascii="Fraunces" w:cs="Fraunces" w:eastAsia="Fraunces" w:hAnsi="Fraunces"/>
          <w:b/>
          <w:bCs/>
          <w:color w:val="0A2540"/>
          <w:sz w:val="24"/>
          <w:szCs w:val="24"/>
        </w:rPr>
        <w:t xml:space="preserve">17.7.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si le imputan dolo o mala fe</w:t>
            </w:r>
          </w:p>
          <w:p>
            <w:pPr>
              <w:pStyle w:val="ListParagraph"/>
              <w:numPr>
                <w:ilvl w:val="0"/>
                <w:numId w:val="2"/>
              </w:numPr>
              <w:spacing w:after="80" w:line="280"/>
            </w:pPr>
            <w:r>
              <w:rPr>
                <w:rFonts w:ascii="Archivo" w:cs="Archivo" w:eastAsia="Archivo" w:hAnsi="Archivo"/>
                <w:sz w:val="19"/>
                <w:szCs w:val="19"/>
              </w:rPr>
              <w:t xml:space="preserve">No basta con que la aseguradora sospeche o alegue que usted provocó el siniestro: debe probarlo con certeza, no con meras conjeturas.</w:t>
            </w:r>
          </w:p>
          <w:p>
            <w:pPr>
              <w:pStyle w:val="ListParagraph"/>
              <w:numPr>
                <w:ilvl w:val="0"/>
                <w:numId w:val="2"/>
              </w:numPr>
              <w:spacing w:after="80" w:line="280"/>
            </w:pPr>
            <w:r>
              <w:rPr>
                <w:rFonts w:ascii="Archivo" w:cs="Archivo" w:eastAsia="Archivo" w:hAnsi="Archivo"/>
                <w:sz w:val="19"/>
                <w:szCs w:val="19"/>
              </w:rPr>
              <w:t xml:space="preserve">Si existió algún acto voluntario suyo relacionado con el siniestro, pero no quiso ni pudo prever razonablemente el resultado dañoso final, eso no equivale automáticamente a dolo respecto de ese resultado.</w:t>
            </w:r>
          </w:p>
          <w:p>
            <w:pPr>
              <w:pStyle w:val="ListParagraph"/>
              <w:numPr>
                <w:ilvl w:val="0"/>
                <w:numId w:val="2"/>
              </w:numPr>
              <w:spacing w:after="80" w:line="280"/>
            </w:pPr>
            <w:r>
              <w:rPr>
                <w:rFonts w:ascii="Archivo" w:cs="Archivo" w:eastAsia="Archivo" w:hAnsi="Archivo"/>
                <w:sz w:val="19"/>
                <w:szCs w:val="19"/>
              </w:rPr>
              <w:t xml:space="preserve">Consulte a un profesional antes de aceptar una denegación de cobertura basada en dolo o culpa grave: es una de las causas de exoneración más exigentes de probar para la aseguradora.</w:t>
            </w:r>
          </w:p>
        </w:tc>
      </w:tr>
    </w:tbl>
    <w:p>
      <w:pPr>
        <w:pStyle w:val="Heading2"/>
        <w:spacing w:after="160" w:before="400"/>
      </w:pPr>
      <w:r>
        <w:rPr>
          <w:rFonts w:ascii="Fraunces" w:cs="Fraunces" w:eastAsia="Fraunces" w:hAnsi="Fraunces"/>
          <w:b/>
          <w:bCs/>
          <w:color w:val="0A2540"/>
          <w:sz w:val="24"/>
          <w:szCs w:val="24"/>
        </w:rPr>
        <w:t xml:space="preserve">17.8. Checklist: análisis de una imputación de dolo o culpa grave</w:t>
      </w:r>
    </w:p>
    <w:p>
      <w:pPr>
        <w:pStyle w:val="ListParagraph"/>
        <w:numPr>
          <w:ilvl w:val="0"/>
          <w:numId w:val="2"/>
        </w:numPr>
        <w:spacing w:after="100" w:line="290"/>
      </w:pPr>
      <w:r>
        <w:rPr>
          <w:rFonts w:ascii="Archivo" w:cs="Archivo" w:eastAsia="Archivo" w:hAnsi="Archivo"/>
          <w:sz w:val="21"/>
          <w:szCs w:val="21"/>
        </w:rPr>
        <w:t xml:space="preserve">1. ¿Qué precepto invoca la aseguradora (art. 19, 48, 52, 10 u 11-12 LCS) y qué umbral exige?</w:t>
      </w:r>
    </w:p>
    <w:p>
      <w:pPr>
        <w:pStyle w:val="ListParagraph"/>
        <w:numPr>
          <w:ilvl w:val="0"/>
          <w:numId w:val="2"/>
        </w:numPr>
        <w:spacing w:after="100" w:line="290"/>
      </w:pPr>
      <w:r>
        <w:rPr>
          <w:rFonts w:ascii="Archivo" w:cs="Archivo" w:eastAsia="Archivo" w:hAnsi="Archivo"/>
          <w:sz w:val="21"/>
          <w:szCs w:val="21"/>
        </w:rPr>
        <w:t xml:space="preserve">2. ¿Qué prueba concreta aporta la aseguradora de la conducta reprochable?</w:t>
      </w:r>
    </w:p>
    <w:p>
      <w:pPr>
        <w:pStyle w:val="ListParagraph"/>
        <w:numPr>
          <w:ilvl w:val="0"/>
          <w:numId w:val="2"/>
        </w:numPr>
        <w:spacing w:after="100" w:line="290"/>
      </w:pPr>
      <w:r>
        <w:rPr>
          <w:rFonts w:ascii="Archivo" w:cs="Archivo" w:eastAsia="Archivo" w:hAnsi="Archivo"/>
          <w:sz w:val="21"/>
          <w:szCs w:val="21"/>
        </w:rPr>
        <w:t xml:space="preserve">3. ¿Prueba también el nexo causal específico entre esa conducta y el siniestro finalmente producido?</w:t>
      </w:r>
    </w:p>
    <w:p>
      <w:pPr>
        <w:pStyle w:val="ListParagraph"/>
        <w:numPr>
          <w:ilvl w:val="0"/>
          <w:numId w:val="2"/>
        </w:numPr>
        <w:spacing w:after="100" w:line="290"/>
      </w:pPr>
      <w:r>
        <w:rPr>
          <w:rFonts w:ascii="Archivo" w:cs="Archivo" w:eastAsia="Archivo" w:hAnsi="Archivo"/>
          <w:sz w:val="21"/>
          <w:szCs w:val="21"/>
        </w:rPr>
        <w:t xml:space="preserve">4. ¿Existe un acto inicial voluntario distinto del resultado dañoso final?</w:t>
      </w:r>
    </w:p>
    <w:p>
      <w:pPr>
        <w:pStyle w:val="ListParagraph"/>
        <w:numPr>
          <w:ilvl w:val="0"/>
          <w:numId w:val="2"/>
        </w:numPr>
        <w:spacing w:after="100" w:line="290"/>
      </w:pPr>
      <w:r>
        <w:rPr>
          <w:rFonts w:ascii="Archivo" w:cs="Archivo" w:eastAsia="Archivo" w:hAnsi="Archivo"/>
          <w:sz w:val="21"/>
          <w:szCs w:val="21"/>
        </w:rPr>
        <w:t xml:space="preserve">5. ¿Se trata de una cobertura de daños propios o de responsabilidad civil frente a terceros (con la consiguiente inoponibilidad del art. 76 LCS)?</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spacing w:after="180" w:line="300"/>
        <w:jc w:val="both"/>
      </w:pPr>
      <w:r>
        <w:rPr>
          <w:rFonts w:ascii="Archivo" w:cs="Archivo" w:eastAsia="Archivo" w:hAnsi="Archivo"/>
          <w:sz w:val="21"/>
          <w:szCs w:val="21"/>
        </w:rPr>
        <w:t xml:space="preserve">TIRADO SUÁREZ, F. J., en URÍA, R.; MENÉNDEZ, A.; OLIVENCIA, M. (dirs.), Comentarios al Código de Comercio y legislación mercantil especial, tomo XXIV, vol. 1.º, Edersa/Civitas, Madrid.</w:t>
      </w:r>
    </w:p>
    <w:p>
      <w:pPr>
        <w:pStyle w:val="Heading1"/>
        <w:pageBreakBefore/>
        <w:spacing w:after="300" w:before="200"/>
      </w:pPr>
      <w:r>
        <w:rPr>
          <w:rFonts w:ascii="Archivo" w:cs="Archivo" w:eastAsia="Archivo" w:hAnsi="Archivo"/>
          <w:b/>
          <w:bCs/>
          <w:color w:val="1B6DF0"/>
          <w:sz w:val="22"/>
          <w:szCs w:val="22"/>
        </w:rPr>
        <w:t xml:space="preserve">Capítulo 22. </w:t>
      </w:r>
      <w:r>
        <w:rPr>
          <w:rFonts w:ascii="Fraunces" w:cs="Fraunces" w:eastAsia="Fraunces" w:hAnsi="Fraunces"/>
          <w:b/>
          <w:bCs/>
          <w:color w:val="0A2540"/>
          <w:sz w:val="30"/>
          <w:szCs w:val="30"/>
        </w:rPr>
        <w:t xml:space="preserve">Prescripción de acciones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18.1. El plazo de dos años del art. 23 LCS</w:t>
            </w:r>
          </w:p>
          <w:p>
            <w:pPr>
              <w:spacing w:after="40" w:line="260"/>
            </w:pPr>
            <w:r>
              <w:rPr>
                <w:rFonts w:ascii="Archivo" w:cs="Archivo" w:eastAsia="Archivo" w:hAnsi="Archivo"/>
                <w:sz w:val="18"/>
                <w:szCs w:val="18"/>
              </w:rPr>
              <w:t xml:space="preserve">18.2. La interrupción de la prescripción (art. 1973 CC)</w:t>
            </w:r>
          </w:p>
          <w:p>
            <w:pPr>
              <w:spacing w:after="40" w:line="260"/>
            </w:pPr>
            <w:r>
              <w:rPr>
                <w:rFonts w:ascii="Archivo" w:cs="Archivo" w:eastAsia="Archivo" w:hAnsi="Archivo"/>
                <w:sz w:val="18"/>
                <w:szCs w:val="18"/>
              </w:rPr>
              <w:t xml:space="preserve">18.3. El dies a quo: la regla de la actio nata</w:t>
            </w:r>
          </w:p>
          <w:p>
            <w:pPr>
              <w:spacing w:after="40" w:line="260"/>
            </w:pPr>
            <w:r>
              <w:rPr>
                <w:rFonts w:ascii="Archivo" w:cs="Archivo" w:eastAsia="Archivo" w:hAnsi="Archivo"/>
                <w:sz w:val="18"/>
                <w:szCs w:val="18"/>
              </w:rPr>
              <w:t xml:space="preserve">18.4. Incidencia de un proceso penal previo sobre el cómputo</w:t>
            </w:r>
          </w:p>
          <w:p>
            <w:pPr>
              <w:spacing w:after="40" w:line="260"/>
            </w:pPr>
            <w:r>
              <w:rPr>
                <w:rFonts w:ascii="Archivo" w:cs="Archivo" w:eastAsia="Archivo" w:hAnsi="Archivo"/>
                <w:sz w:val="18"/>
                <w:szCs w:val="18"/>
              </w:rPr>
              <w:t xml:space="preserve">18.5. Prescripción de la acción de subrogación (art. 43 LCS)</w:t>
            </w:r>
          </w:p>
          <w:p>
            <w:pPr>
              <w:spacing w:after="40" w:line="260"/>
            </w:pPr>
            <w:r>
              <w:rPr>
                <w:rFonts w:ascii="Archivo" w:cs="Archivo" w:eastAsia="Archivo" w:hAnsi="Archivo"/>
                <w:sz w:val="18"/>
                <w:szCs w:val="18"/>
              </w:rPr>
              <w:t xml:space="preserve">18.6. Ficha para el profesional</w:t>
            </w:r>
          </w:p>
          <w:p>
            <w:pPr>
              <w:spacing w:after="40" w:line="260"/>
            </w:pPr>
            <w:r>
              <w:rPr>
                <w:rFonts w:ascii="Archivo" w:cs="Archivo" w:eastAsia="Archivo" w:hAnsi="Archivo"/>
                <w:sz w:val="18"/>
                <w:szCs w:val="18"/>
              </w:rPr>
              <w:t xml:space="preserve">18.7. Ficha para el asegurado</w:t>
            </w:r>
          </w:p>
          <w:p>
            <w:pPr>
              <w:spacing w:after="40" w:line="260"/>
            </w:pPr>
            <w:r>
              <w:rPr>
                <w:rFonts w:ascii="Archivo" w:cs="Archivo" w:eastAsia="Archivo" w:hAnsi="Archivo"/>
                <w:sz w:val="18"/>
                <w:szCs w:val="18"/>
              </w:rPr>
              <w:t xml:space="preserve">18.8. Checklist: cómputo del plazo de prescripción</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cierra la Parte III con el estudio de la prescripción de las acciones derivadas del contrato de seguro de hogar, fijada en dos años por el art. 23 LCS por tratarse de un seguro de daños, con atención especial a la regla de la actio nata como criterio de determinación del dies a quo y a la incidencia, frecuente en la práctica cuando el siniestro tiene origen delictivo, de un proceso penal previo sobre el cómputo del plazo civil, cuestión resuelta con precisión por una reciente sentencia de la Sala Primera recaída precisamente sobre un seguro multirriesgo de hogar.</w:t>
            </w:r>
          </w:p>
          <w:p>
            <w:pPr>
              <w:spacing w:after="160"/>
            </w:pPr>
            <w:r>
              <w:rPr>
                <w:rFonts w:ascii="Archivo" w:cs="Archivo" w:eastAsia="Archivo" w:hAnsi="Archivo"/>
                <w:b/>
                <w:bCs/>
                <w:sz w:val="17"/>
                <w:szCs w:val="17"/>
              </w:rPr>
              <w:t xml:space="preserve">Palabras clave: prescripción, art. 23 LCS, actio nata, interrupción, proceso penal previo.</w:t>
            </w:r>
          </w:p>
          <w:p>
            <w:pPr>
              <w:spacing w:after="100"/>
              <w:jc w:val="both"/>
            </w:pPr>
            <w:r>
              <w:rPr>
                <w:rFonts w:ascii="Archivo" w:cs="Archivo" w:eastAsia="Archivo" w:hAnsi="Archivo"/>
                <w:i/>
                <w:iCs/>
                <w:sz w:val="18"/>
                <w:szCs w:val="18"/>
              </w:rPr>
              <w:t xml:space="preserve">This chapter closes Part III with an examination of the limitation period for actions arising from homeowners' insurance contracts, set at two years under Article 23 of the Insurance Contract Act as a property/damage insurance line, focusing on the actio nata rule for determining the starting point and on the frequent practical question — when the loss has a criminal origin — of how prior criminal proceedings affect the running of the civil limitation period, recently clarified by the Supreme Court in a case concerning precisely a homeowners' multi-risk policy.</w:t>
            </w:r>
          </w:p>
          <w:p>
            <w:pPr>
              <w:spacing w:after="0"/>
            </w:pPr>
            <w:r>
              <w:rPr>
                <w:rFonts w:ascii="Archivo" w:cs="Archivo" w:eastAsia="Archivo" w:hAnsi="Archivo"/>
                <w:b/>
                <w:bCs/>
                <w:sz w:val="17"/>
                <w:szCs w:val="17"/>
              </w:rPr>
              <w:t xml:space="preserve">Keywords: limitation period, actio nata, interruption, prior criminal proceedings.</w:t>
            </w:r>
          </w:p>
        </w:tc>
      </w:tr>
    </w:tbl>
    <w:p>
      <w:pPr>
        <w:spacing w:after="200"/>
      </w:pPr>
    </w:p>
    <w:p>
      <w:pPr>
        <w:pStyle w:val="Heading2"/>
        <w:spacing w:after="160" w:before="400"/>
      </w:pPr>
      <w:r>
        <w:rPr>
          <w:rFonts w:ascii="Fraunces" w:cs="Fraunces" w:eastAsia="Fraunces" w:hAnsi="Fraunces"/>
          <w:b/>
          <w:bCs/>
          <w:color w:val="0A2540"/>
          <w:sz w:val="24"/>
          <w:szCs w:val="24"/>
        </w:rPr>
        <w:t xml:space="preserve">18.1. El plazo de dos años del art. 23 LCS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23 LCS</w:t>
            </w:r>
          </w:p>
          <w:p>
            <w:pPr>
              <w:spacing w:after="0" w:line="280"/>
              <w:jc w:val="both"/>
            </w:pPr>
            <w:r>
              <w:rPr>
                <w:rFonts w:ascii="IBM Plex Mono" w:cs="IBM Plex Mono" w:eastAsia="IBM Plex Mono" w:hAnsi="IBM Plex Mono"/>
                <w:i/>
                <w:iCs/>
                <w:color w:val="0A2540"/>
                <w:sz w:val="18"/>
                <w:szCs w:val="18"/>
              </w:rPr>
              <w:t xml:space="preserve">Las acciones que se deriven del contrato de seguro prescribirán en el término de dos años si se trata de seguro de daños y de cinco si el seguro es de personas.</w:t>
            </w:r>
          </w:p>
        </w:tc>
      </w:tr>
    </w:tbl>
    <w:p>
      <w:pPr>
        <w:spacing w:after="180" w:line="300"/>
        <w:jc w:val="both"/>
      </w:pPr>
      <w:r>
        <w:rPr>
          <w:rFonts w:ascii="Archivo" w:cs="Archivo" w:eastAsia="Archivo" w:hAnsi="Archivo"/>
          <w:sz w:val="21"/>
          <w:szCs w:val="21"/>
        </w:rPr>
        <w:t xml:space="preserve">El seguro de hogar, en su vertiente de daños propios (continente y contenido) y en su vertiente de responsabilidad civil, queda sometido al plazo breve de dos años, sensiblemente inferior al plazo general de cinco años de las acciones personales sin plazo especial del art. 1964 CC</w:t>
      </w:r>
      <w:r>
        <w:rPr>
          <w:rStyle w:val="FootnoteReference"/>
        </w:rPr>
        <w:footnoteReference w:id="41"/>
      </w:r>
      <w:r>
        <w:rPr>
          <w:rFonts w:ascii="Archivo" w:cs="Archivo" w:eastAsia="Archivo" w:hAnsi="Archivo"/>
          <w:sz w:val="21"/>
          <w:szCs w:val="21"/>
        </w:rPr>
        <w:t xml:space="preserve">. Este plazo se aplica tanto a la acción del asegurado frente a su propia aseguradora (reclamación de la indemnización) como, en principio, a la acción directa del tercero perjudicado frente a la aseguradora de responsabilidad civil, sin perjuicio de las especialidades de cómputo que se exponen en los epígrafes siguientes.</w:t>
      </w:r>
    </w:p>
    <w:p>
      <w:pPr>
        <w:pStyle w:val="Heading2"/>
        <w:spacing w:after="160" w:before="400"/>
      </w:pPr>
      <w:r>
        <w:rPr>
          <w:rFonts w:ascii="Fraunces" w:cs="Fraunces" w:eastAsia="Fraunces" w:hAnsi="Fraunces"/>
          <w:b/>
          <w:bCs/>
          <w:color w:val="0A2540"/>
          <w:sz w:val="24"/>
          <w:szCs w:val="24"/>
        </w:rPr>
        <w:t xml:space="preserve">18.2. La interrupción de la prescripción</w:t>
      </w:r>
    </w:p>
    <w:p>
      <w:pPr>
        <w:spacing w:after="180" w:line="300"/>
        <w:jc w:val="both"/>
      </w:pPr>
      <w:r>
        <w:rPr>
          <w:rFonts w:ascii="Archivo" w:cs="Archivo" w:eastAsia="Archivo" w:hAnsi="Archivo"/>
          <w:sz w:val="21"/>
          <w:szCs w:val="21"/>
        </w:rPr>
        <w:t xml:space="preserve">La LCS no contiene un régimen propio de interrupción de la prescripción, por lo que resulta de aplicación el régimen general del Código Civil, ya estudiado en el capítulo del Anexo IV a propósito del burofax de reclamación previa: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1973 CC</w:t>
            </w:r>
          </w:p>
          <w:p>
            <w:pPr>
              <w:spacing w:after="0" w:line="280"/>
              <w:jc w:val="both"/>
            </w:pPr>
            <w:r>
              <w:rPr>
                <w:rFonts w:ascii="IBM Plex Mono" w:cs="IBM Plex Mono" w:eastAsia="IBM Plex Mono" w:hAnsi="IBM Plex Mono"/>
                <w:i/>
                <w:iCs/>
                <w:color w:val="0A2540"/>
                <w:sz w:val="18"/>
                <w:szCs w:val="18"/>
              </w:rPr>
              <w:t xml:space="preserve">La prescripción de las acciones se interrumpe por su ejercicio ante los Tribunales, por reclamación extrajudicial del acreedor y por cualquier acto de reconocimiento de la deuda por el deudor.</w:t>
            </w:r>
          </w:p>
        </w:tc>
      </w:tr>
    </w:tbl>
    <w:p>
      <w:pPr>
        <w:spacing w:after="180" w:line="300"/>
        <w:jc w:val="both"/>
      </w:pPr>
      <w:r>
        <w:rPr>
          <w:rFonts w:ascii="Archivo" w:cs="Archivo" w:eastAsia="Archivo" w:hAnsi="Archivo"/>
          <w:sz w:val="21"/>
          <w:szCs w:val="21"/>
        </w:rPr>
        <w:t xml:space="preserve">La reclamación extrajudicial —el burofax de reclamación previa a la aseguradora, estudiado en el epígrafe correspondiente de los anexos de esta obra— interrumpe eficazmente el plazo de dos años del art. 23 LCS, comenzando este a computarse de nuevo íntegramente desde la fecha de dicha reclamación, práctica que todo profesional debe activar sistemáticamente ante cualquier expediente que se aproxime al plazo de prescripción sin resolución definitiva.</w:t>
      </w:r>
    </w:p>
    <w:p>
      <w:pPr>
        <w:pStyle w:val="Heading2"/>
        <w:spacing w:after="160" w:before="400"/>
      </w:pPr>
      <w:r>
        <w:rPr>
          <w:rFonts w:ascii="Fraunces" w:cs="Fraunces" w:eastAsia="Fraunces" w:hAnsi="Fraunces"/>
          <w:b/>
          <w:bCs/>
          <w:color w:val="0A2540"/>
          <w:sz w:val="24"/>
          <w:szCs w:val="24"/>
        </w:rPr>
        <w:t xml:space="preserve">18.3. El dies a quo: la regla de la actio nata</w:t>
      </w:r>
    </w:p>
    <w:p>
      <w:pPr>
        <w:spacing w:after="180" w:line="300"/>
        <w:jc w:val="both"/>
      </w:pPr>
      <w:r>
        <w:rPr>
          <w:rFonts w:ascii="Archivo" w:cs="Archivo" w:eastAsia="Archivo" w:hAnsi="Archivo"/>
          <w:sz w:val="21"/>
          <w:szCs w:val="21"/>
        </w:rPr>
        <w:t xml:space="preserve">El cómputo del plazo de prescripción se rige por la regla general del art. 1969 CC, que la jurisprudencia interpreta conforme al principio actio nondum nata non praescribitur (la acción que todavía no ha nacido no puede prescribir): el plazo no comienza a correr desde la mera producción del siniestro, sino desde que el titular de la acción dispone de los elementos fácticos y jurídicos necesarios para ejercitarla con posibilidades razonables de éxito, lo que en la práctica del seguro de hogar suele identificarse con el momento en que se conoce, con suficiente certeza, tanto la existencia del daño como su alcance definitivo y la identidad del obligado a indemnizar.</w:t>
      </w:r>
    </w:p>
    <w:p>
      <w:pPr>
        <w:pStyle w:val="Heading2"/>
        <w:spacing w:after="160" w:before="400"/>
      </w:pPr>
      <w:r>
        <w:rPr>
          <w:rFonts w:ascii="Fraunces" w:cs="Fraunces" w:eastAsia="Fraunces" w:hAnsi="Fraunces"/>
          <w:b/>
          <w:bCs/>
          <w:color w:val="0A2540"/>
          <w:sz w:val="24"/>
          <w:szCs w:val="24"/>
        </w:rPr>
        <w:t xml:space="preserve">18.4. Incidencia de un proceso penal previo sobre el cómputo</w:t>
      </w:r>
    </w:p>
    <w:p>
      <w:pPr>
        <w:spacing w:after="180" w:line="300"/>
        <w:jc w:val="both"/>
      </w:pPr>
      <w:r>
        <w:rPr>
          <w:rFonts w:ascii="Archivo" w:cs="Archivo" w:eastAsia="Archivo" w:hAnsi="Archivo"/>
          <w:sz w:val="21"/>
          <w:szCs w:val="21"/>
        </w:rPr>
        <w:t xml:space="preserve">Una cuestión de gran relevancia práctica en el ramo de hogar —dada la frecuencia con que un incendio, un robo o unos daños dolosos tienen origen en hechos con relevancia penal— es la de si la tramitación de un proceso penal previo suspende o retrasa el cómputo del plazo de prescripción de la acción derivada del propio contrato de seguro. La Sala Primera ha resuelto esta cuestión con notable precisión en un supuesto de seguro multirriesgo de hogar</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15 de febrero de 2022 (ROJ: STS 517/2022; ECLI:ES:TS:2022:517; MP: Seoane Spiegelberg)</w:t>
            </w:r>
          </w:p>
          <w:p>
            <w:pPr>
              <w:spacing w:after="0" w:line="280"/>
              <w:jc w:val="both"/>
            </w:pPr>
            <w:r>
              <w:rPr>
                <w:rFonts w:ascii="Archivo" w:cs="Archivo" w:eastAsia="Archivo" w:hAnsi="Archivo"/>
                <w:color w:val="0A2540"/>
                <w:sz w:val="19"/>
                <w:szCs w:val="19"/>
              </w:rPr>
              <w:t xml:space="preserve">«El hecho del proceso penal es el acto ilícito tanto penal [...] como civil, dado que produce un daño del que nace la obligación de indemnizar y el correlativo derecho del perjudicado a ser resarcido (art. 1089 CC). La acción civil de ese proceso es una acción reparatoria que no deriva de una relación contractual. Y su plazo de prescripción no es el del art. 23 LCS. [...] El hecho del proceso civil es el contrato de seguro del que deriva la obligación de la aseguradora de indemnizar, así como el correlativo derecho de la asegurada a ser indemnizada por los daños producidos por incendio en el objeto asegurado (arts. 1 y 45 LCS). La acción ejercitada es una acción de cumplimiento contractual. Y su plazo de prescripción es el del art. 23 LCS.»</w:t>
            </w:r>
          </w:p>
        </w:tc>
      </w:tr>
    </w:tbl>
    <w:p>
      <w:pPr>
        <w:spacing w:after="180" w:line="300"/>
        <w:jc w:val="both"/>
      </w:pPr>
      <w:r>
        <w:rPr>
          <w:rFonts w:ascii="Archivo" w:cs="Archivo" w:eastAsia="Archivo" w:hAnsi="Archivo"/>
          <w:sz w:val="21"/>
          <w:szCs w:val="21"/>
        </w:rPr>
        <w:t xml:space="preserve">La sentencia distingue así, con toda nitidez, dos acciones de naturaleza y régimen distintos que pueden coexistir tras un mismo hecho delictivo: la acción de responsabilidad civil extracontractual contra el autor del delito —cuyo plazo de prescripción sí puede quedar afectado por la pendencia del proceso penal, conforme a la doctrina general sobre preferencia de la jurisdicción penal (arts. 111 y 114 LECrim)— y la acción de cumplimiento contractual del asegurado frente a su propia aseguradora, derivada del contrato de seguro y sometida al plazo autónomo del art. 23 LCS, cuyo cómputo no queda suspendido por la mera existencia de un proceso penal seguido contra un tercero por los mismos hechos, salvo que la propia acción ejercitada en el proceso civil coincida sustancialmente con la que pudo o debió ventilarse en el penal.</w:t>
      </w:r>
    </w:p>
    <w:p>
      <w:pPr>
        <w:spacing w:after="180" w:line="300"/>
        <w:jc w:val="both"/>
      </w:pPr>
      <w:r>
        <w:rPr>
          <w:rFonts w:ascii="Archivo" w:cs="Archivo" w:eastAsia="Archivo" w:hAnsi="Archivo"/>
          <w:sz w:val="21"/>
          <w:szCs w:val="21"/>
        </w:rPr>
        <w:t xml:space="preserve">La consecuencia práctica es de gran relevancia: el asegurado que sufre un incendio o un robo con origen delictivo no puede esperar tranquilamente a la resolución del proceso penal contra el autor de los hechos para reclamar a su propia aseguradora, pues el plazo de dos años del art. 23 LCS corre de forma autónoma desde que dispuso de los elementos fácticos y jurídicos para reclamar contractualmente a su aseguradora, con independencia del estado del proceso penal paralelo.</w:t>
      </w:r>
    </w:p>
    <w:p>
      <w:pPr>
        <w:pStyle w:val="Heading2"/>
        <w:spacing w:after="160" w:before="400"/>
      </w:pPr>
      <w:r>
        <w:rPr>
          <w:rFonts w:ascii="Fraunces" w:cs="Fraunces" w:eastAsia="Fraunces" w:hAnsi="Fraunces"/>
          <w:b/>
          <w:bCs/>
          <w:color w:val="0A2540"/>
          <w:sz w:val="24"/>
          <w:szCs w:val="24"/>
        </w:rPr>
        <w:t xml:space="preserve">18.5. Prescripción de la acción de subrogación</w:t>
      </w:r>
    </w:p>
    <w:p>
      <w:pPr>
        <w:spacing w:after="180" w:line="300"/>
        <w:jc w:val="both"/>
      </w:pPr>
      <w:r>
        <w:rPr>
          <w:rFonts w:ascii="Archivo" w:cs="Archivo" w:eastAsia="Archivo" w:hAnsi="Archivo"/>
          <w:sz w:val="21"/>
          <w:szCs w:val="21"/>
        </w:rPr>
        <w:t xml:space="preserve">Distinta de la prescripción de la acción del asegurado frente a su aseguradora es la prescripción de la acción de subrogación que, conforme al art. 43 LCS ya mencionado en el capítulo 8, corresponde a la propia aseguradora frente al tercero responsable del daño una vez satisfecha la indemnización a su asegurado. Esta acción, de naturaleza derivada pero autónoma en su cómputo, sigue reglas de dies a quo propias vinculadas al momento del pago efectivo de la indemnización por la aseguradora, cuestión de creciente relevancia práctica en los supuestos de siniestros de agua con origen en elementos comunes o en viviendas vecinas estudiados en el capítulo 8.</w:t>
      </w:r>
    </w:p>
    <w:p>
      <w:pPr>
        <w:pStyle w:val="Heading2"/>
        <w:spacing w:after="160" w:before="400"/>
      </w:pPr>
      <w:r>
        <w:rPr>
          <w:rFonts w:ascii="Fraunces" w:cs="Fraunces" w:eastAsia="Fraunces" w:hAnsi="Fraunces"/>
          <w:b/>
          <w:bCs/>
          <w:color w:val="0A2540"/>
          <w:sz w:val="24"/>
          <w:szCs w:val="24"/>
        </w:rPr>
        <w:t xml:space="preserve">18.6.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sobre la prescripción de la acción del seguro de hogar</w:t>
            </w:r>
          </w:p>
          <w:p>
            <w:pPr>
              <w:pStyle w:val="ListParagraph"/>
              <w:numPr>
                <w:ilvl w:val="0"/>
                <w:numId w:val="2"/>
              </w:numPr>
              <w:spacing w:after="80" w:line="280"/>
            </w:pPr>
            <w:r>
              <w:rPr>
                <w:rFonts w:ascii="Archivo" w:cs="Archivo" w:eastAsia="Archivo" w:hAnsi="Archivo"/>
                <w:sz w:val="19"/>
                <w:szCs w:val="19"/>
              </w:rPr>
              <w:t xml:space="preserve">No esperar a la resolución de un eventual proceso penal paralelo para reclamar a la aseguradora: el plazo del art. 23 LCS corre de forma autónoma (STS 517/2022, ROJ: STS 517/2022).</w:t>
            </w:r>
          </w:p>
          <w:p>
            <w:pPr>
              <w:pStyle w:val="ListParagraph"/>
              <w:numPr>
                <w:ilvl w:val="0"/>
                <w:numId w:val="2"/>
              </w:numPr>
              <w:spacing w:after="80" w:line="280"/>
            </w:pPr>
            <w:r>
              <w:rPr>
                <w:rFonts w:ascii="Archivo" w:cs="Archivo" w:eastAsia="Archivo" w:hAnsi="Archivo"/>
                <w:sz w:val="19"/>
                <w:szCs w:val="19"/>
              </w:rPr>
              <w:t xml:space="preserve">Activar sistemáticamente la interrupción mediante reclamación extrajudicial fehaciente (burofax) antes de que se aproxime el cumplimiento del plazo de dos años.</w:t>
            </w:r>
          </w:p>
          <w:p>
            <w:pPr>
              <w:pStyle w:val="ListParagraph"/>
              <w:numPr>
                <w:ilvl w:val="0"/>
                <w:numId w:val="2"/>
              </w:numPr>
              <w:spacing w:after="80" w:line="280"/>
            </w:pPr>
            <w:r>
              <w:rPr>
                <w:rFonts w:ascii="Archivo" w:cs="Archivo" w:eastAsia="Archivo" w:hAnsi="Archivo"/>
                <w:sz w:val="19"/>
                <w:szCs w:val="19"/>
              </w:rPr>
              <w:t xml:space="preserve">Determinar con precisión el dies a quo conforme a la regla de la actio nata: no siempre coincide con la fecha material del siniestro.</w:t>
            </w:r>
          </w:p>
          <w:p>
            <w:pPr>
              <w:pStyle w:val="ListParagraph"/>
              <w:numPr>
                <w:ilvl w:val="0"/>
                <w:numId w:val="2"/>
              </w:numPr>
              <w:spacing w:after="80" w:line="280"/>
            </w:pPr>
            <w:r>
              <w:rPr>
                <w:rFonts w:ascii="Archivo" w:cs="Archivo" w:eastAsia="Archivo" w:hAnsi="Archivo"/>
                <w:sz w:val="19"/>
                <w:szCs w:val="19"/>
              </w:rPr>
              <w:t xml:space="preserve">Distinguir la prescripción de la acción del asegurado frente a su aseguradora de la prescripción de la acción de subrogación de la aseguradora frente a terceros responsables.</w:t>
            </w:r>
          </w:p>
        </w:tc>
      </w:tr>
    </w:tbl>
    <w:p>
      <w:pPr>
        <w:pStyle w:val="Heading2"/>
        <w:spacing w:after="160" w:before="400"/>
      </w:pPr>
      <w:r>
        <w:rPr>
          <w:rFonts w:ascii="Fraunces" w:cs="Fraunces" w:eastAsia="Fraunces" w:hAnsi="Fraunces"/>
          <w:b/>
          <w:bCs/>
          <w:color w:val="0A2540"/>
          <w:sz w:val="24"/>
          <w:szCs w:val="24"/>
        </w:rPr>
        <w:t xml:space="preserve">18.7.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sobre el plazo para reclamar a su aseguradora</w:t>
            </w:r>
          </w:p>
          <w:p>
            <w:pPr>
              <w:pStyle w:val="ListParagraph"/>
              <w:numPr>
                <w:ilvl w:val="0"/>
                <w:numId w:val="2"/>
              </w:numPr>
              <w:spacing w:after="80" w:line="280"/>
            </w:pPr>
            <w:r>
              <w:rPr>
                <w:rFonts w:ascii="Archivo" w:cs="Archivo" w:eastAsia="Archivo" w:hAnsi="Archivo"/>
                <w:sz w:val="19"/>
                <w:szCs w:val="19"/>
              </w:rPr>
              <w:t xml:space="preserve">Tiene dos años desde que puede conocer razonablemente el alcance del daño y la negativa o insuficiencia de la respuesta de su aseguradora para reclamar judicialmente.</w:t>
            </w:r>
          </w:p>
          <w:p>
            <w:pPr>
              <w:pStyle w:val="ListParagraph"/>
              <w:numPr>
                <w:ilvl w:val="0"/>
                <w:numId w:val="2"/>
              </w:numPr>
              <w:spacing w:after="80" w:line="280"/>
            </w:pPr>
            <w:r>
              <w:rPr>
                <w:rFonts w:ascii="Archivo" w:cs="Archivo" w:eastAsia="Archivo" w:hAnsi="Archivo"/>
                <w:sz w:val="19"/>
                <w:szCs w:val="19"/>
              </w:rPr>
              <w:t xml:space="preserve">Si hay una denuncia o proceso penal por los mismos hechos, no espere a que termine para reclamar a su aseguradora: son plazos independientes.</w:t>
            </w:r>
          </w:p>
          <w:p>
            <w:pPr>
              <w:pStyle w:val="ListParagraph"/>
              <w:numPr>
                <w:ilvl w:val="0"/>
                <w:numId w:val="2"/>
              </w:numPr>
              <w:spacing w:after="80" w:line="280"/>
            </w:pPr>
            <w:r>
              <w:rPr>
                <w:rFonts w:ascii="Archivo" w:cs="Archivo" w:eastAsia="Archivo" w:hAnsi="Archivo"/>
                <w:sz w:val="19"/>
                <w:szCs w:val="19"/>
              </w:rPr>
              <w:t xml:space="preserve">Si el plazo se aproxima y su reclamación sigue sin resolverse, envíe un burofax de reclamación a la aseguradora: interrumpe el plazo y le da dos años más desde esa fecha.</w:t>
            </w:r>
          </w:p>
        </w:tc>
      </w:tr>
    </w:tbl>
    <w:p>
      <w:pPr>
        <w:pStyle w:val="Heading2"/>
        <w:spacing w:after="160" w:before="400"/>
      </w:pPr>
      <w:r>
        <w:rPr>
          <w:rFonts w:ascii="Fraunces" w:cs="Fraunces" w:eastAsia="Fraunces" w:hAnsi="Fraunces"/>
          <w:b/>
          <w:bCs/>
          <w:color w:val="0A2540"/>
          <w:sz w:val="24"/>
          <w:szCs w:val="24"/>
        </w:rPr>
        <w:t xml:space="preserve">18.8. Checklist: cómputo del plazo de prescripción</w:t>
      </w:r>
    </w:p>
    <w:p>
      <w:pPr>
        <w:pStyle w:val="ListParagraph"/>
        <w:numPr>
          <w:ilvl w:val="0"/>
          <w:numId w:val="2"/>
        </w:numPr>
        <w:spacing w:after="100" w:line="290"/>
      </w:pPr>
      <w:r>
        <w:rPr>
          <w:rFonts w:ascii="Archivo" w:cs="Archivo" w:eastAsia="Archivo" w:hAnsi="Archivo"/>
          <w:sz w:val="21"/>
          <w:szCs w:val="21"/>
        </w:rPr>
        <w:t xml:space="preserve">1. ¿Cuándo se produjo el siniestro y cuándo se conoció con certeza su alcance definitivo?</w:t>
      </w:r>
    </w:p>
    <w:p>
      <w:pPr>
        <w:pStyle w:val="ListParagraph"/>
        <w:numPr>
          <w:ilvl w:val="0"/>
          <w:numId w:val="2"/>
        </w:numPr>
        <w:spacing w:after="100" w:line="290"/>
      </w:pPr>
      <w:r>
        <w:rPr>
          <w:rFonts w:ascii="Archivo" w:cs="Archivo" w:eastAsia="Archivo" w:hAnsi="Archivo"/>
          <w:sz w:val="21"/>
          <w:szCs w:val="21"/>
        </w:rPr>
        <w:t xml:space="preserve">2. ¿Existe algún acto interruptivo (reclamación extrajudicial, judicial, reconocimiento de deuda)?</w:t>
      </w:r>
    </w:p>
    <w:p>
      <w:pPr>
        <w:pStyle w:val="ListParagraph"/>
        <w:numPr>
          <w:ilvl w:val="0"/>
          <w:numId w:val="2"/>
        </w:numPr>
        <w:spacing w:after="100" w:line="290"/>
      </w:pPr>
      <w:r>
        <w:rPr>
          <w:rFonts w:ascii="Archivo" w:cs="Archivo" w:eastAsia="Archivo" w:hAnsi="Archivo"/>
          <w:sz w:val="21"/>
          <w:szCs w:val="21"/>
        </w:rPr>
        <w:t xml:space="preserve">3. ¿Existe un proceso penal paralelo? En su caso, ¿coincide su objeto con la acción contractual frente a la aseguradora?</w:t>
      </w:r>
    </w:p>
    <w:p>
      <w:pPr>
        <w:pStyle w:val="ListParagraph"/>
        <w:numPr>
          <w:ilvl w:val="0"/>
          <w:numId w:val="2"/>
        </w:numPr>
        <w:spacing w:after="100" w:line="290"/>
      </w:pPr>
      <w:r>
        <w:rPr>
          <w:rFonts w:ascii="Archivo" w:cs="Archivo" w:eastAsia="Archivo" w:hAnsi="Archivo"/>
          <w:sz w:val="21"/>
          <w:szCs w:val="21"/>
        </w:rPr>
        <w:t xml:space="preserve">4. ¿Cuánto tiempo resta hasta el cumplimiento del plazo de dos años?</w:t>
      </w:r>
    </w:p>
    <w:p>
      <w:pPr>
        <w:pStyle w:val="ListParagraph"/>
        <w:numPr>
          <w:ilvl w:val="0"/>
          <w:numId w:val="2"/>
        </w:numPr>
        <w:spacing w:after="100" w:line="290"/>
      </w:pPr>
      <w:r>
        <w:rPr>
          <w:rFonts w:ascii="Archivo" w:cs="Archivo" w:eastAsia="Archivo" w:hAnsi="Archivo"/>
          <w:sz w:val="21"/>
          <w:szCs w:val="21"/>
        </w:rPr>
        <w:t xml:space="preserve">5. ¿Es necesario, además, valorar la prescripción de una eventual acción de subrogación de la aseguradora frente a un tercero?</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ageBreakBefore/>
        <w:spacing w:after="200" w:before="2000"/>
      </w:pPr>
      <w:r>
        <w:rPr>
          <w:rFonts w:ascii="Archivo" w:cs="Archivo" w:eastAsia="Archivo" w:hAnsi="Archivo"/>
          <w:b/>
          <w:bCs/>
          <w:color w:val="1B6DF0"/>
          <w:sz w:val="28"/>
          <w:szCs w:val="28"/>
        </w:rPr>
        <w:t xml:space="preserve">PARTE IV</w:t>
      </w:r>
    </w:p>
    <w:p>
      <w:pPr>
        <w:pBdr>
          <w:bottom w:val="single" w:color="CBD5E1" w:sz="6" w:space="12"/>
        </w:pBdr>
        <w:spacing w:after="600"/>
      </w:pPr>
      <w:r>
        <w:rPr>
          <w:rFonts w:ascii="Fraunces" w:cs="Fraunces" w:eastAsia="Fraunces" w:hAnsi="Fraunces"/>
          <w:b/>
          <w:bCs/>
          <w:color w:val="0A2540"/>
          <w:sz w:val="44"/>
          <w:szCs w:val="44"/>
        </w:rPr>
        <w:t xml:space="preserve">Conflictos y vías de reclamación</w:t>
      </w:r>
    </w:p>
    <w:p>
      <w:pPr>
        <w:pStyle w:val="Heading1"/>
        <w:pageBreakBefore/>
        <w:spacing w:after="300" w:before="200"/>
      </w:pPr>
      <w:r>
        <w:rPr>
          <w:rFonts w:ascii="Archivo" w:cs="Archivo" w:eastAsia="Archivo" w:hAnsi="Archivo"/>
          <w:b/>
          <w:bCs/>
          <w:color w:val="1B6DF0"/>
          <w:sz w:val="22"/>
          <w:szCs w:val="22"/>
        </w:rPr>
        <w:t xml:space="preserve">Capítulo 23. </w:t>
      </w:r>
      <w:r>
        <w:rPr>
          <w:rFonts w:ascii="Fraunces" w:cs="Fraunces" w:eastAsia="Fraunces" w:hAnsi="Fraunces"/>
          <w:b/>
          <w:bCs/>
          <w:color w:val="0A2540"/>
          <w:sz w:val="30"/>
          <w:szCs w:val="30"/>
        </w:rPr>
        <w:t xml:space="preserve">Reclamación extrajudicial: servicio de atención al cliente, Defensor del Asegurado y DGSFP</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19.1. El deber de atención al reclamante: SAC y Defensor del Asegurado</w:t>
            </w:r>
          </w:p>
          <w:p>
            <w:pPr>
              <w:spacing w:after="40" w:line="260"/>
            </w:pPr>
            <w:r>
              <w:rPr>
                <w:rFonts w:ascii="Archivo" w:cs="Archivo" w:eastAsia="Archivo" w:hAnsi="Archivo"/>
                <w:sz w:val="18"/>
                <w:szCs w:val="18"/>
              </w:rPr>
              <w:t xml:space="preserve">19.2. La reclamación ante la Dirección General de Seguros y Fondos de Pensiones</w:t>
            </w:r>
          </w:p>
          <w:p>
            <w:pPr>
              <w:spacing w:after="40" w:line="260"/>
            </w:pPr>
            <w:r>
              <w:rPr>
                <w:rFonts w:ascii="Archivo" w:cs="Archivo" w:eastAsia="Archivo" w:hAnsi="Archivo"/>
                <w:sz w:val="18"/>
                <w:szCs w:val="18"/>
              </w:rPr>
              <w:t xml:space="preserve">19.3. Los medios adecuados de solución de controversias como requisito de procedibilidad</w:t>
            </w:r>
          </w:p>
          <w:p>
            <w:pPr>
              <w:spacing w:after="40" w:line="260"/>
            </w:pPr>
            <w:r>
              <w:rPr>
                <w:rFonts w:ascii="Archivo" w:cs="Archivo" w:eastAsia="Archivo" w:hAnsi="Archivo"/>
                <w:sz w:val="18"/>
                <w:szCs w:val="18"/>
              </w:rPr>
              <w:t xml:space="preserve">19.4. Los intereses del art. 20 LCS como palanca de negociación extrajudicial</w:t>
            </w:r>
          </w:p>
          <w:p>
            <w:pPr>
              <w:spacing w:after="40" w:line="260"/>
            </w:pPr>
            <w:r>
              <w:rPr>
                <w:rFonts w:ascii="Archivo" w:cs="Archivo" w:eastAsia="Archivo" w:hAnsi="Archivo"/>
                <w:sz w:val="18"/>
                <w:szCs w:val="18"/>
              </w:rPr>
              <w:t xml:space="preserve">19.5. Ficha para el profesional</w:t>
            </w:r>
          </w:p>
          <w:p>
            <w:pPr>
              <w:spacing w:after="40" w:line="260"/>
            </w:pPr>
            <w:r>
              <w:rPr>
                <w:rFonts w:ascii="Archivo" w:cs="Archivo" w:eastAsia="Archivo" w:hAnsi="Archivo"/>
                <w:sz w:val="18"/>
                <w:szCs w:val="18"/>
              </w:rPr>
              <w:t xml:space="preserve">19.6. Ficha para el asegurado</w:t>
            </w:r>
          </w:p>
          <w:p>
            <w:pPr>
              <w:spacing w:after="40" w:line="260"/>
            </w:pPr>
            <w:r>
              <w:rPr>
                <w:rFonts w:ascii="Archivo" w:cs="Archivo" w:eastAsia="Archivo" w:hAnsi="Archivo"/>
                <w:sz w:val="18"/>
                <w:szCs w:val="18"/>
              </w:rPr>
              <w:t xml:space="preserve">19.7. Checklist: itinerario extrajudicial antes de demandar</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abre la Parte IV con el estudio de la vía extrajudicial de reclamación en el seguro de hogar: el servicio de atención al cliente y el defensor del asegurado de la propia entidad, la reclamación ante el Servicio de Reclamaciones de la Dirección General de Seguros y Fondos de Pensiones, y la reciente incorporación de los medios adecuados de solución de controversias (MASC) como auténtico requisito de procedibilidad para el acceso a la jurisdicción civil, tras la reforma operada por la Ley Orgánica 1/2025.</w:t>
            </w:r>
          </w:p>
          <w:p>
            <w:pPr>
              <w:spacing w:after="160"/>
            </w:pPr>
            <w:r>
              <w:rPr>
                <w:rFonts w:ascii="Archivo" w:cs="Archivo" w:eastAsia="Archivo" w:hAnsi="Archivo"/>
                <w:b/>
                <w:bCs/>
                <w:sz w:val="17"/>
                <w:szCs w:val="17"/>
              </w:rPr>
              <w:t xml:space="preserve">Palabras clave: servicio de atención al cliente, defensor del asegurado, DGSFP, MASC, requisito de procedibilidad, Ley Orgánica 1/2025.</w:t>
            </w:r>
          </w:p>
          <w:p>
            <w:pPr>
              <w:spacing w:after="100"/>
              <w:jc w:val="both"/>
            </w:pPr>
            <w:r>
              <w:rPr>
                <w:rFonts w:ascii="Archivo" w:cs="Archivo" w:eastAsia="Archivo" w:hAnsi="Archivo"/>
                <w:i/>
                <w:iCs/>
                <w:sz w:val="18"/>
                <w:szCs w:val="18"/>
              </w:rPr>
              <w:t xml:space="preserve">This chapter opens Part IV with the extrajudicial claims route in homeowners' insurance: the insurer's own customer service and ombudsman, the complaint before the Spanish insurance supervisor's Claims Service, and the recent introduction of adequate dispute resolution means as a genuine procedural admissibility requirement for access to the civil courts, following the reform enacted by Organic Act 1/2025.</w:t>
            </w:r>
          </w:p>
          <w:p>
            <w:pPr>
              <w:spacing w:after="0"/>
            </w:pPr>
            <w:r>
              <w:rPr>
                <w:rFonts w:ascii="Archivo" w:cs="Archivo" w:eastAsia="Archivo" w:hAnsi="Archivo"/>
                <w:b/>
                <w:bCs/>
                <w:sz w:val="17"/>
                <w:szCs w:val="17"/>
              </w:rPr>
              <w:t xml:space="preserve">Keywords: customer service, insurance ombudsman, supervisory complaint, alternative dispute resolution, procedural requirement.</w:t>
            </w:r>
          </w:p>
        </w:tc>
      </w:tr>
    </w:tbl>
    <w:p>
      <w:pPr>
        <w:spacing w:after="200"/>
      </w:pPr>
    </w:p>
    <w:p>
      <w:pPr>
        <w:pStyle w:val="Heading2"/>
        <w:spacing w:after="160" w:before="400"/>
      </w:pPr>
      <w:r>
        <w:rPr>
          <w:rFonts w:ascii="Fraunces" w:cs="Fraunces" w:eastAsia="Fraunces" w:hAnsi="Fraunces"/>
          <w:b/>
          <w:bCs/>
          <w:color w:val="0A2540"/>
          <w:sz w:val="24"/>
          <w:szCs w:val="24"/>
        </w:rPr>
        <w:t xml:space="preserve">19.1. El deber de atención al reclamante: SAC y Defensor del Asegurado</w:t>
      </w:r>
    </w:p>
    <w:p>
      <w:pPr>
        <w:spacing w:after="180" w:line="300"/>
        <w:jc w:val="both"/>
      </w:pPr>
      <w:r>
        <w:rPr>
          <w:rFonts w:ascii="Archivo" w:cs="Archivo" w:eastAsia="Archivo" w:hAnsi="Archivo"/>
          <w:sz w:val="21"/>
          <w:szCs w:val="21"/>
        </w:rPr>
        <w:t xml:space="preserve">La Ley 20/2015, de Ordenación, Supervisión y Solvencia de las Entidades Aseguradoras y Reaseguradoras (LOSSEAR), y su normativa de desarrollo imponen a toda aseguradora la obligación de disponer de un servicio de atención al cliente (SAC) y, en su caso, de un defensor del cliente, ante el que el asegurado debe formular su reclamación como paso previo e ineludible antes de acudir a la supervisión pública</w:t>
      </w:r>
      <w:r>
        <w:rPr>
          <w:rStyle w:val="FootnoteReference"/>
        </w:rPr>
        <w:footnoteReference w:id="42"/>
      </w:r>
      <w:r>
        <w:rPr>
          <w:rFonts w:ascii="Archivo" w:cs="Archivo" w:eastAsia="Archivo" w:hAnsi="Archivo"/>
          <w:sz w:val="21"/>
          <w:szCs w:val="21"/>
        </w:rPr>
        <w:t xml:space="preserve">.</w:t>
      </w:r>
    </w:p>
    <w:p>
      <w:pPr>
        <w:spacing w:after="180" w:line="300"/>
        <w:jc w:val="both"/>
      </w:pPr>
      <w:r>
        <w:rPr>
          <w:rFonts w:ascii="Archivo" w:cs="Archivo" w:eastAsia="Archivo" w:hAnsi="Archivo"/>
          <w:sz w:val="21"/>
          <w:szCs w:val="21"/>
        </w:rPr>
        <w:t xml:space="preserve">La reclamación ante el SAC o el defensor del asegurado cumple una doble función que el profesional no debe subestimar: de un lado, ofrece una última oportunidad de resolución negociada antes de escalar el conflicto; de otro —y esto es lo más relevante en términos procesales—, constituye un presupuesto documental necesario para poder acceder posteriormente al Servicio de Reclamaciones de la DGSFP, que exige acreditar dicha reclamación previa como requisito de admisión.</w:t>
      </w:r>
    </w:p>
    <w:p>
      <w:pPr>
        <w:pStyle w:val="Heading2"/>
        <w:spacing w:after="160" w:before="400"/>
      </w:pPr>
      <w:r>
        <w:rPr>
          <w:rFonts w:ascii="Fraunces" w:cs="Fraunces" w:eastAsia="Fraunces" w:hAnsi="Fraunces"/>
          <w:b/>
          <w:bCs/>
          <w:color w:val="0A2540"/>
          <w:sz w:val="24"/>
          <w:szCs w:val="24"/>
        </w:rPr>
        <w:t xml:space="preserve">19.2. La reclamación ante la Dirección General de Seguros y Fondos de Pensiones</w:t>
      </w:r>
    </w:p>
    <w:p>
      <w:pPr>
        <w:spacing w:after="180" w:line="300"/>
        <w:jc w:val="both"/>
      </w:pPr>
      <w:r>
        <w:rPr>
          <w:rFonts w:ascii="Archivo" w:cs="Archivo" w:eastAsia="Archivo" w:hAnsi="Archivo"/>
          <w:sz w:val="21"/>
          <w:szCs w:val="21"/>
        </w:rPr>
        <w:t xml:space="preserve">Agotada o transcurrido el plazo de resolución de la reclamación interna, el asegurado puede acudir al Servicio de Reclamaciones de la DGSFP, órgano de supervisión que emite un informe motivado sobre el ajuste de la actuación de la aseguradora a la normativa de transparencia y protección de la clientela y a las buenas prácticas y usos financieros. Es fundamental que el profesional transmita con precisión al cliente el alcance real de esta vía: el informe de la DGSFP no tiene carácter vinculante ni ejecutivo, no puede imponer el pago de una indemnización ni sustituye a la vía judicial, pero constituye un elemento de prueba documental de notable valor persuasivo —tanto en una negociación posterior como, eventualmente, en el propio proceso judicial— cuando resulta favorable al reclamante, precisamente por proceder de un organismo técnico independiente y especializado.</w:t>
      </w:r>
    </w:p>
    <w:p>
      <w:pPr>
        <w:pStyle w:val="Heading2"/>
        <w:spacing w:after="160" w:before="400"/>
      </w:pPr>
      <w:r>
        <w:rPr>
          <w:rFonts w:ascii="Fraunces" w:cs="Fraunces" w:eastAsia="Fraunces" w:hAnsi="Fraunces"/>
          <w:b/>
          <w:bCs/>
          <w:color w:val="0A2540"/>
          <w:sz w:val="24"/>
          <w:szCs w:val="24"/>
        </w:rPr>
        <w:t xml:space="preserve">19.3. Los medios adecuados de solución de controversias como requisito de procedibilidad</w:t>
      </w:r>
    </w:p>
    <w:p>
      <w:pPr>
        <w:spacing w:after="180" w:line="300"/>
        <w:jc w:val="both"/>
      </w:pPr>
      <w:r>
        <w:rPr>
          <w:rFonts w:ascii="Archivo" w:cs="Archivo" w:eastAsia="Archivo" w:hAnsi="Archivo"/>
          <w:sz w:val="21"/>
          <w:szCs w:val="21"/>
        </w:rPr>
        <w:t xml:space="preserve">La Ley Orgánica 1/2025, de 2 de enero, de medidas en materia de eficiencia del Servicio Público de Justicia, ha introducido una modificación de primer orden en la arquitectura procesal civil española, con impacto directo y sistemático en la litigación de seguros de hogar: la actividad negociadora previa a través de un medio adecuado de solución de controversias (MASC) pasa a configurarse, en los términos que la propia ley establece, como un auténtico requisito de procedibilidad para el acceso a la jurisdicción civil</w:t>
      </w:r>
      <w:r>
        <w:rPr>
          <w:rStyle w:val="FootnoteReference"/>
        </w:rPr>
        <w:footnoteReference w:id="43"/>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264.4.º LEC (redacción LO 1/2025)</w:t>
            </w:r>
          </w:p>
          <w:p>
            <w:pPr>
              <w:spacing w:after="0" w:line="280"/>
              <w:jc w:val="both"/>
            </w:pPr>
            <w:r>
              <w:rPr>
                <w:rFonts w:ascii="IBM Plex Mono" w:cs="IBM Plex Mono" w:eastAsia="IBM Plex Mono" w:hAnsi="IBM Plex Mono"/>
                <w:i/>
                <w:iCs/>
                <w:color w:val="0A2540"/>
                <w:sz w:val="18"/>
                <w:szCs w:val="18"/>
              </w:rPr>
              <w:t xml:space="preserve">Con la demanda o la contestación habrán de presentarse: [...] 4.º El documento que acredite haberse intentado la actividad negociadora previa a la vía judicial cuando la ley exija dicho intento como requisito de procedibilidad, o declaración responsable de la parte de la imposibilidad de llevar a cabo la actividad negociadora previa a la vía judicial por desconocer el domicilio de la parte demandada o el medio por el que puede ser requerido.</w:t>
            </w:r>
          </w:p>
        </w:tc>
      </w:tr>
    </w:tbl>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403.2 LEC (redacción LO 1/2025)</w:t>
            </w:r>
          </w:p>
          <w:p>
            <w:pPr>
              <w:spacing w:after="0" w:line="280"/>
              <w:jc w:val="both"/>
            </w:pPr>
            <w:r>
              <w:rPr>
                <w:rFonts w:ascii="IBM Plex Mono" w:cs="IBM Plex Mono" w:eastAsia="IBM Plex Mono" w:hAnsi="IBM Plex Mono"/>
                <w:i/>
                <w:iCs/>
                <w:color w:val="0A2540"/>
                <w:sz w:val="18"/>
                <w:szCs w:val="18"/>
              </w:rPr>
              <w:t xml:space="preserve">No se admitirán las demandas cuando no se acompañen a ella los documentos que la ley expresamente exija para la admisión de aquellas, cuando no se hagan constar las circunstancias a las que se refiere el segundo párrafo del apartado 3 del artículo 399 en los casos en que se haya acudido a un medio adecuado de solución de controversias por exigirlo la ley como requisito de procedibilidad [...].</w:t>
            </w:r>
          </w:p>
        </w:tc>
      </w:tr>
    </w:tbl>
    <w:p>
      <w:pPr>
        <w:spacing w:after="180" w:line="300"/>
        <w:jc w:val="both"/>
      </w:pPr>
      <w:r>
        <w:rPr>
          <w:rFonts w:ascii="Archivo" w:cs="Archivo" w:eastAsia="Archivo" w:hAnsi="Archivo"/>
          <w:sz w:val="21"/>
          <w:szCs w:val="21"/>
        </w:rPr>
        <w:t xml:space="preserve">La consecuencia práctica para el profesional del seguro de hogar es inmediata: una demanda presentada sin acreditar el intento de negociación previa —o, en su caso, sin la declaración responsable sobre la imposibilidad de llevarla a cabo— corre el riesgo de inadmisión conforme al art. 403.2 LEC. La buena noticia es que, en la práctica del seguro de hogar, esta exigencia rara vez supone una carga añadida sustancial: la reclamación extrajudicial ante la propia aseguradora y, en su caso, ante el SAC, el defensor del asegurado o la DGSFP, estudiadas en los epígrafes anteriores, cumplen ya de forma natural la función de actividad negociadora previa, siempre que se documenten adecuadamente y se incorporen como anexo a la demanda.</w:t>
      </w:r>
    </w:p>
    <w:p>
      <w:pPr>
        <w:spacing w:after="180" w:line="300"/>
        <w:jc w:val="both"/>
      </w:pPr>
      <w:r>
        <w:rPr>
          <w:rFonts w:ascii="Archivo" w:cs="Archivo" w:eastAsia="Archivo" w:hAnsi="Archivo"/>
          <w:sz w:val="21"/>
          <w:szCs w:val="21"/>
        </w:rPr>
        <w:t xml:space="preserve">La recomendación práctica que se extrae de esta reforma es, por ello, doble: primera, nunca prescindir de la reclamación extrajudicial previa a la aseguradora (burofax de reclamación, reclamación ante el SAC), ni siquiera cuando el asegurado tenga prisa por litigar, precisamente porque ahora es también un presupuesto de admisibilidad de la demanda; segunda, conservar y aportar escrupulosamente la documentación acreditativa de ese intento negociador, con indicación de fechas, medios empleados y, en su caso, respuesta recibida.</w:t>
      </w:r>
    </w:p>
    <w:p>
      <w:pPr>
        <w:pStyle w:val="Heading2"/>
        <w:spacing w:after="160" w:before="400"/>
      </w:pPr>
      <w:r>
        <w:rPr>
          <w:rFonts w:ascii="Fraunces" w:cs="Fraunces" w:eastAsia="Fraunces" w:hAnsi="Fraunces"/>
          <w:b/>
          <w:bCs/>
          <w:color w:val="0A2540"/>
          <w:sz w:val="24"/>
          <w:szCs w:val="24"/>
        </w:rPr>
        <w:t xml:space="preserve">19.4. Los intereses del art. 20 LCS como palanca de negociación extrajudicial</w:t>
      </w:r>
    </w:p>
    <w:p>
      <w:pPr>
        <w:spacing w:after="180" w:line="300"/>
        <w:jc w:val="both"/>
      </w:pPr>
      <w:r>
        <w:rPr>
          <w:rFonts w:ascii="Archivo" w:cs="Archivo" w:eastAsia="Archivo" w:hAnsi="Archivo"/>
          <w:sz w:val="21"/>
          <w:szCs w:val="21"/>
        </w:rPr>
        <w:t xml:space="preserve">Como se explicó en el capítulo 20, los intereses de demora del art. 20 LCS —de cuantía muy superior a la de los intereses legales ordinarios y con un suelo del 20 % anual a partir de los dos años desde el siniestro— constituyen, en la práctica, el principal incentivo económico para que una aseguradora acepte negociar y pagar tempranamente. El profesional debe, por ello, incorporar sistemáticamente a toda reclamación extrajudicial —burofax, reclamación ante el SAC, escrito de negociación MASC— una referencia expresa y cuantificada a estos intereses, no como mera fórmula de estilo, sino como argumento de negociación con peso económico real y creciente con el paso del tiempo.</w:t>
      </w:r>
    </w:p>
    <w:p>
      <w:pPr>
        <w:pStyle w:val="Heading2"/>
        <w:spacing w:after="160" w:before="400"/>
      </w:pPr>
      <w:r>
        <w:rPr>
          <w:rFonts w:ascii="Fraunces" w:cs="Fraunces" w:eastAsia="Fraunces" w:hAnsi="Fraunces"/>
          <w:b/>
          <w:bCs/>
          <w:color w:val="0A2540"/>
          <w:sz w:val="24"/>
          <w:szCs w:val="24"/>
        </w:rPr>
        <w:t xml:space="preserve">19.5.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Itinerario extrajudicial recomendado antes de demandar</w:t>
            </w:r>
          </w:p>
          <w:p>
            <w:pPr>
              <w:pStyle w:val="ListParagraph"/>
              <w:numPr>
                <w:ilvl w:val="0"/>
                <w:numId w:val="2"/>
              </w:numPr>
              <w:spacing w:after="80" w:line="280"/>
            </w:pPr>
            <w:r>
              <w:rPr>
                <w:rFonts w:ascii="Archivo" w:cs="Archivo" w:eastAsia="Archivo" w:hAnsi="Archivo"/>
                <w:sz w:val="19"/>
                <w:szCs w:val="19"/>
              </w:rPr>
              <w:t xml:space="preserve">Burofax de reclamación previa a la aseguradora, con cuantificación de la indemnización reclamada y de los intereses del art. 20 LCS (capítulo 20 y Anexo IV).</w:t>
            </w:r>
          </w:p>
          <w:p>
            <w:pPr>
              <w:pStyle w:val="ListParagraph"/>
              <w:numPr>
                <w:ilvl w:val="0"/>
                <w:numId w:val="2"/>
              </w:numPr>
              <w:spacing w:after="80" w:line="280"/>
            </w:pPr>
            <w:r>
              <w:rPr>
                <w:rFonts w:ascii="Archivo" w:cs="Archivo" w:eastAsia="Archivo" w:hAnsi="Archivo"/>
                <w:sz w:val="19"/>
                <w:szCs w:val="19"/>
              </w:rPr>
              <w:t xml:space="preserve">Reclamación ante el SAC o el defensor del asegurado de la entidad, conservando acuse de recibo y, en su caso, respuesta motivada.</w:t>
            </w:r>
          </w:p>
          <w:p>
            <w:pPr>
              <w:pStyle w:val="ListParagraph"/>
              <w:numPr>
                <w:ilvl w:val="0"/>
                <w:numId w:val="2"/>
              </w:numPr>
              <w:spacing w:after="80" w:line="280"/>
            </w:pPr>
            <w:r>
              <w:rPr>
                <w:rFonts w:ascii="Archivo" w:cs="Archivo" w:eastAsia="Archivo" w:hAnsi="Archivo"/>
                <w:sz w:val="19"/>
                <w:szCs w:val="19"/>
              </w:rPr>
              <w:t xml:space="preserve">En caso de persistir la discrepancia, valorar la reclamación ante la DGSFP, teniendo presente su carácter no vinculante pero su valor probatorio indirecto.</w:t>
            </w:r>
          </w:p>
          <w:p>
            <w:pPr>
              <w:pStyle w:val="ListParagraph"/>
              <w:numPr>
                <w:ilvl w:val="0"/>
                <w:numId w:val="2"/>
              </w:numPr>
              <w:spacing w:after="80" w:line="280"/>
            </w:pPr>
            <w:r>
              <w:rPr>
                <w:rFonts w:ascii="Archivo" w:cs="Archivo" w:eastAsia="Archivo" w:hAnsi="Archivo"/>
                <w:sz w:val="19"/>
                <w:szCs w:val="19"/>
              </w:rPr>
              <w:t xml:space="preserve">Documentar escrupulosamente todo el itinerario negociador para su incorporación a la demanda conforme al art. 264.4.º LEC, evitando el riesgo de inadmisión del art. 403.2 LEC.</w:t>
            </w:r>
          </w:p>
          <w:p>
            <w:pPr>
              <w:pStyle w:val="ListParagraph"/>
              <w:numPr>
                <w:ilvl w:val="0"/>
                <w:numId w:val="2"/>
              </w:numPr>
              <w:spacing w:after="80" w:line="280"/>
            </w:pPr>
            <w:r>
              <w:rPr>
                <w:rFonts w:ascii="Archivo" w:cs="Archivo" w:eastAsia="Archivo" w:hAnsi="Archivo"/>
                <w:sz w:val="19"/>
                <w:szCs w:val="19"/>
              </w:rPr>
              <w:t xml:space="preserve">Si el domicilio de la aseguradora es desconocido o resulta imposible el intento negociador por causas objetivas, preparar la declaración responsable alternativa prevista en el propio art. 264.4.º LEC.</w:t>
            </w:r>
          </w:p>
        </w:tc>
      </w:tr>
    </w:tbl>
    <w:p>
      <w:pPr>
        <w:pStyle w:val="Heading2"/>
        <w:spacing w:after="160" w:before="400"/>
      </w:pPr>
      <w:r>
        <w:rPr>
          <w:rFonts w:ascii="Fraunces" w:cs="Fraunces" w:eastAsia="Fraunces" w:hAnsi="Fraunces"/>
          <w:b/>
          <w:bCs/>
          <w:color w:val="0A2540"/>
          <w:sz w:val="24"/>
          <w:szCs w:val="24"/>
        </w:rPr>
        <w:t xml:space="preserve">19.6.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esperar de cada vía de reclamación</w:t>
            </w:r>
          </w:p>
          <w:p>
            <w:pPr>
              <w:pStyle w:val="ListParagraph"/>
              <w:numPr>
                <w:ilvl w:val="0"/>
                <w:numId w:val="2"/>
              </w:numPr>
              <w:spacing w:after="80" w:line="280"/>
            </w:pPr>
            <w:r>
              <w:rPr>
                <w:rFonts w:ascii="Archivo" w:cs="Archivo" w:eastAsia="Archivo" w:hAnsi="Archivo"/>
                <w:sz w:val="19"/>
                <w:szCs w:val="19"/>
              </w:rPr>
              <w:t xml:space="preserve">El servicio de atención al cliente de su aseguradora debe responder a su reclamación en un plazo determinado; guarde siempre el justificante de presentación.</w:t>
            </w:r>
          </w:p>
          <w:p>
            <w:pPr>
              <w:pStyle w:val="ListParagraph"/>
              <w:numPr>
                <w:ilvl w:val="0"/>
                <w:numId w:val="2"/>
              </w:numPr>
              <w:spacing w:after="80" w:line="280"/>
            </w:pPr>
            <w:r>
              <w:rPr>
                <w:rFonts w:ascii="Archivo" w:cs="Archivo" w:eastAsia="Archivo" w:hAnsi="Archivo"/>
                <w:sz w:val="19"/>
                <w:szCs w:val="19"/>
              </w:rPr>
              <w:t xml:space="preserve">La Dirección General de Seguros y Fondos de Pensiones no puede obligar a su aseguradora a pagarle, pero su informe, si le da la razón, es un argumento de peso para negociar o, en su caso, para un futuro pleito.</w:t>
            </w:r>
          </w:p>
          <w:p>
            <w:pPr>
              <w:pStyle w:val="ListParagraph"/>
              <w:numPr>
                <w:ilvl w:val="0"/>
                <w:numId w:val="2"/>
              </w:numPr>
              <w:spacing w:after="80" w:line="280"/>
            </w:pPr>
            <w:r>
              <w:rPr>
                <w:rFonts w:ascii="Archivo" w:cs="Archivo" w:eastAsia="Archivo" w:hAnsi="Archivo"/>
                <w:sz w:val="19"/>
                <w:szCs w:val="19"/>
              </w:rPr>
              <w:t xml:space="preserve">Antes de demandar, su abogado deberá acreditar que intentó negociar con la aseguradora: no lo viva como un trámite burocrático, sino como una oportunidad real de resolver el conflicto sin ir a juicio.</w:t>
            </w:r>
          </w:p>
        </w:tc>
      </w:tr>
    </w:tbl>
    <w:p>
      <w:pPr>
        <w:pStyle w:val="Heading2"/>
        <w:spacing w:after="160" w:before="400"/>
      </w:pPr>
      <w:r>
        <w:rPr>
          <w:rFonts w:ascii="Fraunces" w:cs="Fraunces" w:eastAsia="Fraunces" w:hAnsi="Fraunces"/>
          <w:b/>
          <w:bCs/>
          <w:color w:val="0A2540"/>
          <w:sz w:val="24"/>
          <w:szCs w:val="24"/>
        </w:rPr>
        <w:t xml:space="preserve">19.7. Checklist: itinerario extrajudicial antes de demandar</w:t>
      </w:r>
    </w:p>
    <w:p>
      <w:pPr>
        <w:pStyle w:val="ListParagraph"/>
        <w:numPr>
          <w:ilvl w:val="0"/>
          <w:numId w:val="2"/>
        </w:numPr>
        <w:spacing w:after="100" w:line="290"/>
      </w:pPr>
      <w:r>
        <w:rPr>
          <w:rFonts w:ascii="Archivo" w:cs="Archivo" w:eastAsia="Archivo" w:hAnsi="Archivo"/>
          <w:sz w:val="21"/>
          <w:szCs w:val="21"/>
        </w:rPr>
        <w:t xml:space="preserve">1. ¿Se ha remitido burofax de reclamación previa con cuantificación de la indemnización e intereses?</w:t>
      </w:r>
    </w:p>
    <w:p>
      <w:pPr>
        <w:pStyle w:val="ListParagraph"/>
        <w:numPr>
          <w:ilvl w:val="0"/>
          <w:numId w:val="2"/>
        </w:numPr>
        <w:spacing w:after="100" w:line="290"/>
      </w:pPr>
      <w:r>
        <w:rPr>
          <w:rFonts w:ascii="Archivo" w:cs="Archivo" w:eastAsia="Archivo" w:hAnsi="Archivo"/>
          <w:sz w:val="21"/>
          <w:szCs w:val="21"/>
        </w:rPr>
        <w:t xml:space="preserve">2. ¿Se ha presentado reclamación ante el SAC o el defensor del asegurado? ¿Con qué resultado?</w:t>
      </w:r>
    </w:p>
    <w:p>
      <w:pPr>
        <w:pStyle w:val="ListParagraph"/>
        <w:numPr>
          <w:ilvl w:val="0"/>
          <w:numId w:val="2"/>
        </w:numPr>
        <w:spacing w:after="100" w:line="290"/>
      </w:pPr>
      <w:r>
        <w:rPr>
          <w:rFonts w:ascii="Archivo" w:cs="Archivo" w:eastAsia="Archivo" w:hAnsi="Archivo"/>
          <w:sz w:val="21"/>
          <w:szCs w:val="21"/>
        </w:rPr>
        <w:t xml:space="preserve">3. ¿Se ha acudido, en su caso, a la DGSFP? ¿Cuál es el contenido de su informe?</w:t>
      </w:r>
    </w:p>
    <w:p>
      <w:pPr>
        <w:pStyle w:val="ListParagraph"/>
        <w:numPr>
          <w:ilvl w:val="0"/>
          <w:numId w:val="2"/>
        </w:numPr>
        <w:spacing w:after="100" w:line="290"/>
      </w:pPr>
      <w:r>
        <w:rPr>
          <w:rFonts w:ascii="Archivo" w:cs="Archivo" w:eastAsia="Archivo" w:hAnsi="Archivo"/>
          <w:sz w:val="21"/>
          <w:szCs w:val="21"/>
        </w:rPr>
        <w:t xml:space="preserve">4. ¿Está documentado el conjunto del itinerario negociador para su incorporación a la demanda (art. 264.4.º LEC)?</w:t>
      </w:r>
    </w:p>
    <w:p>
      <w:pPr>
        <w:pStyle w:val="ListParagraph"/>
        <w:numPr>
          <w:ilvl w:val="0"/>
          <w:numId w:val="2"/>
        </w:numPr>
        <w:spacing w:after="100" w:line="290"/>
      </w:pPr>
      <w:r>
        <w:rPr>
          <w:rFonts w:ascii="Archivo" w:cs="Archivo" w:eastAsia="Archivo" w:hAnsi="Archivo"/>
          <w:sz w:val="21"/>
          <w:szCs w:val="21"/>
        </w:rPr>
        <w:t xml:space="preserve">5. ¿Existe riesgo de inadmisión de la demanda por falta de acreditación del intento negociador (art. 403.2 LEC)?</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VEIGA COPO, A. B., Tratado del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24. </w:t>
      </w:r>
      <w:r>
        <w:rPr>
          <w:rFonts w:ascii="Fraunces" w:cs="Fraunces" w:eastAsia="Fraunces" w:hAnsi="Fraunces"/>
          <w:b/>
          <w:bCs/>
          <w:color w:val="0A2540"/>
          <w:sz w:val="30"/>
          <w:szCs w:val="30"/>
        </w:rPr>
        <w:t xml:space="preserve">Vía judicial: competencia, procedimiento y costas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20.1. Competencia territorial: el fuero especial del domicilio del asegurado</w:t>
            </w:r>
          </w:p>
          <w:p>
            <w:pPr>
              <w:spacing w:after="40" w:line="260"/>
            </w:pPr>
            <w:r>
              <w:rPr>
                <w:rFonts w:ascii="Archivo" w:cs="Archivo" w:eastAsia="Archivo" w:hAnsi="Archivo"/>
                <w:sz w:val="18"/>
                <w:szCs w:val="18"/>
              </w:rPr>
              <w:t xml:space="preserve">20.2. Elección de procedimiento según la cuantía</w:t>
            </w:r>
          </w:p>
          <w:p>
            <w:pPr>
              <w:spacing w:after="40" w:line="260"/>
            </w:pPr>
            <w:r>
              <w:rPr>
                <w:rFonts w:ascii="Archivo" w:cs="Archivo" w:eastAsia="Archivo" w:hAnsi="Archivo"/>
                <w:sz w:val="18"/>
                <w:szCs w:val="18"/>
              </w:rPr>
              <w:t xml:space="preserve">20.3. Legitimación activa y pasiva</w:t>
            </w:r>
          </w:p>
          <w:p>
            <w:pPr>
              <w:spacing w:after="40" w:line="260"/>
            </w:pPr>
            <w:r>
              <w:rPr>
                <w:rFonts w:ascii="Archivo" w:cs="Archivo" w:eastAsia="Archivo" w:hAnsi="Archivo"/>
                <w:sz w:val="18"/>
                <w:szCs w:val="18"/>
              </w:rPr>
              <w:t xml:space="preserve">20.4. La prueba en el proceso de seguro de hogar</w:t>
            </w:r>
          </w:p>
          <w:p>
            <w:pPr>
              <w:spacing w:after="40" w:line="260"/>
            </w:pPr>
            <w:r>
              <w:rPr>
                <w:rFonts w:ascii="Archivo" w:cs="Archivo" w:eastAsia="Archivo" w:hAnsi="Archivo"/>
                <w:sz w:val="18"/>
                <w:szCs w:val="18"/>
              </w:rPr>
              <w:t xml:space="preserve">20.5. Costas procesales</w:t>
            </w:r>
          </w:p>
          <w:p>
            <w:pPr>
              <w:spacing w:after="40" w:line="260"/>
            </w:pPr>
            <w:r>
              <w:rPr>
                <w:rFonts w:ascii="Archivo" w:cs="Archivo" w:eastAsia="Archivo" w:hAnsi="Archivo"/>
                <w:sz w:val="18"/>
                <w:szCs w:val="18"/>
              </w:rPr>
              <w:t xml:space="preserve">20.6. Ficha para el profesional</w:t>
            </w:r>
          </w:p>
          <w:p>
            <w:pPr>
              <w:spacing w:after="40" w:line="260"/>
            </w:pPr>
            <w:r>
              <w:rPr>
                <w:rFonts w:ascii="Archivo" w:cs="Archivo" w:eastAsia="Archivo" w:hAnsi="Archivo"/>
                <w:sz w:val="18"/>
                <w:szCs w:val="18"/>
              </w:rPr>
              <w:t xml:space="preserve">20.7. Ficha para el asegurado</w:t>
            </w:r>
          </w:p>
          <w:p>
            <w:pPr>
              <w:spacing w:after="40" w:line="260"/>
            </w:pPr>
            <w:r>
              <w:rPr>
                <w:rFonts w:ascii="Archivo" w:cs="Archivo" w:eastAsia="Archivo" w:hAnsi="Archivo"/>
                <w:sz w:val="18"/>
                <w:szCs w:val="18"/>
              </w:rPr>
              <w:t xml:space="preserve">20.8. Checklist: preparación de la demanda o de la contestación</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sistematiza el marco procesal civil aplicable a las acciones derivadas del seguro de hogar: el fuero especial en materia de seguros del art. 52.2 LEC, que favorece sistemáticamente al asegurado; la elección entre juicio verbal y ordinario según la cuantía tras la reforma de 2023; las reglas de legitimación, con particular atención a la acción directa del tercero perjudicado; y el régimen de la prueba y de las costas, con el principio del vencimiento objetivo como telón de fondo de toda la estrategia procesal.</w:t>
            </w:r>
          </w:p>
          <w:p>
            <w:pPr>
              <w:spacing w:after="160"/>
            </w:pPr>
            <w:r>
              <w:rPr>
                <w:rFonts w:ascii="Archivo" w:cs="Archivo" w:eastAsia="Archivo" w:hAnsi="Archivo"/>
                <w:b/>
                <w:bCs/>
                <w:sz w:val="17"/>
                <w:szCs w:val="17"/>
              </w:rPr>
              <w:t xml:space="preserve">Palabras clave: competencia territorial, fuero del asegurado, juicio verbal, juicio ordinario, legitimación, costas procesales.</w:t>
            </w:r>
          </w:p>
          <w:p>
            <w:pPr>
              <w:spacing w:after="100"/>
              <w:jc w:val="both"/>
            </w:pPr>
            <w:r>
              <w:rPr>
                <w:rFonts w:ascii="Archivo" w:cs="Archivo" w:eastAsia="Archivo" w:hAnsi="Archivo"/>
                <w:i/>
                <w:iCs/>
                <w:sz w:val="18"/>
                <w:szCs w:val="18"/>
              </w:rPr>
              <w:t xml:space="preserve">This chapter systematises the civil procedural framework applicable to actions arising from homeowners' insurance: the special insurance jurisdiction rule of Article 52.2 of the Civil Procedure Act, which consistently favours the insured; the choice between summary and ordinary proceedings depending on the amount in dispute following the 2023 reform; standing rules, with particular attention to the injured third party's direct action; and the evidence and costs regime, with the objective-defeat principle underlying the entire procedural strategy.</w:t>
            </w:r>
          </w:p>
          <w:p>
            <w:pPr>
              <w:spacing w:after="0"/>
            </w:pPr>
            <w:r>
              <w:rPr>
                <w:rFonts w:ascii="Archivo" w:cs="Archivo" w:eastAsia="Archivo" w:hAnsi="Archivo"/>
                <w:b/>
                <w:bCs/>
                <w:sz w:val="17"/>
                <w:szCs w:val="17"/>
              </w:rPr>
              <w:t xml:space="preserve">Keywords: territorial jurisdiction, insured's forum, summary proceedings, ordinary proceedings, standing, costs.</w:t>
            </w:r>
          </w:p>
        </w:tc>
      </w:tr>
    </w:tbl>
    <w:p>
      <w:pPr>
        <w:spacing w:after="200"/>
      </w:pPr>
    </w:p>
    <w:p>
      <w:pPr>
        <w:pStyle w:val="Heading2"/>
        <w:spacing w:after="160" w:before="400"/>
      </w:pPr>
      <w:r>
        <w:rPr>
          <w:rFonts w:ascii="Fraunces" w:cs="Fraunces" w:eastAsia="Fraunces" w:hAnsi="Fraunces"/>
          <w:b/>
          <w:bCs/>
          <w:color w:val="0A2540"/>
          <w:sz w:val="24"/>
          <w:szCs w:val="24"/>
        </w:rPr>
        <w:t xml:space="preserve">20.1. Competencia territorial: el fuero especial del domicilio del asegurado</w:t>
      </w:r>
    </w:p>
    <w:p>
      <w:pPr>
        <w:spacing w:after="180" w:line="300"/>
        <w:jc w:val="both"/>
      </w:pPr>
      <w:r>
        <w:rPr>
          <w:rFonts w:ascii="Archivo" w:cs="Archivo" w:eastAsia="Archivo" w:hAnsi="Archivo"/>
          <w:sz w:val="21"/>
          <w:szCs w:val="21"/>
        </w:rPr>
        <w:t xml:space="preserve">La LEC dedica al contrato de seguro un fuero especial que constituye, en la práctica, una de las ventajas procesales más señaladas del asegurado frente a la aseguradora, y que el profesional debe invocar sistemáticamente al redactar cualquier demanda</w:t>
      </w:r>
      <w:r>
        <w:rPr>
          <w:rStyle w:val="FootnoteReference"/>
        </w:rPr>
        <w:footnoteReference w:id="44"/>
      </w:r>
      <w:r>
        <w:rPr>
          <w:rFonts w:ascii="Archivo" w:cs="Archivo" w:eastAsia="Archivo" w:hAnsi="Archivo"/>
          <w:sz w:val="21"/>
          <w:szCs w:val="21"/>
        </w:rPr>
        <w:t xml:space="preserve">:</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52.2 LEC</w:t>
            </w:r>
          </w:p>
          <w:p>
            <w:pPr>
              <w:spacing w:after="0" w:line="280"/>
              <w:jc w:val="both"/>
            </w:pPr>
            <w:r>
              <w:rPr>
                <w:rFonts w:ascii="IBM Plex Mono" w:cs="IBM Plex Mono" w:eastAsia="IBM Plex Mono" w:hAnsi="IBM Plex Mono"/>
                <w:i/>
                <w:iCs/>
                <w:color w:val="0A2540"/>
                <w:sz w:val="18"/>
                <w:szCs w:val="18"/>
              </w:rPr>
              <w:t xml:space="preserve">Cuando las normas del apartado anterior no fueren de aplicación a los litigios en materia de seguros [...] será competente el tribunal del domicilio del asegurado, comprador o prestatario o el del domicilio de quien hubiere aceptado la oferta, respectivamente, o el que corresponda conforme a las normas de los artículos 50 y 51, a elección del demandante.</w:t>
            </w:r>
          </w:p>
        </w:tc>
      </w:tr>
    </w:tbl>
    <w:p>
      <w:pPr>
        <w:spacing w:after="180" w:line="300"/>
        <w:jc w:val="both"/>
      </w:pPr>
      <w:r>
        <w:rPr>
          <w:rFonts w:ascii="Archivo" w:cs="Archivo" w:eastAsia="Archivo" w:hAnsi="Archivo"/>
          <w:sz w:val="21"/>
          <w:szCs w:val="21"/>
        </w:rPr>
        <w:t xml:space="preserve">El precepto atribuye al asegurado demandante —o a la aseguradora que actúa como demandante frente a su propio asegurado, en los infrecuentes supuestos en que esto ocurre— la facultad de elegir entre el domicilio del asegurado y los fueros generales de los arts. 50 y 51 LEC (domicilio del demandado). En la inmensa mayoría de los casos, esta elección beneficia al asegurado, que puede litigar en su propio partido judicial frente a aseguradoras cuyo domicilio social se encuentra, típicamente, en otra provincia, evitando así los costes y complejidades logísticas de un litigio a distancia.</w:t>
      </w:r>
    </w:p>
    <w:p>
      <w:pPr>
        <w:pStyle w:val="Heading2"/>
        <w:spacing w:after="160" w:before="400"/>
      </w:pPr>
      <w:r>
        <w:rPr>
          <w:rFonts w:ascii="Fraunces" w:cs="Fraunces" w:eastAsia="Fraunces" w:hAnsi="Fraunces"/>
          <w:b/>
          <w:bCs/>
          <w:color w:val="0A2540"/>
          <w:sz w:val="24"/>
          <w:szCs w:val="24"/>
        </w:rPr>
        <w:t xml:space="preserve">20.2. Elección de procedimiento según la cuantía</w:t>
      </w:r>
    </w:p>
    <w:p>
      <w:pPr>
        <w:spacing w:after="180" w:line="300"/>
        <w:jc w:val="both"/>
      </w:pPr>
      <w:r>
        <w:rPr>
          <w:rFonts w:ascii="Archivo" w:cs="Archivo" w:eastAsia="Archivo" w:hAnsi="Archivo"/>
          <w:sz w:val="21"/>
          <w:szCs w:val="21"/>
        </w:rPr>
        <w:t xml:space="preserve">La determinación del cauce procesal aplicable —juicio verbal u ordinario— depende, en la generalidad de las reclamaciones de seguro de hogar por incumplimiento contractual, de la cuantía litigiosa, conforme a la reforma operada por el Real Decreto-ley 6/2023, vigente desde el 20 de marzo de 2024 y ya avanzada en el Anexo IV de esta obra: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Arts. 249.2 y 250.2 LEC</w:t>
            </w:r>
          </w:p>
          <w:p>
            <w:pPr>
              <w:spacing w:after="0" w:line="280"/>
              <w:jc w:val="both"/>
            </w:pPr>
            <w:r>
              <w:rPr>
                <w:rFonts w:ascii="IBM Plex Mono" w:cs="IBM Plex Mono" w:eastAsia="IBM Plex Mono" w:hAnsi="IBM Plex Mono"/>
                <w:i/>
                <w:iCs/>
                <w:color w:val="0A2540"/>
                <w:sz w:val="18"/>
                <w:szCs w:val="18"/>
              </w:rPr>
              <w:t xml:space="preserve">Art. 249.2: Se decidirán también en el juicio ordinario las demandas cuya cuantía exceda de quince mil euros [...]. Art. 250.2: Se decidirán también en el juicio verbal las demandas cuya cuantía no exceda de quince mil euros [...].</w:t>
            </w:r>
          </w:p>
        </w:tc>
      </w:tr>
    </w:tbl>
    <w:p>
      <w:pPr>
        <w:spacing w:after="180" w:line="300"/>
        <w:jc w:val="both"/>
      </w:pPr>
      <w:r>
        <w:rPr>
          <w:rFonts w:ascii="Archivo" w:cs="Archivo" w:eastAsia="Archivo" w:hAnsi="Archivo"/>
          <w:sz w:val="21"/>
          <w:szCs w:val="21"/>
        </w:rPr>
        <w:t xml:space="preserve">El umbral de 15.000 euros, sensiblemente elevado respecto del régimen anterior a la reforma de 2023, determina que la inmensa mayoría de las reclamaciones ordinarias de daños por agua, robo o incendio en el seguro de hogar —cuya cuantía media rara vez supera esa cifra— se tramiten por los cauces, más ágiles y económicos, del juicio verbal, reservándose el juicio ordinario a los siniestros de mayor entidad económica (destrucción total del inmueble, responsabilidad civil de cuantía elevada) o a aquellos en los que, con independencia de la cuantía, resulte de aplicación alguno de los supuestos del art. 249.1 LEC.</w:t>
      </w:r>
    </w:p>
    <w:p>
      <w:pPr>
        <w:pStyle w:val="Heading2"/>
        <w:spacing w:after="160" w:before="400"/>
      </w:pPr>
      <w:r>
        <w:rPr>
          <w:rFonts w:ascii="Fraunces" w:cs="Fraunces" w:eastAsia="Fraunces" w:hAnsi="Fraunces"/>
          <w:b/>
          <w:bCs/>
          <w:color w:val="0A2540"/>
          <w:sz w:val="24"/>
          <w:szCs w:val="24"/>
        </w:rPr>
        <w:t xml:space="preserve">20.3. Legitimación activa y pasiva</w:t>
      </w:r>
    </w:p>
    <w:p>
      <w:pPr>
        <w:spacing w:after="180" w:line="300"/>
        <w:jc w:val="both"/>
      </w:pPr>
      <w:r>
        <w:rPr>
          <w:rFonts w:ascii="Archivo" w:cs="Archivo" w:eastAsia="Archivo" w:hAnsi="Archivo"/>
          <w:sz w:val="21"/>
          <w:szCs w:val="21"/>
        </w:rPr>
        <w:t xml:space="preserve">La legitimación activa corresponde, con carácter general, al asegurado (no necesariamente al tomador, si son personas distintas, según se estudió en el capítulo 2) para reclamar la indemnización derivada de su propia póliza. Cuando el siniestro involucra a la garantía de responsabilidad civil estudiada en el capítulo 13, la legitimación activa se extiende, mediante la acción directa del art. 76 LCS, al tercero perjudicado, que puede dirigir su reclamación directamente contra la aseguradora sin necesidad de demandar previa o simultáneamente al asegurado causante, aunque en la práctica forense es frecuente y prudente demandar conjuntamente a ambos, en litisconsorcio pasivo voluntario, para evitar cuestiones de oponibilidad de la sentencia.</w:t>
      </w:r>
    </w:p>
    <w:p>
      <w:pPr>
        <w:spacing w:after="180" w:line="300"/>
        <w:jc w:val="both"/>
      </w:pPr>
      <w:r>
        <w:rPr>
          <w:rFonts w:ascii="Archivo" w:cs="Archivo" w:eastAsia="Archivo" w:hAnsi="Archivo"/>
          <w:sz w:val="21"/>
          <w:szCs w:val="21"/>
        </w:rPr>
        <w:t xml:space="preserve">La legitimación pasiva corresponde, naturalmente, a la aseguradora, y en los supuestos de concurrencia de seguros estudiados en el capítulo 8, puede extenderse a varias aseguradoras simultáneamente cuando exista identidad de riesgo e interés asegurado, en régimen de litisconsorcio pasivo necesario o voluntario según las circunstancias del caso concreto.</w:t>
      </w:r>
    </w:p>
    <w:p>
      <w:pPr>
        <w:pStyle w:val="Heading2"/>
        <w:spacing w:after="160" w:before="400"/>
      </w:pPr>
      <w:r>
        <w:rPr>
          <w:rFonts w:ascii="Fraunces" w:cs="Fraunces" w:eastAsia="Fraunces" w:hAnsi="Fraunces"/>
          <w:b/>
          <w:bCs/>
          <w:color w:val="0A2540"/>
          <w:sz w:val="24"/>
          <w:szCs w:val="24"/>
        </w:rPr>
        <w:t xml:space="preserve">20.4. La prueba en el proceso de seguro de hogar</w:t>
      </w:r>
    </w:p>
    <w:p>
      <w:pPr>
        <w:spacing w:after="180" w:line="300"/>
        <w:jc w:val="both"/>
      </w:pPr>
      <w:r>
        <w:rPr>
          <w:rFonts w:ascii="Archivo" w:cs="Archivo" w:eastAsia="Archivo" w:hAnsi="Archivo"/>
          <w:sz w:val="21"/>
          <w:szCs w:val="21"/>
        </w:rPr>
        <w:t xml:space="preserve">La estrategia probatoria en un proceso de seguro de hogar gira, de forma casi invariable, en torno a tres ejes que el profesional debe planificar desde el primer momento del expediente, no solo al redactar la demanda:</w:t>
      </w:r>
    </w:p>
    <w:p>
      <w:pPr>
        <w:pStyle w:val="ListParagraph"/>
        <w:numPr>
          <w:ilvl w:val="0"/>
          <w:numId w:val="2"/>
        </w:numPr>
        <w:spacing w:after="100" w:line="290"/>
      </w:pPr>
      <w:r>
        <w:rPr>
          <w:rFonts w:ascii="Archivo" w:cs="Archivo" w:eastAsia="Archivo" w:hAnsi="Archivo"/>
          <w:b/>
          <w:bCs/>
          <w:sz w:val="21"/>
          <w:szCs w:val="21"/>
        </w:rPr>
        <w:t xml:space="preserve">Prueba documental: </w:t>
      </w:r>
      <w:r>
        <w:rPr>
          <w:rFonts w:ascii="Archivo" w:cs="Archivo" w:eastAsia="Archivo" w:hAnsi="Archivo"/>
          <w:sz w:val="21"/>
          <w:szCs w:val="21"/>
        </w:rPr>
        <w:t xml:space="preserve">póliza, condiciones generales y particulares, parte de siniestro, correspondencia con la aseguradora, facturas y presupuestos, y toda la documentación acreditativa de la preexistencia y valor de los bienes afectados.</w:t>
      </w:r>
    </w:p>
    <w:p>
      <w:pPr>
        <w:pStyle w:val="ListParagraph"/>
        <w:numPr>
          <w:ilvl w:val="0"/>
          <w:numId w:val="2"/>
        </w:numPr>
        <w:spacing w:after="100" w:line="290"/>
      </w:pPr>
      <w:r>
        <w:rPr>
          <w:rFonts w:ascii="Archivo" w:cs="Archivo" w:eastAsia="Archivo" w:hAnsi="Archivo"/>
          <w:b/>
          <w:bCs/>
          <w:sz w:val="21"/>
          <w:szCs w:val="21"/>
        </w:rPr>
        <w:t xml:space="preserve">Prueba pericial: </w:t>
      </w:r>
      <w:r>
        <w:rPr>
          <w:rFonts w:ascii="Archivo" w:cs="Archivo" w:eastAsia="Archivo" w:hAnsi="Archivo"/>
          <w:sz w:val="21"/>
          <w:szCs w:val="21"/>
        </w:rPr>
        <w:t xml:space="preserve">elemento central en la práctica totalidad de los litigios de seguro de hogar, según se ha reiterado a lo largo de esta obra; su correcta preparación, incluida la ratificación del perito en el acto del juicio y su sometimiento a contradicción, resulta decisiva en la generalidad de los casos.</w:t>
      </w:r>
    </w:p>
    <w:p>
      <w:pPr>
        <w:pStyle w:val="ListParagraph"/>
        <w:numPr>
          <w:ilvl w:val="0"/>
          <w:numId w:val="2"/>
        </w:numPr>
        <w:spacing w:after="100" w:line="290"/>
      </w:pPr>
      <w:r>
        <w:rPr>
          <w:rFonts w:ascii="Archivo" w:cs="Archivo" w:eastAsia="Archivo" w:hAnsi="Archivo"/>
          <w:b/>
          <w:bCs/>
          <w:sz w:val="21"/>
          <w:szCs w:val="21"/>
        </w:rPr>
        <w:t xml:space="preserve">Interrogatorio de parte: </w:t>
      </w:r>
      <w:r>
        <w:rPr>
          <w:rFonts w:ascii="Archivo" w:cs="Archivo" w:eastAsia="Archivo" w:hAnsi="Archivo"/>
          <w:sz w:val="21"/>
          <w:szCs w:val="21"/>
        </w:rPr>
        <w:t xml:space="preserve">particularmente relevante cuando se discuten hechos relativos al conocimiento de circunstancias declaradas o no declaradas al contratar (capítulo 4), o a la diligencia empleada por el asegurado en la custodia de los bienes (capítulo 9).</w:t>
      </w:r>
    </w:p>
    <w:p>
      <w:pPr>
        <w:pStyle w:val="Heading2"/>
        <w:spacing w:after="160" w:before="400"/>
      </w:pPr>
      <w:r>
        <w:rPr>
          <w:rFonts w:ascii="Fraunces" w:cs="Fraunces" w:eastAsia="Fraunces" w:hAnsi="Fraunces"/>
          <w:b/>
          <w:bCs/>
          <w:color w:val="0A2540"/>
          <w:sz w:val="24"/>
          <w:szCs w:val="24"/>
        </w:rPr>
        <w:t xml:space="preserve">20.5. Costas procesales</w:t>
      </w:r>
    </w:p>
    <w:p>
      <w:pPr>
        <w:spacing w:after="180" w:line="300"/>
        <w:jc w:val="both"/>
      </w:pPr>
      <w:r>
        <w:rPr>
          <w:rFonts w:ascii="Archivo" w:cs="Archivo" w:eastAsia="Archivo" w:hAnsi="Archivo"/>
          <w:sz w:val="21"/>
          <w:szCs w:val="21"/>
        </w:rPr>
        <w:t xml:space="preserve">El régimen de costas en el proceso civil español se rige por el principio del vencimiento objetivo, que en la práctica de la litigación de seguros opera como un poderoso incentivo adicional —junto con los intereses del art. 20 LCS ya estudiados— para la resolución extrajudicial temprana de las reclamaciones fundadas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394.1 LEC</w:t>
            </w:r>
          </w:p>
          <w:p>
            <w:pPr>
              <w:spacing w:after="0" w:line="280"/>
              <w:jc w:val="both"/>
            </w:pPr>
            <w:r>
              <w:rPr>
                <w:rFonts w:ascii="IBM Plex Mono" w:cs="IBM Plex Mono" w:eastAsia="IBM Plex Mono" w:hAnsi="IBM Plex Mono"/>
                <w:i/>
                <w:iCs/>
                <w:color w:val="0A2540"/>
                <w:sz w:val="18"/>
                <w:szCs w:val="18"/>
              </w:rPr>
              <w:t xml:space="preserve">En los procesos declarativos, las costas de la primera instancia se impondrán a la parte que haya visto rechazadas todas sus pretensiones, salvo que el tribunal aprecie, y así lo razone, que el caso presentaba serias dudas de hecho o de derecho.</w:t>
            </w:r>
          </w:p>
        </w:tc>
      </w:tr>
    </w:tbl>
    <w:p>
      <w:pPr>
        <w:spacing w:after="180" w:line="300"/>
        <w:jc w:val="both"/>
      </w:pPr>
      <w:r>
        <w:rPr>
          <w:rFonts w:ascii="Archivo" w:cs="Archivo" w:eastAsia="Archivo" w:hAnsi="Archivo"/>
          <w:sz w:val="21"/>
          <w:szCs w:val="21"/>
        </w:rPr>
        <w:t xml:space="preserve">La combinación de la condena en costas con los intereses del art. 20 LCS explica por qué, en la práctica, una aseguradora que deniega infundadamente una cobertura clara asume un riesgo económico muy superior al de la propia indemnización debida, lo que el profesional debe hacer explícito en cualquier negociación previa a la interposición de la demanda.</w:t>
      </w:r>
    </w:p>
    <w:p>
      <w:pPr>
        <w:pStyle w:val="Heading2"/>
        <w:spacing w:after="160" w:before="400"/>
      </w:pPr>
      <w:r>
        <w:rPr>
          <w:rFonts w:ascii="Fraunces" w:cs="Fraunces" w:eastAsia="Fraunces" w:hAnsi="Fraunces"/>
          <w:b/>
          <w:bCs/>
          <w:color w:val="0A2540"/>
          <w:sz w:val="24"/>
          <w:szCs w:val="24"/>
        </w:rPr>
        <w:t xml:space="preserve">20.6.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Puntos de control al preparar la demanda</w:t>
            </w:r>
          </w:p>
          <w:p>
            <w:pPr>
              <w:pStyle w:val="ListParagraph"/>
              <w:numPr>
                <w:ilvl w:val="0"/>
                <w:numId w:val="2"/>
              </w:numPr>
              <w:spacing w:after="80" w:line="280"/>
            </w:pPr>
            <w:r>
              <w:rPr>
                <w:rFonts w:ascii="Archivo" w:cs="Archivo" w:eastAsia="Archivo" w:hAnsi="Archivo"/>
                <w:sz w:val="19"/>
                <w:szCs w:val="19"/>
              </w:rPr>
              <w:t xml:space="preserve">Invocar sistemáticamente el fuero especial del art. 52.2 LEC cuando resulte más favorable que los fueros generales, especialmente si el domicilio social de la aseguradora está en otra provincia.</w:t>
            </w:r>
          </w:p>
          <w:p>
            <w:pPr>
              <w:pStyle w:val="ListParagraph"/>
              <w:numPr>
                <w:ilvl w:val="0"/>
                <w:numId w:val="2"/>
              </w:numPr>
              <w:spacing w:after="80" w:line="280"/>
            </w:pPr>
            <w:r>
              <w:rPr>
                <w:rFonts w:ascii="Archivo" w:cs="Archivo" w:eastAsia="Archivo" w:hAnsi="Archivo"/>
                <w:sz w:val="19"/>
                <w:szCs w:val="19"/>
              </w:rPr>
              <w:t xml:space="preserve">Verificar la cuantía exacta de la reclamación para determinar el cauce procesal correcto (verbal u ordinario) conforme a los arts. 249.2 y 250.2 LEC.</w:t>
            </w:r>
          </w:p>
          <w:p>
            <w:pPr>
              <w:pStyle w:val="ListParagraph"/>
              <w:numPr>
                <w:ilvl w:val="0"/>
                <w:numId w:val="2"/>
              </w:numPr>
              <w:spacing w:after="80" w:line="280"/>
            </w:pPr>
            <w:r>
              <w:rPr>
                <w:rFonts w:ascii="Archivo" w:cs="Archivo" w:eastAsia="Archivo" w:hAnsi="Archivo"/>
                <w:sz w:val="19"/>
                <w:szCs w:val="19"/>
              </w:rPr>
              <w:t xml:space="preserve">En reclamaciones de responsabilidad civil, valorar la conveniencia de demandar conjuntamente al asegurado causante y a su aseguradora, sin perjuicio de la inmunidad de la acción directa del art. 76 LCS.</w:t>
            </w:r>
          </w:p>
          <w:p>
            <w:pPr>
              <w:pStyle w:val="ListParagraph"/>
              <w:numPr>
                <w:ilvl w:val="0"/>
                <w:numId w:val="2"/>
              </w:numPr>
              <w:spacing w:after="80" w:line="280"/>
            </w:pPr>
            <w:r>
              <w:rPr>
                <w:rFonts w:ascii="Archivo" w:cs="Archivo" w:eastAsia="Archivo" w:hAnsi="Archivo"/>
                <w:sz w:val="19"/>
                <w:szCs w:val="19"/>
              </w:rPr>
              <w:t xml:space="preserve">Planificar la prueba pericial desde el inicio del expediente extrajudicial, no solo al redactar la demanda, dada su centralidad en la práctica totalidad de los litigios del ramo.</w:t>
            </w:r>
          </w:p>
          <w:p>
            <w:pPr>
              <w:pStyle w:val="ListParagraph"/>
              <w:numPr>
                <w:ilvl w:val="0"/>
                <w:numId w:val="2"/>
              </w:numPr>
              <w:spacing w:after="80" w:line="280"/>
            </w:pPr>
            <w:r>
              <w:rPr>
                <w:rFonts w:ascii="Archivo" w:cs="Archivo" w:eastAsia="Archivo" w:hAnsi="Archivo"/>
                <w:sz w:val="19"/>
                <w:szCs w:val="19"/>
              </w:rPr>
              <w:t xml:space="preserve">Cuantificar en la demanda, junto con la indemnización principal, los intereses del art. 20 LCS y advertir sobre el riesgo de condena en costas de la aseguradora demandada.</w:t>
            </w:r>
          </w:p>
        </w:tc>
      </w:tr>
    </w:tbl>
    <w:p>
      <w:pPr>
        <w:pStyle w:val="Heading2"/>
        <w:spacing w:after="160" w:before="400"/>
      </w:pPr>
      <w:r>
        <w:rPr>
          <w:rFonts w:ascii="Fraunces" w:cs="Fraunces" w:eastAsia="Fraunces" w:hAnsi="Fraunces"/>
          <w:b/>
          <w:bCs/>
          <w:color w:val="0A2540"/>
          <w:sz w:val="24"/>
          <w:szCs w:val="24"/>
        </w:rPr>
        <w:t xml:space="preserve">20.7.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debe saber antes de demandar a su aseguradora</w:t>
            </w:r>
          </w:p>
          <w:p>
            <w:pPr>
              <w:pStyle w:val="ListParagraph"/>
              <w:numPr>
                <w:ilvl w:val="0"/>
                <w:numId w:val="2"/>
              </w:numPr>
              <w:spacing w:after="80" w:line="280"/>
            </w:pPr>
            <w:r>
              <w:rPr>
                <w:rFonts w:ascii="Archivo" w:cs="Archivo" w:eastAsia="Archivo" w:hAnsi="Archivo"/>
                <w:sz w:val="19"/>
                <w:szCs w:val="19"/>
              </w:rPr>
              <w:t xml:space="preserve">Puede demandar a su aseguradora en el juzgado de su propio domicilio, aunque la sede social de la compañía esté en otra ciudad.</w:t>
            </w:r>
          </w:p>
          <w:p>
            <w:pPr>
              <w:pStyle w:val="ListParagraph"/>
              <w:numPr>
                <w:ilvl w:val="0"/>
                <w:numId w:val="2"/>
              </w:numPr>
              <w:spacing w:after="80" w:line="280"/>
            </w:pPr>
            <w:r>
              <w:rPr>
                <w:rFonts w:ascii="Archivo" w:cs="Archivo" w:eastAsia="Archivo" w:hAnsi="Archivo"/>
                <w:sz w:val="19"/>
                <w:szCs w:val="19"/>
              </w:rPr>
              <w:t xml:space="preserve">Si la cantidad reclamada no supera los 15.000 euros, el proceso será, normalmente, más rápido y sencillo (juicio verbal).</w:t>
            </w:r>
          </w:p>
          <w:p>
            <w:pPr>
              <w:pStyle w:val="ListParagraph"/>
              <w:numPr>
                <w:ilvl w:val="0"/>
                <w:numId w:val="2"/>
              </w:numPr>
              <w:spacing w:after="80" w:line="280"/>
            </w:pPr>
            <w:r>
              <w:rPr>
                <w:rFonts w:ascii="Archivo" w:cs="Archivo" w:eastAsia="Archivo" w:hAnsi="Archivo"/>
                <w:sz w:val="19"/>
                <w:szCs w:val="19"/>
              </w:rPr>
              <w:t xml:space="preserve">Si su aseguradora pierde el pleito, normalmente deberá pagar también las costas del proceso, lo que incluye en gran medida los honorarios de su abogado.</w:t>
            </w:r>
          </w:p>
        </w:tc>
      </w:tr>
    </w:tbl>
    <w:p>
      <w:pPr>
        <w:pStyle w:val="Heading2"/>
        <w:spacing w:after="160" w:before="400"/>
      </w:pPr>
      <w:r>
        <w:rPr>
          <w:rFonts w:ascii="Fraunces" w:cs="Fraunces" w:eastAsia="Fraunces" w:hAnsi="Fraunces"/>
          <w:b/>
          <w:bCs/>
          <w:color w:val="0A2540"/>
          <w:sz w:val="24"/>
          <w:szCs w:val="24"/>
        </w:rPr>
        <w:t xml:space="preserve">20.8. Checklist: preparación de la demanda o de la contestación</w:t>
      </w:r>
    </w:p>
    <w:p>
      <w:pPr>
        <w:pStyle w:val="ListParagraph"/>
        <w:numPr>
          <w:ilvl w:val="0"/>
          <w:numId w:val="2"/>
        </w:numPr>
        <w:spacing w:after="100" w:line="290"/>
      </w:pPr>
      <w:r>
        <w:rPr>
          <w:rFonts w:ascii="Archivo" w:cs="Archivo" w:eastAsia="Archivo" w:hAnsi="Archivo"/>
          <w:sz w:val="21"/>
          <w:szCs w:val="21"/>
        </w:rPr>
        <w:t xml:space="preserve">1. ¿Cuál es el domicilio del asegurado demandante y el de la aseguradora demandada?</w:t>
      </w:r>
    </w:p>
    <w:p>
      <w:pPr>
        <w:pStyle w:val="ListParagraph"/>
        <w:numPr>
          <w:ilvl w:val="0"/>
          <w:numId w:val="2"/>
        </w:numPr>
        <w:spacing w:after="100" w:line="290"/>
      </w:pPr>
      <w:r>
        <w:rPr>
          <w:rFonts w:ascii="Archivo" w:cs="Archivo" w:eastAsia="Archivo" w:hAnsi="Archivo"/>
          <w:sz w:val="21"/>
          <w:szCs w:val="21"/>
        </w:rPr>
        <w:t xml:space="preserve">2. ¿Cuál es la cuantía exacta de la reclamación, incluidos los intereses del art. 20 LCS?</w:t>
      </w:r>
    </w:p>
    <w:p>
      <w:pPr>
        <w:pStyle w:val="ListParagraph"/>
        <w:numPr>
          <w:ilvl w:val="0"/>
          <w:numId w:val="2"/>
        </w:numPr>
        <w:spacing w:after="100" w:line="290"/>
      </w:pPr>
      <w:r>
        <w:rPr>
          <w:rFonts w:ascii="Archivo" w:cs="Archivo" w:eastAsia="Archivo" w:hAnsi="Archivo"/>
          <w:sz w:val="21"/>
          <w:szCs w:val="21"/>
        </w:rPr>
        <w:t xml:space="preserve">3. ¿Procede juicio verbal u ordinario conforme a dicha cuantía?</w:t>
      </w:r>
    </w:p>
    <w:p>
      <w:pPr>
        <w:pStyle w:val="ListParagraph"/>
        <w:numPr>
          <w:ilvl w:val="0"/>
          <w:numId w:val="2"/>
        </w:numPr>
        <w:spacing w:after="100" w:line="290"/>
      </w:pPr>
      <w:r>
        <w:rPr>
          <w:rFonts w:ascii="Archivo" w:cs="Archivo" w:eastAsia="Archivo" w:hAnsi="Archivo"/>
          <w:sz w:val="21"/>
          <w:szCs w:val="21"/>
        </w:rPr>
        <w:t xml:space="preserve">4. ¿Quiénes deben ser demandados (aseguradora, asegurado causante, otras aseguradoras concurrentes)?</w:t>
      </w:r>
    </w:p>
    <w:p>
      <w:pPr>
        <w:pStyle w:val="ListParagraph"/>
        <w:numPr>
          <w:ilvl w:val="0"/>
          <w:numId w:val="2"/>
        </w:numPr>
        <w:spacing w:after="100" w:line="290"/>
      </w:pPr>
      <w:r>
        <w:rPr>
          <w:rFonts w:ascii="Archivo" w:cs="Archivo" w:eastAsia="Archivo" w:hAnsi="Archivo"/>
          <w:sz w:val="21"/>
          <w:szCs w:val="21"/>
        </w:rPr>
        <w:t xml:space="preserve">5. ¿Está preparada la prueba pericial y garantizada la disponibilidad del perito para su ratificación en juicio?</w:t>
      </w:r>
    </w:p>
    <w:p>
      <w:pPr>
        <w:pStyle w:val="ListParagraph"/>
        <w:numPr>
          <w:ilvl w:val="0"/>
          <w:numId w:val="2"/>
        </w:numPr>
        <w:spacing w:after="100" w:line="290"/>
      </w:pPr>
      <w:r>
        <w:rPr>
          <w:rFonts w:ascii="Archivo" w:cs="Archivo" w:eastAsia="Archivo" w:hAnsi="Archivo"/>
          <w:sz w:val="21"/>
          <w:szCs w:val="21"/>
        </w:rPr>
        <w:t xml:space="preserve">6. ¿Se ha acreditado el intento de negociación previa conforme al art. 264.4.º LEC (capítulo 23)?</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SÁNCHEZ CALERO, F. (dir.), Ley de Contrato de Seguro. Comentarios a la Ley 50/1980, de 8 de octubre, y a sus modificaciones, Aranzadi-Thomson Reuters, Cizur Menor.</w:t>
      </w:r>
    </w:p>
    <w:p>
      <w:pPr>
        <w:pStyle w:val="Heading1"/>
        <w:pageBreakBefore/>
        <w:spacing w:after="300" w:before="200"/>
      </w:pPr>
      <w:r>
        <w:rPr>
          <w:rFonts w:ascii="Archivo" w:cs="Archivo" w:eastAsia="Archivo" w:hAnsi="Archivo"/>
          <w:b/>
          <w:bCs/>
          <w:color w:val="1B6DF0"/>
          <w:sz w:val="22"/>
          <w:szCs w:val="22"/>
        </w:rPr>
        <w:t xml:space="preserve">Capítulo 25. </w:t>
      </w:r>
      <w:r>
        <w:rPr>
          <w:rFonts w:ascii="Fraunces" w:cs="Fraunces" w:eastAsia="Fraunces" w:hAnsi="Fraunces"/>
          <w:b/>
          <w:bCs/>
          <w:color w:val="0A2540"/>
          <w:sz w:val="30"/>
          <w:szCs w:val="30"/>
        </w:rPr>
        <w:t xml:space="preserve">Cláusulas abusivas y protección de los consumidores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21.1. El tomador del seguro de hogar como consumidor</w:t>
            </w:r>
          </w:p>
          <w:p>
            <w:pPr>
              <w:spacing w:after="40" w:line="260"/>
            </w:pPr>
            <w:r>
              <w:rPr>
                <w:rFonts w:ascii="Archivo" w:cs="Archivo" w:eastAsia="Archivo" w:hAnsi="Archivo"/>
                <w:sz w:val="18"/>
                <w:szCs w:val="18"/>
              </w:rPr>
              <w:t xml:space="preserve">21.2. El triple control de las condiciones generales: incorporación, transparencia y contenido</w:t>
            </w:r>
          </w:p>
          <w:p>
            <w:pPr>
              <w:spacing w:after="40" w:line="260"/>
            </w:pPr>
            <w:r>
              <w:rPr>
                <w:rFonts w:ascii="Archivo" w:cs="Archivo" w:eastAsia="Archivo" w:hAnsi="Archivo"/>
                <w:sz w:val="18"/>
                <w:szCs w:val="18"/>
              </w:rPr>
              <w:t xml:space="preserve">21.3. El concepto legal de cláusula abusiva y su relación con el art. 3 LCS</w:t>
            </w:r>
          </w:p>
          <w:p>
            <w:pPr>
              <w:spacing w:after="40" w:line="260"/>
            </w:pPr>
            <w:r>
              <w:rPr>
                <w:rFonts w:ascii="Archivo" w:cs="Archivo" w:eastAsia="Archivo" w:hAnsi="Archivo"/>
                <w:sz w:val="18"/>
                <w:szCs w:val="18"/>
              </w:rPr>
              <w:t xml:space="preserve">21.4. Consecuencias de la abusividad: nulidad y subsistencia del contrato</w:t>
            </w:r>
          </w:p>
          <w:p>
            <w:pPr>
              <w:spacing w:after="40" w:line="260"/>
            </w:pPr>
            <w:r>
              <w:rPr>
                <w:rFonts w:ascii="Archivo" w:cs="Archivo" w:eastAsia="Archivo" w:hAnsi="Archivo"/>
                <w:sz w:val="18"/>
                <w:szCs w:val="18"/>
              </w:rPr>
              <w:t xml:space="preserve">21.5. Ficha para el profesional</w:t>
            </w:r>
          </w:p>
          <w:p>
            <w:pPr>
              <w:spacing w:after="40" w:line="260"/>
            </w:pPr>
            <w:r>
              <w:rPr>
                <w:rFonts w:ascii="Archivo" w:cs="Archivo" w:eastAsia="Archivo" w:hAnsi="Archivo"/>
                <w:sz w:val="18"/>
                <w:szCs w:val="18"/>
              </w:rPr>
              <w:t xml:space="preserve">21.6. Ficha para el asegurado</w:t>
            </w:r>
          </w:p>
          <w:p>
            <w:pPr>
              <w:spacing w:after="40" w:line="260"/>
            </w:pPr>
            <w:r>
              <w:rPr>
                <w:rFonts w:ascii="Archivo" w:cs="Archivo" w:eastAsia="Archivo" w:hAnsi="Archivo"/>
                <w:sz w:val="18"/>
                <w:szCs w:val="18"/>
              </w:rPr>
              <w:t xml:space="preserve">21.7. Checklist: análisis de una cláusula desde la perspectiva de consumo</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cierra el estudio de las condiciones generales del seguro de hogar iniciado en los capítulos 1 y 5, añadiendo el tercer y último nivel de control aplicable cuando el tomador ostenta la condición de consumidor: el control de contenido o de abusividad del Texto Refundido de la Ley General para la Defensa de los Consumidores y Usuarios, que la jurisprudencia mantiene cuidadosamente diferenciado tanto del control de incorporación —aplicable a todo adherente— como del propio régimen del art. 3 LCS.</w:t>
            </w:r>
          </w:p>
          <w:p>
            <w:pPr>
              <w:spacing w:after="160"/>
            </w:pPr>
            <w:r>
              <w:rPr>
                <w:rFonts w:ascii="Archivo" w:cs="Archivo" w:eastAsia="Archivo" w:hAnsi="Archivo"/>
                <w:b/>
                <w:bCs/>
                <w:sz w:val="17"/>
                <w:szCs w:val="17"/>
              </w:rPr>
              <w:t xml:space="preserve">Palabras clave: cláusulas abusivas, TRLGDCU, control de transparencia cualificado, consumidor, nulidad.</w:t>
            </w:r>
          </w:p>
          <w:p>
            <w:pPr>
              <w:spacing w:after="100"/>
              <w:jc w:val="both"/>
            </w:pPr>
            <w:r>
              <w:rPr>
                <w:rFonts w:ascii="Archivo" w:cs="Archivo" w:eastAsia="Archivo" w:hAnsi="Archivo"/>
                <w:i/>
                <w:iCs/>
                <w:sz w:val="18"/>
                <w:szCs w:val="18"/>
              </w:rPr>
              <w:t xml:space="preserve">This chapter closes the study of homeowners' insurance general terms begun in Chapters 1 and 4, adding the third and final layer of control applicable when the policyholder qualifies as a consumer: the content or unfairness control under the Consumer Protection Act, which case law keeps carefully distinct both from the incorporation control —applicable to any adherent— and from the specific regime of Article 3 of the Insurance Contract Act.</w:t>
            </w:r>
          </w:p>
          <w:p>
            <w:pPr>
              <w:spacing w:after="0"/>
            </w:pPr>
            <w:r>
              <w:rPr>
                <w:rFonts w:ascii="Archivo" w:cs="Archivo" w:eastAsia="Archivo" w:hAnsi="Archivo"/>
                <w:b/>
                <w:bCs/>
                <w:sz w:val="17"/>
                <w:szCs w:val="17"/>
              </w:rPr>
              <w:t xml:space="preserve">Keywords: unfair contract terms, consumer protection, qualified transparency control, nullity.</w:t>
            </w:r>
          </w:p>
        </w:tc>
      </w:tr>
    </w:tbl>
    <w:p>
      <w:pPr>
        <w:spacing w:after="200"/>
      </w:pPr>
    </w:p>
    <w:p>
      <w:pPr>
        <w:pStyle w:val="Heading2"/>
        <w:spacing w:after="160" w:before="400"/>
      </w:pPr>
      <w:r>
        <w:rPr>
          <w:rFonts w:ascii="Fraunces" w:cs="Fraunces" w:eastAsia="Fraunces" w:hAnsi="Fraunces"/>
          <w:b/>
          <w:bCs/>
          <w:color w:val="0A2540"/>
          <w:sz w:val="24"/>
          <w:szCs w:val="24"/>
        </w:rPr>
        <w:t xml:space="preserve">21.1. El tomador del seguro de hogar como consumidor</w:t>
      </w:r>
    </w:p>
    <w:p>
      <w:pPr>
        <w:spacing w:after="180" w:line="300"/>
        <w:jc w:val="both"/>
      </w:pPr>
      <w:r>
        <w:rPr>
          <w:rFonts w:ascii="Archivo" w:cs="Archivo" w:eastAsia="Archivo" w:hAnsi="Archivo"/>
          <w:sz w:val="21"/>
          <w:szCs w:val="21"/>
        </w:rPr>
        <w:t xml:space="preserve">La inmensa mayoría de los tomadores de un seguro de hogar contratan la póliza para la protección de su vivienda habitual o segunda residencia al margen de cualquier actividad empresarial o profesional, lo que les atribuye la condición de consumidor o usuario a efectos del Texto Refundido de la Ley General para la Defensa de los Consumidores y Usuarios (TRLGDCU), aprobado por Real Decreto Legislativo 1/2007</w:t>
      </w:r>
      <w:r>
        <w:rPr>
          <w:rStyle w:val="FootnoteReference"/>
        </w:rPr>
        <w:footnoteReference w:id="45"/>
      </w:r>
      <w:r>
        <w:rPr>
          <w:rFonts w:ascii="Archivo" w:cs="Archivo" w:eastAsia="Archivo" w:hAnsi="Archivo"/>
          <w:sz w:val="21"/>
          <w:szCs w:val="21"/>
        </w:rPr>
        <w:t xml:space="preserve">.</w:t>
      </w:r>
    </w:p>
    <w:p>
      <w:pPr>
        <w:spacing w:after="180" w:line="300"/>
        <w:jc w:val="both"/>
      </w:pPr>
      <w:r>
        <w:rPr>
          <w:rFonts w:ascii="Archivo" w:cs="Archivo" w:eastAsia="Archivo" w:hAnsi="Archivo"/>
          <w:sz w:val="21"/>
          <w:szCs w:val="21"/>
        </w:rPr>
        <w:t xml:space="preserve">Esta condición activa, además de las protecciones ya estudiadas del art. 3 LCS —aplicable a todo asegurado, sea o no consumidor—, un nivel adicional y más intenso de control, con su propio fundamento normativo, metodología y consecuencias, objeto de este capítulo.</w:t>
      </w:r>
    </w:p>
    <w:p>
      <w:pPr>
        <w:pStyle w:val="Heading2"/>
        <w:spacing w:after="160" w:before="400"/>
      </w:pPr>
      <w:r>
        <w:rPr>
          <w:rFonts w:ascii="Fraunces" w:cs="Fraunces" w:eastAsia="Fraunces" w:hAnsi="Fraunces"/>
          <w:b/>
          <w:bCs/>
          <w:color w:val="0A2540"/>
          <w:sz w:val="24"/>
          <w:szCs w:val="24"/>
        </w:rPr>
        <w:t xml:space="preserve">21.2. El triple control de las condiciones generales: incorporación, transparencia y contenido</w:t>
      </w:r>
    </w:p>
    <w:p>
      <w:pPr>
        <w:spacing w:after="180" w:line="300"/>
        <w:jc w:val="both"/>
      </w:pPr>
      <w:r>
        <w:rPr>
          <w:rFonts w:ascii="Archivo" w:cs="Archivo" w:eastAsia="Archivo" w:hAnsi="Archivo"/>
          <w:sz w:val="21"/>
          <w:szCs w:val="21"/>
        </w:rPr>
        <w:t xml:space="preserve">La jurisprudencia de la Sala Primera ha sistematizado con precisión los tres niveles de control a los que puede someterse una condición general, precisando —de forma especialmente relevante para el profesional que representa a una aseguradora frente a un tomador que no es consumidor— cuáles de ellos son de aplicación universal y cuáles quedan reservados en exclusiva a la contratación con consumidores</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Jurisprudencia · STS, Sala de lo Civil, de 3 de junio de 2016 (ROJ: STS 2550/2016; ECLI:ES:TS:2016:2550; MP: Vela Torres)</w:t>
            </w:r>
          </w:p>
          <w:p>
            <w:pPr>
              <w:spacing w:after="0" w:line="280"/>
              <w:jc w:val="both"/>
            </w:pPr>
            <w:r>
              <w:rPr>
                <w:rFonts w:ascii="Archivo" w:cs="Archivo" w:eastAsia="Archivo" w:hAnsi="Archivo"/>
                <w:color w:val="0A2540"/>
                <w:sz w:val="19"/>
                <w:szCs w:val="19"/>
              </w:rPr>
              <w:t xml:space="preserve">«El concepto de transparencia, configurado como control de fondo o de comprensibilidad real, constituye directamente un control de abusividad y, por tanto, distinto del control de incorporación que es el que podría ser aplicado, en todo caso, de forma extensiva, por lo que al quedar reservado el control de abusividad a la esfera estricta de los consumidores, no puede ser aplicado el control de transparencia/abusividad a la contratación entre empresarios.»</w:t>
            </w:r>
          </w:p>
        </w:tc>
      </w:tr>
    </w:tbl>
    <w:p>
      <w:pPr>
        <w:spacing w:after="180" w:line="300"/>
        <w:jc w:val="both"/>
      </w:pPr>
      <w:r>
        <w:rPr>
          <w:rFonts w:ascii="Archivo" w:cs="Archivo" w:eastAsia="Archivo" w:hAnsi="Archivo"/>
          <w:sz w:val="21"/>
          <w:szCs w:val="21"/>
        </w:rPr>
        <w:t xml:space="preserve">De esta doctrina se extrae la arquitectura completa de controles aplicable a cualquier cláusula de una póliza de hogar, que el profesional debe recorrer en el siguiente orden lógico:</w:t>
      </w:r>
    </w:p>
    <w:p>
      <w:pPr>
        <w:pStyle w:val="ListParagraph"/>
        <w:numPr>
          <w:ilvl w:val="0"/>
          <w:numId w:val="2"/>
        </w:numPr>
        <w:spacing w:after="100" w:line="290"/>
      </w:pPr>
      <w:r>
        <w:rPr>
          <w:rFonts w:ascii="Archivo" w:cs="Archivo" w:eastAsia="Archivo" w:hAnsi="Archivo"/>
          <w:b/>
          <w:bCs/>
          <w:sz w:val="21"/>
          <w:szCs w:val="21"/>
        </w:rPr>
        <w:t xml:space="preserve">Control de incorporación (arts. 5 y 7 LCGC, capítulo 5): </w:t>
      </w:r>
      <w:r>
        <w:rPr>
          <w:rFonts w:ascii="Archivo" w:cs="Archivo" w:eastAsia="Archivo" w:hAnsi="Archivo"/>
          <w:sz w:val="21"/>
          <w:szCs w:val="21"/>
        </w:rPr>
        <w:t xml:space="preserve">aplicable a todo adherente, sea o no consumidor. Verifica si la cláusula llegó a formar parte del contrato (oportunidad real de conocerla, legibilidad).</w:t>
      </w:r>
    </w:p>
    <w:p>
      <w:pPr>
        <w:pStyle w:val="ListParagraph"/>
        <w:numPr>
          <w:ilvl w:val="0"/>
          <w:numId w:val="2"/>
        </w:numPr>
        <w:spacing w:after="100" w:line="290"/>
      </w:pPr>
      <w:r>
        <w:rPr>
          <w:rFonts w:ascii="Archivo" w:cs="Archivo" w:eastAsia="Archivo" w:hAnsi="Archivo"/>
          <w:b/>
          <w:bCs/>
          <w:sz w:val="21"/>
          <w:szCs w:val="21"/>
        </w:rPr>
        <w:t xml:space="preserve">Control específico del art. 3 LCS (capítulos 1 y 5): </w:t>
      </w:r>
      <w:r>
        <w:rPr>
          <w:rFonts w:ascii="Archivo" w:cs="Archivo" w:eastAsia="Archivo" w:hAnsi="Archivo"/>
          <w:sz w:val="21"/>
          <w:szCs w:val="21"/>
        </w:rPr>
        <w:t xml:space="preserve">aplicable a todo asegurado, sea o no consumidor, en su condición de destinatario específico de la protección de la LCS. Exige el destacado formal y la aceptación específica de las cláusulas limitativas.</w:t>
      </w:r>
    </w:p>
    <w:p>
      <w:pPr>
        <w:pStyle w:val="ListParagraph"/>
        <w:numPr>
          <w:ilvl w:val="0"/>
          <w:numId w:val="2"/>
        </w:numPr>
        <w:spacing w:after="100" w:line="290"/>
      </w:pPr>
      <w:r>
        <w:rPr>
          <w:rFonts w:ascii="Archivo" w:cs="Archivo" w:eastAsia="Archivo" w:hAnsi="Archivo"/>
          <w:b/>
          <w:bCs/>
          <w:sz w:val="21"/>
          <w:szCs w:val="21"/>
        </w:rPr>
        <w:t xml:space="preserve">Control de transparencia material o cualificado (este capítulo): </w:t>
      </w:r>
      <w:r>
        <w:rPr>
          <w:rFonts w:ascii="Archivo" w:cs="Archivo" w:eastAsia="Archivo" w:hAnsi="Archivo"/>
          <w:sz w:val="21"/>
          <w:szCs w:val="21"/>
        </w:rPr>
        <w:t xml:space="preserve">reservado a los consumidores. Examina si la cláusula, aunque gramaticalmente comprensible, permite al adherente medio conocer la carga económica y jurídica real que le impone, sin alterar de forma inadvertida el equilibrio del contrato.</w:t>
      </w:r>
    </w:p>
    <w:p>
      <w:pPr>
        <w:pStyle w:val="ListParagraph"/>
        <w:numPr>
          <w:ilvl w:val="0"/>
          <w:numId w:val="2"/>
        </w:numPr>
        <w:spacing w:after="100" w:line="290"/>
      </w:pPr>
      <w:r>
        <w:rPr>
          <w:rFonts w:ascii="Archivo" w:cs="Archivo" w:eastAsia="Archivo" w:hAnsi="Archivo"/>
          <w:b/>
          <w:bCs/>
          <w:sz w:val="21"/>
          <w:szCs w:val="21"/>
        </w:rPr>
        <w:t xml:space="preserve">Control de contenido o de abusividad en sentido estricto (arts. 82 y siguientes TRLGDCU): </w:t>
      </w:r>
      <w:r>
        <w:rPr>
          <w:rFonts w:ascii="Archivo" w:cs="Archivo" w:eastAsia="Archivo" w:hAnsi="Archivo"/>
          <w:sz w:val="21"/>
          <w:szCs w:val="21"/>
        </w:rPr>
        <w:t xml:space="preserve">igualmente reservado a los consumidores. Examina si la cláusula, con independencia de su transparencia, genera un desequilibrio importante e injustificado en perjuicio del consumidor.</w:t>
      </w:r>
    </w:p>
    <w:p>
      <w:pPr>
        <w:pStyle w:val="Heading2"/>
        <w:spacing w:after="160" w:before="400"/>
      </w:pPr>
      <w:r>
        <w:rPr>
          <w:rFonts w:ascii="Fraunces" w:cs="Fraunces" w:eastAsia="Fraunces" w:hAnsi="Fraunces"/>
          <w:b/>
          <w:bCs/>
          <w:color w:val="0A2540"/>
          <w:sz w:val="24"/>
          <w:szCs w:val="24"/>
        </w:rPr>
        <w:t xml:space="preserve">21.3. El concepto legal de cláusula abusiva y su relación con el art. 3 LCS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82.1 TRLGDCU</w:t>
            </w:r>
          </w:p>
          <w:p>
            <w:pPr>
              <w:spacing w:after="0" w:line="280"/>
              <w:jc w:val="both"/>
            </w:pPr>
            <w:r>
              <w:rPr>
                <w:rFonts w:ascii="IBM Plex Mono" w:cs="IBM Plex Mono" w:eastAsia="IBM Plex Mono" w:hAnsi="IBM Plex Mono"/>
                <w:i/>
                <w:iCs/>
                <w:color w:val="0A2540"/>
                <w:sz w:val="18"/>
                <w:szCs w:val="18"/>
              </w:rPr>
              <w:t xml:space="preserve">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tc>
      </w:tr>
    </w:tbl>
    <w:p>
      <w:pPr>
        <w:spacing w:after="180" w:line="300"/>
        <w:jc w:val="both"/>
      </w:pPr>
      <w:r>
        <w:rPr>
          <w:rFonts w:ascii="Archivo" w:cs="Archivo" w:eastAsia="Archivo" w:hAnsi="Archivo"/>
          <w:sz w:val="21"/>
          <w:szCs w:val="21"/>
        </w:rPr>
        <w:t xml:space="preserve">La superposición conceptual con la categoría de las cláusulas lesivas del art. 3 LCS, ya estudiada en el capítulo 1, es evidente y no casual: ambas normas protegen, desde perspectivas complementarias, frente al mismo fenómeno de desequilibrio contractual injustificado. La diferencia práctica relevante es de origen y de alcance: la cláusula lesiva del art. 3 LCS protege a todo asegurado, consumidor o no, mientras que la cláusula abusiva del TRLGDCU exige específicamente la condición de consumidor del tomador, pero ofrece a cambio un catálogo mucho más detallado y casuístico de supuestos de abusividad (arts. 85 a 90 TRLGDCU) que puede resultar de aplicación directa a cláusulas concretas del seguro de hogar —por ejemplo, las que atribuyen a la aseguradora la facultad unilateral de interpretar el contrato, o las que imponen al consumidor cargas probatorias desproporcionadas—, con independencia de que superen o no, individualmente, el test de lesividad del art. 3 LCS.</w:t>
      </w:r>
    </w:p>
    <w:p>
      <w:pPr>
        <w:spacing w:after="180" w:line="300"/>
        <w:jc w:val="both"/>
      </w:pPr>
      <w:r>
        <w:rPr>
          <w:rFonts w:ascii="Archivo" w:cs="Archivo" w:eastAsia="Archivo" w:hAnsi="Archivo"/>
          <w:sz w:val="21"/>
          <w:szCs w:val="21"/>
        </w:rPr>
        <w:t xml:space="preserve">El artículo 80 TRLGDCU añade, además, exigencias formales de concreción, claridad, accesibilidad y legibilidad —incluyendo, desde la reforma de 2022, un umbral mínimo de tamaño de letra y de interlineado— que complementan, sin sustituir, las exigencias específicas del art. 3 LCS sobre destacado de las cláusulas limitativas.</w:t>
      </w:r>
    </w:p>
    <w:p>
      <w:pPr>
        <w:pStyle w:val="Heading2"/>
        <w:spacing w:after="160" w:before="400"/>
      </w:pPr>
      <w:r>
        <w:rPr>
          <w:rFonts w:ascii="Fraunces" w:cs="Fraunces" w:eastAsia="Fraunces" w:hAnsi="Fraunces"/>
          <w:b/>
          <w:bCs/>
          <w:color w:val="0A2540"/>
          <w:sz w:val="24"/>
          <w:szCs w:val="24"/>
        </w:rPr>
        <w:t xml:space="preserve">21.4. Consecuencias de la abusividad: nulidad y subsistencia del contrato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Texto legal · Art. 83 TRLGDCU</w:t>
            </w:r>
          </w:p>
          <w:p>
            <w:pPr>
              <w:spacing w:after="0" w:line="280"/>
              <w:jc w:val="both"/>
            </w:pPr>
            <w:r>
              <w:rPr>
                <w:rFonts w:ascii="IBM Plex Mono" w:cs="IBM Plex Mono" w:eastAsia="IBM Plex Mono" w:hAnsi="IBM Plex Mono"/>
                <w:i/>
                <w:iCs/>
                <w:color w:val="0A2540"/>
                <w:sz w:val="18"/>
                <w:szCs w:val="18"/>
              </w:rPr>
              <w:t xml:space="preserve">Las cláusulas abusivas serán nulas de pleno derecho y se tendrán por no puestas. A estos efectos, el Juez, previa audiencia de las partes, declarará la nulidad de las cláusulas abusivas incluidas en el contrato, el cual, no obstante, seguirá siendo obligatorio para las partes en los mismos términos, siempre que pueda subsistir sin dichas cláusulas. Las condiciones incorporadas de modo no transparente en los contratos en perjuicio de los consumidores serán nulas de pleno derecho.</w:t>
            </w:r>
          </w:p>
        </w:tc>
      </w:tr>
    </w:tbl>
    <w:p>
      <w:pPr>
        <w:spacing w:after="180" w:line="300"/>
        <w:jc w:val="both"/>
      </w:pPr>
      <w:r>
        <w:rPr>
          <w:rFonts w:ascii="Archivo" w:cs="Archivo" w:eastAsia="Archivo" w:hAnsi="Archivo"/>
          <w:sz w:val="21"/>
          <w:szCs w:val="21"/>
        </w:rPr>
        <w:t xml:space="preserve">La consecuencia de la abusividad —nulidad de pleno derecho y tenerla por no puesta, con subsistencia del resto del contrato— es más severa que la de la mera inoponibilidad de las cláusulas limitativas mal incorporadas conforme al art. 3 LCS: mientras que estas últimas simplemente no vinculan al asegurado (que puede, en la práctica, beneficiarse de la cobertura sin la restricción indebidamente impuesta), la cláusula declarada abusiva desaparece del contrato con efecto retroactivo y sin posibilidad de moderación o integración judicial que perjudique al consumidor, conforme a la reiterada jurisprudencia del Tribunal de Justicia de la Unión Europea sobre la Directiva 93/13/CEE, cuya transposición constituye el TRLGDCU.</w:t>
      </w:r>
    </w:p>
    <w:p>
      <w:pPr>
        <w:pStyle w:val="Heading2"/>
        <w:spacing w:after="160" w:before="400"/>
      </w:pPr>
      <w:r>
        <w:rPr>
          <w:rFonts w:ascii="Fraunces" w:cs="Fraunces" w:eastAsia="Fraunces" w:hAnsi="Fraunces"/>
          <w:b/>
          <w:bCs/>
          <w:color w:val="0A2540"/>
          <w:sz w:val="24"/>
          <w:szCs w:val="24"/>
        </w:rPr>
        <w:t xml:space="preserve">21.5. Ficha para el profesional</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Metodología de control de una cláusula cuando el tomador es consumidor</w:t>
            </w:r>
          </w:p>
          <w:p>
            <w:pPr>
              <w:pStyle w:val="ListParagraph"/>
              <w:numPr>
                <w:ilvl w:val="0"/>
                <w:numId w:val="2"/>
              </w:numPr>
              <w:spacing w:after="80" w:line="280"/>
            </w:pPr>
            <w:r>
              <w:rPr>
                <w:rFonts w:ascii="Archivo" w:cs="Archivo" w:eastAsia="Archivo" w:hAnsi="Archivo"/>
                <w:sz w:val="19"/>
                <w:szCs w:val="19"/>
              </w:rPr>
              <w:t xml:space="preserve">Verificar en primer lugar la condición de consumidor del tomador concreto, sin darla por supuesta automáticamente.</w:t>
            </w:r>
          </w:p>
          <w:p>
            <w:pPr>
              <w:pStyle w:val="ListParagraph"/>
              <w:numPr>
                <w:ilvl w:val="0"/>
                <w:numId w:val="2"/>
              </w:numPr>
              <w:spacing w:after="80" w:line="280"/>
            </w:pPr>
            <w:r>
              <w:rPr>
                <w:rFonts w:ascii="Archivo" w:cs="Archivo" w:eastAsia="Archivo" w:hAnsi="Archivo"/>
                <w:sz w:val="19"/>
                <w:szCs w:val="19"/>
              </w:rPr>
              <w:t xml:space="preserve">Recorrer los cuatro niveles de control en el orden lógico expuesto: incorporación, art. 3 LCS, transparencia material y contenido/abusividad, conforme a la STS 2550/2016 (ROJ: STS 2550/2016).</w:t>
            </w:r>
          </w:p>
          <w:p>
            <w:pPr>
              <w:pStyle w:val="ListParagraph"/>
              <w:numPr>
                <w:ilvl w:val="0"/>
                <w:numId w:val="2"/>
              </w:numPr>
              <w:spacing w:after="80" w:line="280"/>
            </w:pPr>
            <w:r>
              <w:rPr>
                <w:rFonts w:ascii="Archivo" w:cs="Archivo" w:eastAsia="Archivo" w:hAnsi="Archivo"/>
                <w:sz w:val="19"/>
                <w:szCs w:val="19"/>
              </w:rPr>
              <w:t xml:space="preserve">Cotejar la cláusula controvertida con el catálogo casuístico de los arts. 85 a 90 TRLGDCU, que puede fundar su abusividad con independencia del resultado del test de lesividad del art. 3 LCS.</w:t>
            </w:r>
          </w:p>
          <w:p>
            <w:pPr>
              <w:pStyle w:val="ListParagraph"/>
              <w:numPr>
                <w:ilvl w:val="0"/>
                <w:numId w:val="2"/>
              </w:numPr>
              <w:spacing w:after="80" w:line="280"/>
            </w:pPr>
            <w:r>
              <w:rPr>
                <w:rFonts w:ascii="Archivo" w:cs="Archivo" w:eastAsia="Archivo" w:hAnsi="Archivo"/>
                <w:sz w:val="19"/>
                <w:szCs w:val="19"/>
              </w:rPr>
              <w:t xml:space="preserve">Recordar que la declaración de abusividad no admite integración judicial en perjuicio del consumidor: la cláusula desaparece sin más, no se sustituye por una versión moderada.</w:t>
            </w:r>
          </w:p>
        </w:tc>
      </w:tr>
    </w:tbl>
    <w:p>
      <w:pPr>
        <w:pStyle w:val="Heading2"/>
        <w:spacing w:after="160" w:before="400"/>
      </w:pPr>
      <w:r>
        <w:rPr>
          <w:rFonts w:ascii="Fraunces" w:cs="Fraunces" w:eastAsia="Fraunces" w:hAnsi="Fraunces"/>
          <w:b/>
          <w:bCs/>
          <w:color w:val="0A2540"/>
          <w:sz w:val="24"/>
          <w:szCs w:val="24"/>
        </w:rPr>
        <w:t xml:space="preserve">21.6. Ficha para el asegurado</w:t>
      </w: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Qué protección adicional tiene como consumidor</w:t>
            </w:r>
          </w:p>
          <w:p>
            <w:pPr>
              <w:pStyle w:val="ListParagraph"/>
              <w:numPr>
                <w:ilvl w:val="0"/>
                <w:numId w:val="2"/>
              </w:numPr>
              <w:spacing w:after="80" w:line="280"/>
            </w:pPr>
            <w:r>
              <w:rPr>
                <w:rFonts w:ascii="Archivo" w:cs="Archivo" w:eastAsia="Archivo" w:hAnsi="Archivo"/>
                <w:sz w:val="19"/>
                <w:szCs w:val="19"/>
              </w:rPr>
              <w:t xml:space="preserve">Si contrató su seguro de hogar como particular, para su vivienda, es usted consumidor a efectos legales y tiene una protección reforzada frente a cláusulas abusivas, además de la protección general de la Ley de Contrato de Seguro.</w:t>
            </w:r>
          </w:p>
          <w:p>
            <w:pPr>
              <w:pStyle w:val="ListParagraph"/>
              <w:numPr>
                <w:ilvl w:val="0"/>
                <w:numId w:val="2"/>
              </w:numPr>
              <w:spacing w:after="80" w:line="280"/>
            </w:pPr>
            <w:r>
              <w:rPr>
                <w:rFonts w:ascii="Archivo" w:cs="Archivo" w:eastAsia="Archivo" w:hAnsi="Archivo"/>
                <w:sz w:val="19"/>
                <w:szCs w:val="19"/>
              </w:rPr>
              <w:t xml:space="preserve">Una cláusula puede ser válida conforme al art. 3 LCS y, aun así, ser abusiva y nula si le genera un desequilibrio injustificado como consumidor.</w:t>
            </w:r>
          </w:p>
          <w:p>
            <w:pPr>
              <w:pStyle w:val="ListParagraph"/>
              <w:numPr>
                <w:ilvl w:val="0"/>
                <w:numId w:val="2"/>
              </w:numPr>
              <w:spacing w:after="80" w:line="280"/>
            </w:pPr>
            <w:r>
              <w:rPr>
                <w:rFonts w:ascii="Archivo" w:cs="Archivo" w:eastAsia="Archivo" w:hAnsi="Archivo"/>
                <w:sz w:val="19"/>
                <w:szCs w:val="19"/>
              </w:rPr>
              <w:t xml:space="preserve">Si una cláusula se declara abusiva, desaparece del contrato, pero el resto de su póliza sigue siendo válido.</w:t>
            </w:r>
          </w:p>
        </w:tc>
      </w:tr>
    </w:tbl>
    <w:p>
      <w:pPr>
        <w:pStyle w:val="Heading2"/>
        <w:spacing w:after="160" w:before="400"/>
      </w:pPr>
      <w:r>
        <w:rPr>
          <w:rFonts w:ascii="Fraunces" w:cs="Fraunces" w:eastAsia="Fraunces" w:hAnsi="Fraunces"/>
          <w:b/>
          <w:bCs/>
          <w:color w:val="0A2540"/>
          <w:sz w:val="24"/>
          <w:szCs w:val="24"/>
        </w:rPr>
        <w:t xml:space="preserve">21.7. Checklist: análisis de una cláusula desde la perspectiva de consumo</w:t>
      </w:r>
    </w:p>
    <w:p>
      <w:pPr>
        <w:pStyle w:val="ListParagraph"/>
        <w:numPr>
          <w:ilvl w:val="0"/>
          <w:numId w:val="2"/>
        </w:numPr>
        <w:spacing w:after="100" w:line="290"/>
      </w:pPr>
      <w:r>
        <w:rPr>
          <w:rFonts w:ascii="Archivo" w:cs="Archivo" w:eastAsia="Archivo" w:hAnsi="Archivo"/>
          <w:sz w:val="21"/>
          <w:szCs w:val="21"/>
        </w:rPr>
        <w:t xml:space="preserve">1. ¿Ostenta el tomador la condición de consumidor en esta contratación concreta?</w:t>
      </w:r>
    </w:p>
    <w:p>
      <w:pPr>
        <w:pStyle w:val="ListParagraph"/>
        <w:numPr>
          <w:ilvl w:val="0"/>
          <w:numId w:val="2"/>
        </w:numPr>
        <w:spacing w:after="100" w:line="290"/>
      </w:pPr>
      <w:r>
        <w:rPr>
          <w:rFonts w:ascii="Archivo" w:cs="Archivo" w:eastAsia="Archivo" w:hAnsi="Archivo"/>
          <w:sz w:val="21"/>
          <w:szCs w:val="21"/>
        </w:rPr>
        <w:t xml:space="preserve">2. ¿Ha superado la cláusula el control de incorporación y el específico del art. 3 LCS?</w:t>
      </w:r>
    </w:p>
    <w:p>
      <w:pPr>
        <w:pStyle w:val="ListParagraph"/>
        <w:numPr>
          <w:ilvl w:val="0"/>
          <w:numId w:val="2"/>
        </w:numPr>
        <w:spacing w:after="100" w:line="290"/>
      </w:pPr>
      <w:r>
        <w:rPr>
          <w:rFonts w:ascii="Archivo" w:cs="Archivo" w:eastAsia="Archivo" w:hAnsi="Archivo"/>
          <w:sz w:val="21"/>
          <w:szCs w:val="21"/>
        </w:rPr>
        <w:t xml:space="preserve">3. ¿Permite la cláusula al consumidor medio conocer la carga económica y jurídica real que le impone (control de transparencia material)?</w:t>
      </w:r>
    </w:p>
    <w:p>
      <w:pPr>
        <w:pStyle w:val="ListParagraph"/>
        <w:numPr>
          <w:ilvl w:val="0"/>
          <w:numId w:val="2"/>
        </w:numPr>
        <w:spacing w:after="100" w:line="290"/>
      </w:pPr>
      <w:r>
        <w:rPr>
          <w:rFonts w:ascii="Archivo" w:cs="Archivo" w:eastAsia="Archivo" w:hAnsi="Archivo"/>
          <w:sz w:val="21"/>
          <w:szCs w:val="21"/>
        </w:rPr>
        <w:t xml:space="preserve">4. ¿Genera la cláusula un desequilibrio importante e injustificado en perjuicio del consumidor (art. 82 TRLGDCU)?</w:t>
      </w:r>
    </w:p>
    <w:p>
      <w:pPr>
        <w:pStyle w:val="ListParagraph"/>
        <w:numPr>
          <w:ilvl w:val="0"/>
          <w:numId w:val="2"/>
        </w:numPr>
        <w:spacing w:after="100" w:line="290"/>
      </w:pPr>
      <w:r>
        <w:rPr>
          <w:rFonts w:ascii="Archivo" w:cs="Archivo" w:eastAsia="Archivo" w:hAnsi="Archivo"/>
          <w:sz w:val="21"/>
          <w:szCs w:val="21"/>
        </w:rPr>
        <w:t xml:space="preserve">5. ¿Encaja la cláusula en alguno de los supuestos del catálogo de los arts. 85 a 90 TRLGDCU?</w:t>
      </w:r>
    </w:p>
    <w:p>
      <w:pPr>
        <w:pStyle w:val="ListParagraph"/>
        <w:numPr>
          <w:ilvl w:val="0"/>
          <w:numId w:val="2"/>
        </w:numPr>
        <w:spacing w:after="100" w:line="290"/>
      </w:pPr>
      <w:r>
        <w:rPr>
          <w:rFonts w:ascii="Archivo" w:cs="Archivo" w:eastAsia="Archivo" w:hAnsi="Archivo"/>
          <w:sz w:val="21"/>
          <w:szCs w:val="21"/>
        </w:rPr>
        <w:t xml:space="preserve">6. ¿Puede el contrato subsistir sin la cláusula declarada abusiva?</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VEIGA COPO, A. B., Condiciones generales y particulares en el contrato de seguro, Civitas-Thomson Reuters, Cizur Menor.</w:t>
      </w:r>
    </w:p>
    <w:p>
      <w:pPr>
        <w:pStyle w:val="Heading1"/>
        <w:pageBreakBefore/>
        <w:spacing w:after="300" w:before="200"/>
      </w:pPr>
      <w:r>
        <w:rPr>
          <w:rFonts w:ascii="Archivo" w:cs="Archivo" w:eastAsia="Archivo" w:hAnsi="Archivo"/>
          <w:b/>
          <w:bCs/>
          <w:color w:val="1B6DF0"/>
          <w:sz w:val="22"/>
          <w:szCs w:val="22"/>
        </w:rPr>
        <w:t xml:space="preserve">Capítulo 26. </w:t>
      </w:r>
      <w:r>
        <w:rPr>
          <w:rFonts w:ascii="Fraunces" w:cs="Fraunces" w:eastAsia="Fraunces" w:hAnsi="Fraunces"/>
          <w:b/>
          <w:bCs/>
          <w:color w:val="0A2540"/>
          <w:sz w:val="30"/>
          <w:szCs w:val="30"/>
        </w:rPr>
        <w:t xml:space="preserve">Jurisprudencia sistematizada: líneas jurisprudenciales por materia</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26.1. Cláusulas delimitadoras, limitativas y lesivas (art. 3 LCS)</w:t>
            </w:r>
          </w:p>
          <w:p>
            <w:pPr>
              <w:spacing w:after="40" w:line="260"/>
            </w:pPr>
            <w:r>
              <w:rPr>
                <w:rFonts w:ascii="Archivo" w:cs="Archivo" w:eastAsia="Archivo" w:hAnsi="Archivo"/>
                <w:sz w:val="18"/>
                <w:szCs w:val="18"/>
              </w:rPr>
              <w:t xml:space="preserve">26.2. Deber de declaración e incorporación de condiciones</w:t>
            </w:r>
          </w:p>
          <w:p>
            <w:pPr>
              <w:spacing w:after="40" w:line="260"/>
            </w:pPr>
            <w:r>
              <w:rPr>
                <w:rFonts w:ascii="Archivo" w:cs="Archivo" w:eastAsia="Archivo" w:hAnsi="Archivo"/>
                <w:sz w:val="18"/>
                <w:szCs w:val="18"/>
              </w:rPr>
              <w:t xml:space="preserve">26.3. Daños por agua y falta de mantenimiento</w:t>
            </w:r>
          </w:p>
          <w:p>
            <w:pPr>
              <w:spacing w:after="40" w:line="260"/>
            </w:pPr>
            <w:r>
              <w:rPr>
                <w:rFonts w:ascii="Archivo" w:cs="Archivo" w:eastAsia="Archivo" w:hAnsi="Archivo"/>
                <w:sz w:val="18"/>
                <w:szCs w:val="18"/>
              </w:rPr>
              <w:t xml:space="preserve">26.4. Robo y responsabilidad civil: umbrales de negligencia y dolo</w:t>
            </w:r>
          </w:p>
          <w:p>
            <w:pPr>
              <w:spacing w:after="40" w:line="260"/>
            </w:pPr>
            <w:r>
              <w:rPr>
                <w:rFonts w:ascii="Archivo" w:cs="Archivo" w:eastAsia="Archivo" w:hAnsi="Archivo"/>
                <w:sz w:val="18"/>
                <w:szCs w:val="18"/>
              </w:rPr>
              <w:t xml:space="preserve">26.5. Defensa jurídica y libre elección de profesional</w:t>
            </w:r>
          </w:p>
          <w:p>
            <w:pPr>
              <w:spacing w:after="40" w:line="260"/>
            </w:pPr>
            <w:r>
              <w:rPr>
                <w:rFonts w:ascii="Archivo" w:cs="Archivo" w:eastAsia="Archivo" w:hAnsi="Archivo"/>
                <w:sz w:val="18"/>
                <w:szCs w:val="18"/>
              </w:rPr>
              <w:t xml:space="preserve">26.6. Peritación, infraseguro y regla proporcional</w:t>
            </w:r>
          </w:p>
          <w:p>
            <w:pPr>
              <w:spacing w:after="40" w:line="260"/>
            </w:pPr>
            <w:r>
              <w:rPr>
                <w:rFonts w:ascii="Archivo" w:cs="Archivo" w:eastAsia="Archivo" w:hAnsi="Archivo"/>
                <w:sz w:val="18"/>
                <w:szCs w:val="18"/>
              </w:rPr>
              <w:t xml:space="preserve">26.7. Mora del asegurador e intereses del art. 20 LCS</w:t>
            </w:r>
          </w:p>
          <w:p>
            <w:pPr>
              <w:spacing w:after="40" w:line="260"/>
            </w:pPr>
            <w:r>
              <w:rPr>
                <w:rFonts w:ascii="Archivo" w:cs="Archivo" w:eastAsia="Archivo" w:hAnsi="Archivo"/>
                <w:sz w:val="18"/>
                <w:szCs w:val="18"/>
              </w:rPr>
              <w:t xml:space="preserve">26.8. Prescripción y concurrencia de seguros</w:t>
            </w:r>
          </w:p>
          <w:p>
            <w:pPr>
              <w:spacing w:after="40" w:line="260"/>
            </w:pPr>
            <w:r>
              <w:rPr>
                <w:rFonts w:ascii="Archivo" w:cs="Archivo" w:eastAsia="Archivo" w:hAnsi="Archivo"/>
                <w:sz w:val="18"/>
                <w:szCs w:val="18"/>
              </w:rPr>
              <w:t xml:space="preserve">26.9. Cómo usar este índice jurisprudencial</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cierra la Parte IV con un índice jurisprudencial razonado que reagrupa, por líneas temáticas y no por orden de aparición en la obra, todas las resoluciones del Tribunal Supremo y de Audiencias Provinciales citadas y verificadas a lo largo del libro, con indicación de su doctrina esencial y del capítulo en el que se desarrolla con detalle. Su función es puramente instrumental: permitir al profesional localizar en segundos el precedente aplicable a un problema concreto sin necesidad de recorrer el índice general de la obra.</w:t>
            </w:r>
          </w:p>
          <w:p>
            <w:pPr>
              <w:spacing w:after="160"/>
            </w:pPr>
            <w:r>
              <w:rPr>
                <w:rFonts w:ascii="Archivo" w:cs="Archivo" w:eastAsia="Archivo" w:hAnsi="Archivo"/>
                <w:b/>
                <w:bCs/>
                <w:sz w:val="17"/>
                <w:szCs w:val="17"/>
              </w:rPr>
              <w:t xml:space="preserve">Palabras clave: índice jurisprudencial, líneas jurisprudenciales, sistematización, doctrina del Tribunal Supremo.</w:t>
            </w:r>
          </w:p>
          <w:p>
            <w:pPr>
              <w:spacing w:after="100"/>
              <w:jc w:val="both"/>
            </w:pPr>
            <w:r>
              <w:rPr>
                <w:rFonts w:ascii="Archivo" w:cs="Archivo" w:eastAsia="Archivo" w:hAnsi="Archivo"/>
                <w:i/>
                <w:iCs/>
                <w:sz w:val="18"/>
                <w:szCs w:val="18"/>
              </w:rPr>
              <w:t xml:space="preserve">This chapter closes Part IV with a reasoned case-law index that regroups, by subject-matter line rather than order of appearance, every Supreme Court and provincial appellate court ruling cited and verified throughout the book, noting its essential holding and the chapter where it is developed in detail. Its function is purely instrumental: to let the practitioner locate the applicable precedent for a specific problem within seconds.</w:t>
            </w:r>
          </w:p>
          <w:p>
            <w:pPr>
              <w:spacing w:after="0"/>
            </w:pPr>
            <w:r>
              <w:rPr>
                <w:rFonts w:ascii="Archivo" w:cs="Archivo" w:eastAsia="Archivo" w:hAnsi="Archivo"/>
                <w:b/>
                <w:bCs/>
                <w:sz w:val="17"/>
                <w:szCs w:val="17"/>
              </w:rPr>
              <w:t xml:space="preserve">Keywords: case-law index, jurisprudential lines, systematisation, Supreme Court doctrine.</w:t>
            </w:r>
          </w:p>
        </w:tc>
      </w:tr>
    </w:tbl>
    <w:p>
      <w:pPr>
        <w:spacing w:after="200"/>
      </w:pPr>
    </w:p>
    <w:p>
      <w:pPr>
        <w:spacing w:after="180" w:line="300"/>
        <w:jc w:val="both"/>
      </w:pPr>
      <w:r>
        <w:rPr>
          <w:rFonts w:ascii="Archivo" w:cs="Archivo" w:eastAsia="Archivo" w:hAnsi="Archivo"/>
          <w:sz w:val="21"/>
          <w:szCs w:val="21"/>
        </w:rPr>
        <w:t xml:space="preserve">Todas las resoluciones que siguen han sido obtenidas y verificadas contra la fuente oficial (CENDOJ/BOE) a lo largo de la redacción de esta obra; se identifican por su ROJ y ECLI para permitir su localización y cita directa en cualquier escrito profesional. La remisión «capítulo N» indica dónde se desarrolla su doctrina con el contexto, la cita literal completa y el análisis práctico correspondiente.</w:t>
      </w:r>
    </w:p>
    <w:p>
      <w:pPr>
        <w:pStyle w:val="Heading3"/>
        <w:spacing w:after="120" w:before="280"/>
      </w:pPr>
      <w:r>
        <w:rPr>
          <w:rFonts w:ascii="Archivo" w:cs="Archivo" w:eastAsia="Archivo" w:hAnsi="Archivo"/>
          <w:b/>
          <w:bCs/>
          <w:color w:val="1B6DF0"/>
          <w:sz w:val="21"/>
          <w:szCs w:val="21"/>
        </w:rPr>
        <w:t xml:space="preserve">26.1. Cláusulas delimitadoras, limitativas y lesivas (art. 3 LCS)</w:t>
      </w:r>
    </w:p>
    <w:p>
      <w:pPr>
        <w:spacing w:after="180" w:line="300"/>
        <w:jc w:val="both"/>
      </w:pPr>
      <w:r>
        <w:rPr>
          <w:rFonts w:ascii="Archivo" w:cs="Archivo" w:eastAsia="Archivo" w:hAnsi="Archivo"/>
          <w:sz w:val="21"/>
          <w:szCs w:val="21"/>
        </w:rPr>
        <w:t xml:space="preserve">El eje doctrinal más citado de toda la obra: la distinción entre cláusulas que concretan el objeto del contrato y cláusulas que, una vez nacido el derecho a la prestación, lo restringen.</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Resoluciones de referencia</w:t>
            </w:r>
          </w:p>
          <w:p>
            <w:pPr>
              <w:spacing w:after="180" w:line="300"/>
              <w:jc w:val="both"/>
            </w:pPr>
            <w:r>
              <w:rPr>
                <w:rFonts w:ascii="Archivo" w:cs="Archivo" w:eastAsia="Archivo" w:hAnsi="Archivo"/>
                <w:b/>
                <w:bCs/>
                <w:sz w:val="21"/>
                <w:szCs w:val="21"/>
              </w:rPr>
              <w:t xml:space="preserve">STS (Pleno) 853/2006, de 11 de septiembre: </w:t>
            </w:r>
            <w:r>
              <w:rPr>
                <w:rFonts w:ascii="Archivo" w:cs="Archivo" w:eastAsia="Archivo" w:hAnsi="Archivo"/>
                <w:sz w:val="21"/>
                <w:szCs w:val="21"/>
              </w:rPr>
              <w:t xml:space="preserve">Sentencia matriz que fija los criterios distintivos entre cláusulas delimitadoras y limitativas (capítulo 1). </w:t>
            </w:r>
          </w:p>
          <w:p>
            <w:pPr>
              <w:spacing w:after="180" w:line="300"/>
              <w:jc w:val="both"/>
            </w:pPr>
            <w:r>
              <w:rPr>
                <w:rFonts w:ascii="Archivo" w:cs="Archivo" w:eastAsia="Archivo" w:hAnsi="Archivo"/>
                <w:b/>
                <w:bCs/>
                <w:sz w:val="21"/>
                <w:szCs w:val="21"/>
              </w:rPr>
              <w:t xml:space="preserve">STS de 3/10/2023 (ROJ: STS 3996/2023): </w:t>
            </w:r>
            <w:r>
              <w:rPr>
                <w:rFonts w:ascii="Archivo" w:cs="Archivo" w:eastAsia="Archivo" w:hAnsi="Archivo"/>
                <w:sz w:val="21"/>
                <w:szCs w:val="21"/>
              </w:rPr>
              <w:t xml:space="preserve">Resume y actualiza la doctrina de 2006; criterio del contenido natural del contrato y de la cláusula sorpresiva (capítulo 1). </w:t>
            </w:r>
          </w:p>
          <w:p>
            <w:pPr>
              <w:spacing w:after="180" w:line="300"/>
              <w:jc w:val="both"/>
            </w:pPr>
            <w:r>
              <w:rPr>
                <w:rFonts w:ascii="Archivo" w:cs="Archivo" w:eastAsia="Archivo" w:hAnsi="Archivo"/>
                <w:b/>
                <w:bCs/>
                <w:sz w:val="21"/>
                <w:szCs w:val="21"/>
              </w:rPr>
              <w:t xml:space="preserve">STS de 21/4/2025 (ROJ: STS 1751/2025): </w:t>
            </w:r>
            <w:r>
              <w:rPr>
                <w:rFonts w:ascii="Archivo" w:cs="Archivo" w:eastAsia="Archivo" w:hAnsi="Archivo"/>
                <w:sz w:val="21"/>
                <w:szCs w:val="21"/>
              </w:rPr>
              <w:t xml:space="preserve">Reitera el criterio de la cláusula sorpresiva como indicio de limitatividad (capítulo 1). </w:t>
            </w:r>
          </w:p>
          <w:p>
            <w:pPr>
              <w:spacing w:after="180" w:line="300"/>
              <w:jc w:val="both"/>
            </w:pPr>
            <w:r>
              <w:rPr>
                <w:rFonts w:ascii="Archivo" w:cs="Archivo" w:eastAsia="Archivo" w:hAnsi="Archivo"/>
                <w:b/>
                <w:bCs/>
                <w:sz w:val="21"/>
                <w:szCs w:val="21"/>
              </w:rPr>
              <w:t xml:space="preserve">STS de 6/7/2020 (ROJ: STS 2233/2020): </w:t>
            </w:r>
            <w:r>
              <w:rPr>
                <w:rFonts w:ascii="Archivo" w:cs="Archivo" w:eastAsia="Archivo" w:hAnsi="Archivo"/>
                <w:sz w:val="21"/>
                <w:szCs w:val="21"/>
              </w:rPr>
              <w:t xml:space="preserve">Aplicación al seguro de hogar: valorar el contenido por «valor real» sin cumplir el art. 3 LCS es cláusula limitativa (capítulos 1 y 11). </w:t>
            </w:r>
          </w:p>
          <w:p>
            <w:pPr>
              <w:spacing w:after="180" w:line="300"/>
              <w:jc w:val="both"/>
            </w:pPr>
            <w:r>
              <w:rPr>
                <w:rFonts w:ascii="Archivo" w:cs="Archivo" w:eastAsia="Archivo" w:hAnsi="Archivo"/>
                <w:b/>
                <w:bCs/>
                <w:sz w:val="21"/>
                <w:szCs w:val="21"/>
              </w:rPr>
              <w:t xml:space="preserve">STS de 2/3/2017 (ROJ: STS 732/2017): </w:t>
            </w:r>
            <w:r>
              <w:rPr>
                <w:rFonts w:ascii="Archivo" w:cs="Archivo" w:eastAsia="Archivo" w:hAnsi="Archivo"/>
                <w:sz w:val="21"/>
                <w:szCs w:val="21"/>
              </w:rPr>
              <w:t xml:space="preserve">Principio de transparencia y «insólito plus» restrictivo en cláusulas introductorias (capítulo 1). </w:t>
            </w:r>
          </w:p>
        </w:tc>
      </w:tr>
    </w:tbl>
    <w:p>
      <w:pPr>
        <w:spacing w:after="180"/>
      </w:pPr>
    </w:p>
    <w:p>
      <w:pPr>
        <w:pStyle w:val="Heading3"/>
        <w:spacing w:after="120" w:before="280"/>
      </w:pPr>
      <w:r>
        <w:rPr>
          <w:rFonts w:ascii="Archivo" w:cs="Archivo" w:eastAsia="Archivo" w:hAnsi="Archivo"/>
          <w:b/>
          <w:bCs/>
          <w:color w:val="1B6DF0"/>
          <w:sz w:val="21"/>
          <w:szCs w:val="21"/>
        </w:rPr>
        <w:t xml:space="preserve">26.2. Deber de declaración e incorporación de condiciones</w:t>
      </w:r>
    </w:p>
    <w:p>
      <w:pPr>
        <w:spacing w:after="180" w:line="300"/>
        <w:jc w:val="both"/>
      </w:pPr>
      <w:r>
        <w:rPr>
          <w:rFonts w:ascii="Archivo" w:cs="Archivo" w:eastAsia="Archivo" w:hAnsi="Archivo"/>
          <w:sz w:val="21"/>
          <w:szCs w:val="21"/>
        </w:rPr>
        <w:t xml:space="preserve">El modelo de «declaración-cuestionario» del art. 10 LCS y el control de incorporación de las condiciones generales.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Resoluciones de referencia</w:t>
            </w:r>
          </w:p>
          <w:p>
            <w:pPr>
              <w:spacing w:after="180" w:line="300"/>
              <w:jc w:val="both"/>
            </w:pPr>
            <w:r>
              <w:rPr>
                <w:rFonts w:ascii="Archivo" w:cs="Archivo" w:eastAsia="Archivo" w:hAnsi="Archivo"/>
                <w:b/>
                <w:bCs/>
                <w:sz w:val="21"/>
                <w:szCs w:val="21"/>
              </w:rPr>
              <w:t xml:space="preserve">STS de 16/3/2016 (ROJ: STS 1208/2016): </w:t>
            </w:r>
            <w:r>
              <w:rPr>
                <w:rFonts w:ascii="Archivo" w:cs="Archivo" w:eastAsia="Archivo" w:hAnsi="Archivo"/>
                <w:sz w:val="21"/>
                <w:szCs w:val="21"/>
              </w:rPr>
              <w:t xml:space="preserve">El art. 10 LCS impone un deber de contestación, no de declaración espontánea (capítulo 4). </w:t>
            </w:r>
          </w:p>
          <w:p>
            <w:pPr>
              <w:spacing w:after="180" w:line="300"/>
              <w:jc w:val="both"/>
            </w:pPr>
            <w:r>
              <w:rPr>
                <w:rFonts w:ascii="Archivo" w:cs="Archivo" w:eastAsia="Archivo" w:hAnsi="Archivo"/>
                <w:b/>
                <w:bCs/>
                <w:sz w:val="21"/>
                <w:szCs w:val="21"/>
              </w:rPr>
              <w:t xml:space="preserve">STS de 1/3/2023 (ROJ: STS 671/2023): </w:t>
            </w:r>
            <w:r>
              <w:rPr>
                <w:rFonts w:ascii="Archivo" w:cs="Archivo" w:eastAsia="Archivo" w:hAnsi="Archivo"/>
                <w:sz w:val="21"/>
                <w:szCs w:val="21"/>
              </w:rPr>
              <w:t xml:space="preserve">La titularidad dominical acredita, por sí sola, el interés asegurable del art. 25 LCS (capítulo 2). </w:t>
            </w:r>
          </w:p>
          <w:p>
            <w:pPr>
              <w:spacing w:after="180" w:line="300"/>
              <w:jc w:val="both"/>
            </w:pPr>
            <w:r>
              <w:rPr>
                <w:rFonts w:ascii="Archivo" w:cs="Archivo" w:eastAsia="Archivo" w:hAnsi="Archivo"/>
                <w:b/>
                <w:bCs/>
                <w:sz w:val="21"/>
                <w:szCs w:val="21"/>
              </w:rPr>
              <w:t xml:space="preserve">STS de 24/4/2023 (ROJ: STS 1701/2023): </w:t>
            </w:r>
            <w:r>
              <w:rPr>
                <w:rFonts w:ascii="Archivo" w:cs="Archivo" w:eastAsia="Archivo" w:hAnsi="Archivo"/>
                <w:sz w:val="21"/>
                <w:szCs w:val="21"/>
              </w:rPr>
              <w:t xml:space="preserve">Falta de entrega de condiciones generales: la incertidumbre resultante perjudica a la aseguradora; interpretación contra proferentem (capítulos 5 y 6). </w:t>
            </w:r>
          </w:p>
          <w:p>
            <w:pPr>
              <w:spacing w:after="180" w:line="300"/>
              <w:jc w:val="both"/>
            </w:pPr>
            <w:r>
              <w:rPr>
                <w:rFonts w:ascii="Archivo" w:cs="Archivo" w:eastAsia="Archivo" w:hAnsi="Archivo"/>
                <w:b/>
                <w:bCs/>
                <w:sz w:val="21"/>
                <w:szCs w:val="21"/>
              </w:rPr>
              <w:t xml:space="preserve">STS de 7/2/2007 (ROJ: STS 696/2007): </w:t>
            </w:r>
            <w:r>
              <w:rPr>
                <w:rFonts w:ascii="Archivo" w:cs="Archivo" w:eastAsia="Archivo" w:hAnsi="Archivo"/>
                <w:sz w:val="21"/>
                <w:szCs w:val="21"/>
              </w:rPr>
              <w:t xml:space="preserve">Distinción entre agentes (vinculados) y corredores (independientes) de seguros a efectos del estándar de asesoramiento exigible (capítulo 3). </w:t>
            </w:r>
          </w:p>
        </w:tc>
      </w:tr>
    </w:tbl>
    <w:p>
      <w:pPr>
        <w:spacing w:after="180"/>
      </w:pPr>
    </w:p>
    <w:p>
      <w:pPr>
        <w:pStyle w:val="Heading3"/>
        <w:spacing w:after="120" w:before="280"/>
      </w:pPr>
      <w:r>
        <w:rPr>
          <w:rFonts w:ascii="Archivo" w:cs="Archivo" w:eastAsia="Archivo" w:hAnsi="Archivo"/>
          <w:b/>
          <w:bCs/>
          <w:color w:val="1B6DF0"/>
          <w:sz w:val="21"/>
          <w:szCs w:val="21"/>
        </w:rPr>
        <w:t xml:space="preserve">26.3. Daños por agua y falta de mantenimiento</w:t>
      </w:r>
    </w:p>
    <w:p>
      <w:pPr>
        <w:spacing w:after="180" w:line="300"/>
        <w:jc w:val="both"/>
      </w:pPr>
      <w:r>
        <w:rPr>
          <w:rFonts w:ascii="Archivo" w:cs="Archivo" w:eastAsia="Archivo" w:hAnsi="Archivo"/>
          <w:sz w:val="21"/>
          <w:szCs w:val="21"/>
        </w:rPr>
        <w:t xml:space="preserve">La cobertura más litigiosa del ramo, sin régimen legal propio, y su exclusión típica por desgaste o falta de conservación.</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Resoluciones de referencia</w:t>
            </w:r>
          </w:p>
          <w:p>
            <w:pPr>
              <w:spacing w:after="180" w:line="300"/>
              <w:jc w:val="both"/>
            </w:pPr>
            <w:r>
              <w:rPr>
                <w:rFonts w:ascii="Archivo" w:cs="Archivo" w:eastAsia="Archivo" w:hAnsi="Archivo"/>
                <w:b/>
                <w:bCs/>
                <w:sz w:val="21"/>
                <w:szCs w:val="21"/>
              </w:rPr>
              <w:t xml:space="preserve">SAP Valencia (Sección 5.ª) de 30/6/2021 (ROJ: SAP V 2845/2021): </w:t>
            </w:r>
            <w:r>
              <w:rPr>
                <w:rFonts w:ascii="Archivo" w:cs="Archivo" w:eastAsia="Archivo" w:hAnsi="Archivo"/>
                <w:sz w:val="21"/>
                <w:szCs w:val="21"/>
              </w:rPr>
              <w:t xml:space="preserve">La exclusión por falta de mantenimiento, clara y destacada, es delimitadora y no sorpresiva (capítulo 8). </w:t>
            </w:r>
          </w:p>
          <w:p>
            <w:pPr>
              <w:spacing w:after="180" w:line="300"/>
              <w:jc w:val="both"/>
            </w:pPr>
            <w:r>
              <w:rPr>
                <w:rFonts w:ascii="Archivo" w:cs="Archivo" w:eastAsia="Archivo" w:hAnsi="Archivo"/>
                <w:b/>
                <w:bCs/>
                <w:sz w:val="21"/>
                <w:szCs w:val="21"/>
              </w:rPr>
              <w:t xml:space="preserve">SAP Barcelona (Sección 1.ª) de 29/6/2018 (ROJ: SAP B 6782/2018): </w:t>
            </w:r>
            <w:r>
              <w:rPr>
                <w:rFonts w:ascii="Archivo" w:cs="Archivo" w:eastAsia="Archivo" w:hAnsi="Archivo"/>
                <w:sz w:val="21"/>
                <w:szCs w:val="21"/>
              </w:rPr>
              <w:t xml:space="preserve">La exclusión decae si el daño real obedece a un defecto constructivo de origen, no a falta de mantenimiento (capítulo 8). </w:t>
            </w:r>
          </w:p>
          <w:p>
            <w:pPr>
              <w:spacing w:after="180" w:line="300"/>
              <w:jc w:val="both"/>
            </w:pPr>
            <w:r>
              <w:rPr>
                <w:rFonts w:ascii="Archivo" w:cs="Archivo" w:eastAsia="Archivo" w:hAnsi="Archivo"/>
                <w:b/>
                <w:bCs/>
                <w:sz w:val="21"/>
                <w:szCs w:val="21"/>
              </w:rPr>
              <w:t xml:space="preserve">STS de 20/2/2019 (ROJ: STS 511/2019): </w:t>
            </w:r>
            <w:r>
              <w:rPr>
                <w:rFonts w:ascii="Archivo" w:cs="Archivo" w:eastAsia="Archivo" w:hAnsi="Archivo"/>
                <w:sz w:val="21"/>
                <w:szCs w:val="21"/>
              </w:rPr>
              <w:t xml:space="preserve">Daño continuado: el plazo de prescripción no corre hasta la consolidación del resultado (capítulo 8). </w:t>
            </w:r>
          </w:p>
          <w:p>
            <w:pPr>
              <w:spacing w:after="180" w:line="300"/>
              <w:jc w:val="both"/>
            </w:pPr>
            <w:r>
              <w:rPr>
                <w:rFonts w:ascii="Archivo" w:cs="Archivo" w:eastAsia="Archivo" w:hAnsi="Archivo"/>
                <w:b/>
                <w:bCs/>
                <w:sz w:val="21"/>
                <w:szCs w:val="21"/>
              </w:rPr>
              <w:t xml:space="preserve">STS de 25/3/2025 (ROJ: STS 1227/2025): </w:t>
            </w:r>
            <w:r>
              <w:rPr>
                <w:rFonts w:ascii="Archivo" w:cs="Archivo" w:eastAsia="Archivo" w:hAnsi="Archivo"/>
                <w:sz w:val="21"/>
                <w:szCs w:val="21"/>
              </w:rPr>
              <w:t xml:space="preserve">Concurrencia de seguros entre propietario y arrendatario: exige identidad de riesgo e interés, no solo de inmueble (capítulos 8 y 15). </w:t>
            </w:r>
          </w:p>
          <w:p>
            <w:pPr>
              <w:spacing w:after="180" w:line="300"/>
              <w:jc w:val="both"/>
            </w:pPr>
            <w:r>
              <w:rPr>
                <w:rFonts w:ascii="Archivo" w:cs="Archivo" w:eastAsia="Archivo" w:hAnsi="Archivo"/>
                <w:b/>
                <w:bCs/>
                <w:sz w:val="21"/>
                <w:szCs w:val="21"/>
              </w:rPr>
              <w:t xml:space="preserve">SAP Alicante (Sección 5.ª) de 12/5/2020 (ROJ: SAP A 614/2020): </w:t>
            </w:r>
            <w:r>
              <w:rPr>
                <w:rFonts w:ascii="Archivo" w:cs="Archivo" w:eastAsia="Archivo" w:hAnsi="Archivo"/>
                <w:sz w:val="21"/>
                <w:szCs w:val="21"/>
              </w:rPr>
              <w:t xml:space="preserve">Criterio de reposición uniforme para el daño estético cuando no existen materiales idénticos en el mercado (capítulo 12). </w:t>
            </w:r>
          </w:p>
        </w:tc>
      </w:tr>
    </w:tbl>
    <w:p>
      <w:pPr>
        <w:spacing w:after="180"/>
      </w:pPr>
    </w:p>
    <w:p>
      <w:pPr>
        <w:pStyle w:val="Heading3"/>
        <w:spacing w:after="120" w:before="280"/>
      </w:pPr>
      <w:r>
        <w:rPr>
          <w:rFonts w:ascii="Archivo" w:cs="Archivo" w:eastAsia="Archivo" w:hAnsi="Archivo"/>
          <w:b/>
          <w:bCs/>
          <w:color w:val="1B6DF0"/>
          <w:sz w:val="21"/>
          <w:szCs w:val="21"/>
        </w:rPr>
        <w:t xml:space="preserve">26.4. Robo y responsabilidad civil: umbrales de negligencia y dolo</w:t>
      </w:r>
    </w:p>
    <w:p>
      <w:pPr>
        <w:spacing w:after="180" w:line="300"/>
        <w:jc w:val="both"/>
      </w:pPr>
      <w:r>
        <w:rPr>
          <w:rFonts w:ascii="Archivo" w:cs="Archivo" w:eastAsia="Archivo" w:hAnsi="Archivo"/>
          <w:sz w:val="21"/>
          <w:szCs w:val="21"/>
        </w:rPr>
        <w:t xml:space="preserve">Los distintos umbrales de imputación subjetiva según la cobertura, y la inoponibilidad del dolo del asegurado al tercero perjudicado.</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Resoluciones de referencia</w:t>
            </w:r>
          </w:p>
          <w:p>
            <w:pPr>
              <w:spacing w:after="180" w:line="300"/>
              <w:jc w:val="both"/>
            </w:pPr>
            <w:r>
              <w:rPr>
                <w:rFonts w:ascii="Archivo" w:cs="Archivo" w:eastAsia="Archivo" w:hAnsi="Archivo"/>
                <w:b/>
                <w:bCs/>
                <w:sz w:val="21"/>
                <w:szCs w:val="21"/>
              </w:rPr>
              <w:t xml:space="preserve">SAP Barcelona (Sección 16.ª) de 11/1/2017 (ROJ: SAP B 5946/2017): </w:t>
            </w:r>
            <w:r>
              <w:rPr>
                <w:rFonts w:ascii="Archivo" w:cs="Archivo" w:eastAsia="Archivo" w:hAnsi="Archivo"/>
                <w:sz w:val="21"/>
                <w:szCs w:val="21"/>
              </w:rPr>
              <w:t xml:space="preserve">La negligencia grave del art. 52.1.ª LCS exige abandono o precariedad en la custodia del bien, no un mero descuido (capítulo 9). </w:t>
            </w:r>
          </w:p>
          <w:p>
            <w:pPr>
              <w:spacing w:after="180" w:line="300"/>
              <w:jc w:val="both"/>
            </w:pPr>
            <w:r>
              <w:rPr>
                <w:rFonts w:ascii="Archivo" w:cs="Archivo" w:eastAsia="Archivo" w:hAnsi="Archivo"/>
                <w:b/>
                <w:bCs/>
                <w:sz w:val="21"/>
                <w:szCs w:val="21"/>
              </w:rPr>
              <w:t xml:space="preserve">STS de 17/7/2012 (ROJ: STS 5990/2012): </w:t>
            </w:r>
            <w:r>
              <w:rPr>
                <w:rFonts w:ascii="Archivo" w:cs="Archivo" w:eastAsia="Archivo" w:hAnsi="Archivo"/>
                <w:sz w:val="21"/>
                <w:szCs w:val="21"/>
              </w:rPr>
              <w:t xml:space="preserve">La carga de la prueba del dolo o la culpa grave, incluido el nexo causal, corresponde siempre a la aseguradora (capítulos 9 y 21). </w:t>
            </w:r>
          </w:p>
          <w:p>
            <w:pPr>
              <w:spacing w:after="180" w:line="300"/>
              <w:jc w:val="both"/>
            </w:pPr>
            <w:r>
              <w:rPr>
                <w:rFonts w:ascii="Archivo" w:cs="Archivo" w:eastAsia="Archivo" w:hAnsi="Archivo"/>
                <w:b/>
                <w:bCs/>
                <w:sz w:val="21"/>
                <w:szCs w:val="21"/>
              </w:rPr>
              <w:t xml:space="preserve">STS de 15/7/2026 (ROJ: STS 3443/2026): </w:t>
            </w:r>
            <w:r>
              <w:rPr>
                <w:rFonts w:ascii="Archivo" w:cs="Archivo" w:eastAsia="Archivo" w:hAnsi="Archivo"/>
                <w:sz w:val="21"/>
                <w:szCs w:val="21"/>
              </w:rPr>
              <w:t xml:space="preserve">La «malquerencia de extraños» del art. 48 LCS excluye a quien tiene vinculación directa con el entorno del asegurado (capítulo 7). </w:t>
            </w:r>
          </w:p>
          <w:p>
            <w:pPr>
              <w:spacing w:after="180" w:line="300"/>
              <w:jc w:val="both"/>
            </w:pPr>
            <w:r>
              <w:rPr>
                <w:rFonts w:ascii="Archivo" w:cs="Archivo" w:eastAsia="Archivo" w:hAnsi="Archivo"/>
                <w:b/>
                <w:bCs/>
                <w:sz w:val="21"/>
                <w:szCs w:val="21"/>
              </w:rPr>
              <w:t xml:space="preserve">STS de 20/4/2023 (ROJ: STS 1544/2023): </w:t>
            </w:r>
            <w:r>
              <w:rPr>
                <w:rFonts w:ascii="Archivo" w:cs="Archivo" w:eastAsia="Archivo" w:hAnsi="Archivo"/>
                <w:sz w:val="21"/>
                <w:szCs w:val="21"/>
              </w:rPr>
              <w:t xml:space="preserve">El dolo del asegurado es inoponible al tercero perjudicado por la acción directa del art. 76 LCS (capítulo 13). </w:t>
            </w:r>
          </w:p>
        </w:tc>
      </w:tr>
    </w:tbl>
    <w:p>
      <w:pPr>
        <w:spacing w:after="180"/>
      </w:pPr>
    </w:p>
    <w:p>
      <w:pPr>
        <w:pStyle w:val="Heading3"/>
        <w:spacing w:after="120" w:before="280"/>
      </w:pPr>
      <w:r>
        <w:rPr>
          <w:rFonts w:ascii="Archivo" w:cs="Archivo" w:eastAsia="Archivo" w:hAnsi="Archivo"/>
          <w:b/>
          <w:bCs/>
          <w:color w:val="1B6DF0"/>
          <w:sz w:val="21"/>
          <w:szCs w:val="21"/>
        </w:rPr>
        <w:t xml:space="preserve">26.5. Defensa jurídica y libre elección de profesional</w:t>
      </w:r>
    </w:p>
    <w:p>
      <w:pPr>
        <w:spacing w:after="180" w:line="300"/>
        <w:jc w:val="both"/>
      </w:pPr>
      <w:r>
        <w:rPr>
          <w:rFonts w:ascii="Archivo" w:cs="Archivo" w:eastAsia="Archivo" w:hAnsi="Archivo"/>
          <w:sz w:val="21"/>
          <w:szCs w:val="21"/>
        </w:rPr>
        <w:t xml:space="preserve">El derecho de libre designación de abogado y procurador, y la calificación de sus límites cuantitativos.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Resoluciones de referencia</w:t>
            </w:r>
          </w:p>
          <w:p>
            <w:pPr>
              <w:spacing w:after="180" w:line="300"/>
              <w:jc w:val="both"/>
            </w:pPr>
            <w:r>
              <w:rPr>
                <w:rFonts w:ascii="Archivo" w:cs="Archivo" w:eastAsia="Archivo" w:hAnsi="Archivo"/>
                <w:b/>
                <w:bCs/>
                <w:sz w:val="21"/>
                <w:szCs w:val="21"/>
              </w:rPr>
              <w:t xml:space="preserve">STS de 24/2/2021 (ROJ: STS 584/2021): </w:t>
            </w:r>
            <w:r>
              <w:rPr>
                <w:rFonts w:ascii="Archivo" w:cs="Archivo" w:eastAsia="Archivo" w:hAnsi="Archivo"/>
                <w:sz w:val="21"/>
                <w:szCs w:val="21"/>
              </w:rPr>
              <w:t xml:space="preserve">Un límite económico notoriamente insuficiente para la libre elección puede ser limitativo o incluso lesivo (capítulo 14). </w:t>
            </w:r>
          </w:p>
          <w:p>
            <w:pPr>
              <w:spacing w:after="180" w:line="300"/>
              <w:jc w:val="both"/>
            </w:pPr>
            <w:r>
              <w:rPr>
                <w:rFonts w:ascii="Archivo" w:cs="Archivo" w:eastAsia="Archivo" w:hAnsi="Archivo"/>
                <w:b/>
                <w:bCs/>
                <w:sz w:val="21"/>
                <w:szCs w:val="21"/>
              </w:rPr>
              <w:t xml:space="preserve">SAP Jaén (Sección 1.ª) de 15/9/2021 (ROJ: SAP J 1184/2021): </w:t>
            </w:r>
            <w:r>
              <w:rPr>
                <w:rFonts w:ascii="Archivo" w:cs="Archivo" w:eastAsia="Archivo" w:hAnsi="Archivo"/>
                <w:sz w:val="21"/>
                <w:szCs w:val="21"/>
              </w:rPr>
              <w:t xml:space="preserve">Distingue la defensa jurídica propia (posición activa o pasiva) de la dirección jurídica accesoria a la RC (solo pasiva) (capítulo 14). </w:t>
            </w:r>
          </w:p>
        </w:tc>
      </w:tr>
    </w:tbl>
    <w:p>
      <w:pPr>
        <w:spacing w:after="180"/>
      </w:pPr>
    </w:p>
    <w:p>
      <w:pPr>
        <w:pStyle w:val="Heading3"/>
        <w:spacing w:after="120" w:before="280"/>
      </w:pPr>
      <w:r>
        <w:rPr>
          <w:rFonts w:ascii="Archivo" w:cs="Archivo" w:eastAsia="Archivo" w:hAnsi="Archivo"/>
          <w:b/>
          <w:bCs/>
          <w:color w:val="1B6DF0"/>
          <w:sz w:val="21"/>
          <w:szCs w:val="21"/>
        </w:rPr>
        <w:t xml:space="preserve">26.6. Peritación, infraseguro y regla proporcional</w:t>
      </w:r>
    </w:p>
    <w:p>
      <w:pPr>
        <w:spacing w:after="180" w:line="300"/>
        <w:jc w:val="both"/>
      </w:pPr>
      <w:r>
        <w:rPr>
          <w:rFonts w:ascii="Archivo" w:cs="Archivo" w:eastAsia="Archivo" w:hAnsi="Archivo"/>
          <w:sz w:val="21"/>
          <w:szCs w:val="21"/>
        </w:rPr>
        <w:t xml:space="preserve">El alcance vinculante del dictamen pericial y la correcta aplicación de la regla proporcional del art. 30 LCS.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Resoluciones de referencia</w:t>
            </w:r>
          </w:p>
          <w:p>
            <w:pPr>
              <w:spacing w:after="180" w:line="300"/>
              <w:jc w:val="both"/>
            </w:pPr>
            <w:r>
              <w:rPr>
                <w:rFonts w:ascii="Archivo" w:cs="Archivo" w:eastAsia="Archivo" w:hAnsi="Archivo"/>
                <w:b/>
                <w:bCs/>
                <w:sz w:val="21"/>
                <w:szCs w:val="21"/>
              </w:rPr>
              <w:t xml:space="preserve">STS de 26/7/2021 (ROJ: STS 3193/2021): </w:t>
            </w:r>
            <w:r>
              <w:rPr>
                <w:rFonts w:ascii="Archivo" w:cs="Archivo" w:eastAsia="Archivo" w:hAnsi="Archivo"/>
                <w:sz w:val="21"/>
                <w:szCs w:val="21"/>
              </w:rPr>
              <w:t xml:space="preserve">El dictamen pericial solo es vinculante en la liquidación del daño, nunca en la interpretación de la cobertura (capítulo 18). </w:t>
            </w:r>
          </w:p>
          <w:p>
            <w:pPr>
              <w:spacing w:after="180" w:line="300"/>
              <w:jc w:val="both"/>
            </w:pPr>
            <w:r>
              <w:rPr>
                <w:rFonts w:ascii="Archivo" w:cs="Archivo" w:eastAsia="Archivo" w:hAnsi="Archivo"/>
                <w:b/>
                <w:bCs/>
                <w:sz w:val="21"/>
                <w:szCs w:val="21"/>
              </w:rPr>
              <w:t xml:space="preserve">STS de 14/9/2016 (ROJ: STS 4056/2016): </w:t>
            </w:r>
            <w:r>
              <w:rPr>
                <w:rFonts w:ascii="Archivo" w:cs="Archivo" w:eastAsia="Archivo" w:hAnsi="Archivo"/>
                <w:sz w:val="21"/>
                <w:szCs w:val="21"/>
              </w:rPr>
              <w:t xml:space="preserve">La impugnación del dictamen debe ser expresa dentro de los plazos del art. 38 LCS (capítulo 18). </w:t>
            </w:r>
          </w:p>
          <w:p>
            <w:pPr>
              <w:spacing w:after="180" w:line="300"/>
              <w:jc w:val="both"/>
            </w:pPr>
            <w:r>
              <w:rPr>
                <w:rFonts w:ascii="Archivo" w:cs="Archivo" w:eastAsia="Archivo" w:hAnsi="Archivo"/>
                <w:b/>
                <w:bCs/>
                <w:sz w:val="21"/>
                <w:szCs w:val="21"/>
              </w:rPr>
              <w:t xml:space="preserve">STS de 14/11/2002 (ROJ: STS 7531/2002): </w:t>
            </w:r>
            <w:r>
              <w:rPr>
                <w:rFonts w:ascii="Archivo" w:cs="Archivo" w:eastAsia="Archivo" w:hAnsi="Archivo"/>
                <w:sz w:val="21"/>
                <w:szCs w:val="21"/>
              </w:rPr>
              <w:t xml:space="preserve">El infraseguro no se confunde con la concurrencia de seguros; pólizas distintas no se suman (capítulo 19). </w:t>
            </w:r>
          </w:p>
        </w:tc>
      </w:tr>
    </w:tbl>
    <w:p>
      <w:pPr>
        <w:spacing w:after="180"/>
      </w:pPr>
    </w:p>
    <w:p>
      <w:pPr>
        <w:pStyle w:val="Heading3"/>
        <w:spacing w:after="120" w:before="280"/>
      </w:pPr>
      <w:r>
        <w:rPr>
          <w:rFonts w:ascii="Archivo" w:cs="Archivo" w:eastAsia="Archivo" w:hAnsi="Archivo"/>
          <w:b/>
          <w:bCs/>
          <w:color w:val="1B6DF0"/>
          <w:sz w:val="21"/>
          <w:szCs w:val="21"/>
        </w:rPr>
        <w:t xml:space="preserve">26.7. Mora del asegurador e intereses del art. 20 LCS</w:t>
      </w:r>
    </w:p>
    <w:p>
      <w:pPr>
        <w:spacing w:after="180" w:line="300"/>
        <w:jc w:val="both"/>
      </w:pPr>
      <w:r>
        <w:rPr>
          <w:rFonts w:ascii="Archivo" w:cs="Archivo" w:eastAsia="Archivo" w:hAnsi="Archivo"/>
          <w:sz w:val="21"/>
          <w:szCs w:val="21"/>
        </w:rPr>
        <w:t xml:space="preserve">La doctrina restrictiva sobre qué constituye «causa justificada» de exoneración de los intereses moratorios.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Resoluciones de referencia</w:t>
            </w:r>
          </w:p>
          <w:p>
            <w:pPr>
              <w:spacing w:after="180" w:line="300"/>
              <w:jc w:val="both"/>
            </w:pPr>
            <w:r>
              <w:rPr>
                <w:rFonts w:ascii="Archivo" w:cs="Archivo" w:eastAsia="Archivo" w:hAnsi="Archivo"/>
                <w:b/>
                <w:bCs/>
                <w:sz w:val="21"/>
                <w:szCs w:val="21"/>
              </w:rPr>
              <w:t xml:space="preserve">STS de 27/9/2023 (ROJ: STS 3983/2023): </w:t>
            </w:r>
            <w:r>
              <w:rPr>
                <w:rFonts w:ascii="Archivo" w:cs="Archivo" w:eastAsia="Archivo" w:hAnsi="Archivo"/>
                <w:sz w:val="21"/>
                <w:szCs w:val="21"/>
              </w:rPr>
              <w:t xml:space="preserve">La simple pendencia de un proceso judicial no es, por sí sola, causa justificada (capítulo 20). </w:t>
            </w:r>
          </w:p>
        </w:tc>
      </w:tr>
    </w:tbl>
    <w:p>
      <w:pPr>
        <w:spacing w:after="180"/>
      </w:pPr>
    </w:p>
    <w:p>
      <w:pPr>
        <w:pStyle w:val="Heading3"/>
        <w:spacing w:after="120" w:before="280"/>
      </w:pPr>
      <w:r>
        <w:rPr>
          <w:rFonts w:ascii="Archivo" w:cs="Archivo" w:eastAsia="Archivo" w:hAnsi="Archivo"/>
          <w:b/>
          <w:bCs/>
          <w:color w:val="1B6DF0"/>
          <w:sz w:val="21"/>
          <w:szCs w:val="21"/>
        </w:rPr>
        <w:t xml:space="preserve">26.8. Prescripción y concurrencia de seguros</w:t>
      </w:r>
    </w:p>
    <w:p>
      <w:pPr>
        <w:spacing w:after="180" w:line="300"/>
        <w:jc w:val="both"/>
      </w:pPr>
      <w:r>
        <w:rPr>
          <w:rFonts w:ascii="Archivo" w:cs="Archivo" w:eastAsia="Archivo" w:hAnsi="Archivo"/>
          <w:sz w:val="21"/>
          <w:szCs w:val="21"/>
        </w:rPr>
        <w:t xml:space="preserve">El cómputo autónomo del plazo de dos años del art. 23 LCS y el régimen de control de cláusulas cuando el tomador es consumidor.</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Resoluciones de referencia</w:t>
            </w:r>
          </w:p>
          <w:p>
            <w:pPr>
              <w:spacing w:after="180" w:line="300"/>
              <w:jc w:val="both"/>
            </w:pPr>
            <w:r>
              <w:rPr>
                <w:rFonts w:ascii="Archivo" w:cs="Archivo" w:eastAsia="Archivo" w:hAnsi="Archivo"/>
                <w:b/>
                <w:bCs/>
                <w:sz w:val="21"/>
                <w:szCs w:val="21"/>
              </w:rPr>
              <w:t xml:space="preserve">STS de 15/2/2022 (ROJ: STS 517/2022): </w:t>
            </w:r>
            <w:r>
              <w:rPr>
                <w:rFonts w:ascii="Archivo" w:cs="Archivo" w:eastAsia="Archivo" w:hAnsi="Archivo"/>
                <w:sz w:val="21"/>
                <w:szCs w:val="21"/>
              </w:rPr>
              <w:t xml:space="preserve">La acción contractual frente a la propia aseguradora sigue el plazo autónomo del art. 23 LCS, no suspendido por un proceso penal paralelo (capítulo 22). </w:t>
            </w:r>
          </w:p>
          <w:p>
            <w:pPr>
              <w:spacing w:after="180" w:line="300"/>
              <w:jc w:val="both"/>
            </w:pPr>
            <w:r>
              <w:rPr>
                <w:rFonts w:ascii="Archivo" w:cs="Archivo" w:eastAsia="Archivo" w:hAnsi="Archivo"/>
                <w:b/>
                <w:bCs/>
                <w:sz w:val="21"/>
                <w:szCs w:val="21"/>
              </w:rPr>
              <w:t xml:space="preserve">STS de 3/6/2016 (ROJ: STS 2550/2016): </w:t>
            </w:r>
            <w:r>
              <w:rPr>
                <w:rFonts w:ascii="Archivo" w:cs="Archivo" w:eastAsia="Archivo" w:hAnsi="Archivo"/>
                <w:sz w:val="21"/>
                <w:szCs w:val="21"/>
              </w:rPr>
              <w:t xml:space="preserve">El control de transparencia cualificada/abusividad queda reservado a los consumidores, a diferencia del control de incorporación (capítulo 25). </w:t>
            </w:r>
          </w:p>
        </w:tc>
      </w:tr>
    </w:tbl>
    <w:p>
      <w:pPr>
        <w:spacing w:after="180"/>
      </w:pPr>
    </w:p>
    <w:p>
      <w:pPr>
        <w:pStyle w:val="Heading2"/>
        <w:spacing w:after="160" w:before="400"/>
      </w:pPr>
      <w:r>
        <w:rPr>
          <w:rFonts w:ascii="Fraunces" w:cs="Fraunces" w:eastAsia="Fraunces" w:hAnsi="Fraunces"/>
          <w:b/>
          <w:bCs/>
          <w:color w:val="0A2540"/>
          <w:sz w:val="24"/>
          <w:szCs w:val="24"/>
        </w:rPr>
        <w:t xml:space="preserve">26.9. Cómo usar este índice jurisprudencial</w:t>
      </w:r>
    </w:p>
    <w:p>
      <w:pPr>
        <w:spacing w:after="180" w:line="300"/>
        <w:jc w:val="both"/>
      </w:pPr>
      <w:r>
        <w:rPr>
          <w:rFonts w:ascii="Archivo" w:cs="Archivo" w:eastAsia="Archivo" w:hAnsi="Archivo"/>
          <w:sz w:val="21"/>
          <w:szCs w:val="21"/>
        </w:rPr>
        <w:t xml:space="preserve">Este capítulo no sustituye la lectura del capítulo correspondiente: cada ficha remite deliberadamente al lugar de la obra donde la resolución se transcribe literalmente, se contextualiza y se traduce en pautas de actuación concretas. Su utilidad es la de un punto de entrada rápido: ante un problema concreto («¿puedo reclamar los intereses del art. 20 LCS aunque estemos en pleito?», «¿es limitativa esta cláusula de defensa jurídica?»), permite localizar en segundos la línea jurisprudencial aplicable y saltar directamente al capítulo que la desarrolla en profundidad.</w:t>
      </w: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Las referencias doctrinales completas de cada resolución se encuentran en la bibliografía del capítulo correspondiente, al que se remite.</w:t>
      </w:r>
    </w:p>
    <w:p>
      <w:pPr>
        <w:pStyle w:val="Heading1"/>
        <w:pageBreakBefore/>
        <w:spacing w:after="300" w:before="200"/>
      </w:pPr>
      <w:r>
        <w:rPr>
          <w:rFonts w:ascii="Archivo" w:cs="Archivo" w:eastAsia="Archivo" w:hAnsi="Archivo"/>
          <w:b/>
          <w:bCs/>
          <w:color w:val="1B6DF0"/>
          <w:sz w:val="22"/>
          <w:szCs w:val="22"/>
        </w:rPr>
        <w:t xml:space="preserve">Capítulo 27. </w:t>
      </w:r>
      <w:r>
        <w:rPr>
          <w:rFonts w:ascii="Fraunces" w:cs="Fraunces" w:eastAsia="Fraunces" w:hAnsi="Fraunces"/>
          <w:b/>
          <w:bCs/>
          <w:color w:val="0A2540"/>
          <w:sz w:val="30"/>
          <w:szCs w:val="30"/>
        </w:rPr>
        <w:t xml:space="preserve">Casos prácticos resueltos</w:t>
      </w: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Sumario</w:t>
            </w:r>
          </w:p>
          <w:p>
            <w:pPr>
              <w:spacing w:after="40" w:line="260"/>
            </w:pPr>
            <w:r>
              <w:rPr>
                <w:rFonts w:ascii="Archivo" w:cs="Archivo" w:eastAsia="Archivo" w:hAnsi="Archivo"/>
                <w:sz w:val="18"/>
                <w:szCs w:val="18"/>
              </w:rPr>
              <w:t xml:space="preserve">Caso 1. Filtración por falta de mantenimiento frente a defecto constructivo</w:t>
            </w:r>
          </w:p>
          <w:p>
            <w:pPr>
              <w:spacing w:after="40" w:line="260"/>
            </w:pPr>
            <w:r>
              <w:rPr>
                <w:rFonts w:ascii="Archivo" w:cs="Archivo" w:eastAsia="Archivo" w:hAnsi="Archivo"/>
                <w:sz w:val="18"/>
                <w:szCs w:val="18"/>
              </w:rPr>
              <w:t xml:space="preserve">Caso 2. Infraseguro en un incendio parcial</w:t>
            </w:r>
          </w:p>
          <w:p>
            <w:pPr>
              <w:spacing w:after="40" w:line="260"/>
            </w:pPr>
            <w:r>
              <w:rPr>
                <w:rFonts w:ascii="Archivo" w:cs="Archivo" w:eastAsia="Archivo" w:hAnsi="Archivo"/>
                <w:sz w:val="18"/>
                <w:szCs w:val="18"/>
              </w:rPr>
              <w:t xml:space="preserve">Caso 3. Robo y alegación de negligencia grave</w:t>
            </w:r>
          </w:p>
          <w:p>
            <w:pPr>
              <w:spacing w:after="40" w:line="260"/>
            </w:pPr>
            <w:r>
              <w:rPr>
                <w:rFonts w:ascii="Archivo" w:cs="Archivo" w:eastAsia="Archivo" w:hAnsi="Archivo"/>
                <w:sz w:val="18"/>
                <w:szCs w:val="18"/>
              </w:rPr>
              <w:t xml:space="preserve">Caso 4. Responsabilidad civil del cabeza de familia por incendio causado por un hijo</w:t>
            </w:r>
          </w:p>
          <w:p>
            <w:pPr>
              <w:spacing w:after="40" w:line="260"/>
            </w:pPr>
            <w:r>
              <w:rPr>
                <w:rFonts w:ascii="Archivo" w:cs="Archivo" w:eastAsia="Archivo" w:hAnsi="Archivo"/>
                <w:sz w:val="18"/>
                <w:szCs w:val="18"/>
              </w:rPr>
              <w:t xml:space="preserve">Caso 5. Límite insuficiente en la cobertura de defensa jurídica</w:t>
            </w:r>
          </w:p>
          <w:p>
            <w:pPr>
              <w:spacing w:after="40" w:line="260"/>
            </w:pPr>
            <w:r>
              <w:rPr>
                <w:rFonts w:ascii="Archivo" w:cs="Archivo" w:eastAsia="Archivo" w:hAnsi="Archivo"/>
                <w:sz w:val="18"/>
                <w:szCs w:val="18"/>
              </w:rPr>
              <w:t xml:space="preserve">Caso 6. Prescripción de la acción con proceso penal previo</w:t>
            </w:r>
          </w:p>
        </w:tc>
      </w:tr>
    </w:tbl>
    <w:p>
      <w:pPr>
        <w:spacing w:after="16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Resumen · Abstract</w:t>
            </w:r>
          </w:p>
          <w:p>
            <w:pPr>
              <w:spacing w:after="100"/>
              <w:jc w:val="both"/>
            </w:pPr>
            <w:r>
              <w:rPr>
                <w:rFonts w:ascii="Archivo" w:cs="Archivo" w:eastAsia="Archivo" w:hAnsi="Archivo"/>
                <w:i/>
                <w:iCs/>
                <w:sz w:val="18"/>
                <w:szCs w:val="18"/>
              </w:rPr>
              <w:t xml:space="preserve">El capítulo cierra la Parte IV con seis casos prácticos que integran, de forma aplicada, la doctrina legal, jurisprudencial y de las Audiencias Provinciales desarrollada a lo largo de la obra. Cada caso sigue una estructura homogénea —hechos, cuestión jurídica, doctrina aplicable, solución razonada y enseñanza práctica— pensada como ejercicio de repaso transversal y como plantilla de análisis reutilizable ante un expediente real.</w:t>
            </w:r>
          </w:p>
          <w:p>
            <w:pPr>
              <w:spacing w:after="160"/>
            </w:pPr>
            <w:r>
              <w:rPr>
                <w:rFonts w:ascii="Archivo" w:cs="Archivo" w:eastAsia="Archivo" w:hAnsi="Archivo"/>
                <w:b/>
                <w:bCs/>
                <w:sz w:val="17"/>
                <w:szCs w:val="17"/>
              </w:rPr>
              <w:t xml:space="preserve">Palabras clave: casos prácticos, metodología de análisis, aplicación jurisprudencial.</w:t>
            </w:r>
          </w:p>
          <w:p>
            <w:pPr>
              <w:spacing w:after="100"/>
              <w:jc w:val="both"/>
            </w:pPr>
            <w:r>
              <w:rPr>
                <w:rFonts w:ascii="Archivo" w:cs="Archivo" w:eastAsia="Archivo" w:hAnsi="Archivo"/>
                <w:i/>
                <w:iCs/>
                <w:sz w:val="18"/>
                <w:szCs w:val="18"/>
              </w:rPr>
              <w:t xml:space="preserve">This closing chapter of Part IV presents six practical case studies that apply, in integrated form, the statutory, Supreme Court and provincial appellate court doctrine developed throughout the book. Each case follows a consistent structure — facts, legal issue, applicable doctrine, reasoned solution and practical lesson — designed as a cross-cutting review exercise and as a reusable analysis template for real case files.</w:t>
            </w:r>
          </w:p>
          <w:p>
            <w:pPr>
              <w:spacing w:after="0"/>
            </w:pPr>
            <w:r>
              <w:rPr>
                <w:rFonts w:ascii="Archivo" w:cs="Archivo" w:eastAsia="Archivo" w:hAnsi="Archivo"/>
                <w:b/>
                <w:bCs/>
                <w:sz w:val="17"/>
                <w:szCs w:val="17"/>
              </w:rPr>
              <w:t xml:space="preserve">Keywords: case studies, analysis methodology, applied case law.</w:t>
            </w:r>
          </w:p>
        </w:tc>
      </w:tr>
    </w:tbl>
    <w:p>
      <w:pPr>
        <w:spacing w:after="200"/>
      </w:pPr>
    </w:p>
    <w:p>
      <w:pPr>
        <w:pStyle w:val="Heading2"/>
        <w:spacing w:after="160" w:before="400"/>
      </w:pPr>
      <w:r>
        <w:rPr>
          <w:rFonts w:ascii="Fraunces" w:cs="Fraunces" w:eastAsia="Fraunces" w:hAnsi="Fraunces"/>
          <w:b/>
          <w:bCs/>
          <w:color w:val="0A2540"/>
          <w:sz w:val="24"/>
          <w:szCs w:val="24"/>
        </w:rPr>
        <w:t xml:space="preserve">Caso 1. Filtración por falta de mantenimiento frente a defecto constructivo</w:t>
      </w: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Hechos</w:t>
            </w:r>
          </w:p>
          <w:p>
            <w:pPr>
              <w:spacing w:after="180" w:line="300"/>
              <w:jc w:val="both"/>
            </w:pPr>
            <w:r>
              <w:rPr>
                <w:rFonts w:ascii="Archivo" w:cs="Archivo" w:eastAsia="Archivo" w:hAnsi="Archivo"/>
                <w:sz w:val="21"/>
                <w:szCs w:val="21"/>
              </w:rPr>
              <w:t xml:space="preserve">Una comunidad de propietarios sufre filtraciones reiteradas en la última planta del edificio, con daños en varias viviendas. La aseguradora de la comunidad deniega la cobertura invocando la cláusula de exclusión por «falta de mantenimiento y desgaste notorio del inmueble», destacada en las condiciones generales. El informe pericial de parte de la comunidad concluye que el origen real de las filtraciones es un defecto de ejecución en la impermeabilización de la cubierta, ejecutada pocos años antes.</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Cuestión jurídica</w:t>
            </w:r>
          </w:p>
          <w:p>
            <w:pPr>
              <w:spacing w:after="180" w:line="300"/>
              <w:jc w:val="both"/>
            </w:pPr>
            <w:r>
              <w:rPr>
                <w:rFonts w:ascii="Archivo" w:cs="Archivo" w:eastAsia="Archivo" w:hAnsi="Archivo"/>
                <w:sz w:val="21"/>
                <w:szCs w:val="21"/>
              </w:rPr>
              <w:t xml:space="preserve">¿Es oponible a la comunidad la exclusión por falta de mantenimiento cuando el informe pericial atribuye el daño a un defecto constructivo de origen y no a un deterioro progresivo por desgaste?</w:t>
            </w:r>
          </w:p>
        </w:tc>
      </w:tr>
    </w:tbl>
    <w:p>
      <w:pPr>
        <w:spacing w:after="100"/>
      </w:pP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Doctrina aplicable</w:t>
            </w:r>
          </w:p>
          <w:p>
            <w:pPr>
              <w:spacing w:after="180" w:line="300"/>
              <w:jc w:val="both"/>
            </w:pPr>
            <w:r>
              <w:rPr>
                <w:rFonts w:ascii="Archivo" w:cs="Archivo" w:eastAsia="Archivo" w:hAnsi="Archivo"/>
                <w:sz w:val="21"/>
                <w:szCs w:val="21"/>
              </w:rPr>
              <w:t xml:space="preserve">Conforme al capítulo 8, la exclusión por falta de mantenimiento, cuando está redactada con claridad y destacada en la póliza, se califica como cláusula delimitadora y no sorpresiva (SAP Valencia, Sección 5.ª, de 30 de junio de 2021, ROJ: SAP V 2845/2021). Sin embargo, su aplicación exige que la aseguradora acredite que el presupuesto fáctico de la exclusión —el desgaste o la falta de mantenimiento— es efectivamente la causa del daño; si la causa real es un defecto de ejecución de origen, la exclusión no resulta aplicable por falta de acreditación de su presupuesto (SAP Barcelona, Sección 1.ª, de 29 de junio de 2018, ROJ: SAP B 6782/2018).</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Solución razonada</w:t>
            </w:r>
          </w:p>
          <w:p>
            <w:pPr>
              <w:spacing w:after="180" w:line="300"/>
              <w:jc w:val="both"/>
            </w:pPr>
            <w:r>
              <w:rPr>
                <w:rFonts w:ascii="Archivo" w:cs="Archivo" w:eastAsia="Archivo" w:hAnsi="Archivo"/>
                <w:sz w:val="21"/>
                <w:szCs w:val="21"/>
              </w:rPr>
              <w:t xml:space="preserve">Procede reclamar la cobertura, centrando la controversia no en la validez de la cláusula —formalmente correcta— sino en la prueba de la causa técnica del daño. La estrategia procesal debe dirigirse a que el informe pericial acredite, con el mayor rigor técnico posible, que el defecto es de ejecución (por ejemplo, mediante cala física en la impermeabilización) y no de mantenimiento, desplazando así la controversia del terreno de la calificación de la cláusula al terreno, más favorable al asegurado, de la prueba de los hechos.</w:t>
            </w:r>
          </w:p>
        </w:tc>
      </w:tr>
    </w:tbl>
    <w:p>
      <w:pPr>
        <w:spacing w:after="10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Enseñanza práctica</w:t>
            </w:r>
          </w:p>
          <w:p>
            <w:pPr>
              <w:spacing w:after="180" w:line="300"/>
              <w:jc w:val="both"/>
            </w:pPr>
            <w:r>
              <w:rPr>
                <w:rFonts w:ascii="Archivo" w:cs="Archivo" w:eastAsia="Archivo" w:hAnsi="Archivo"/>
                <w:sz w:val="21"/>
                <w:szCs w:val="21"/>
              </w:rPr>
              <w:t xml:space="preserve">En daños por agua, la discusión jurídica sobre la naturaleza de la cláusula (capítulo 5) es solo la mitad de la batalla: la otra mitad, con frecuencia decisiva, se libra en el terreno pericial sobre la causa técnica exacta del daño (capítulo 8).</w:t>
            </w:r>
          </w:p>
        </w:tc>
      </w:tr>
    </w:tbl>
    <w:p>
      <w:pPr>
        <w:spacing w:after="240"/>
      </w:pPr>
    </w:p>
    <w:p>
      <w:pPr>
        <w:pStyle w:val="Heading2"/>
        <w:spacing w:after="160" w:before="400"/>
      </w:pPr>
      <w:r>
        <w:rPr>
          <w:rFonts w:ascii="Fraunces" w:cs="Fraunces" w:eastAsia="Fraunces" w:hAnsi="Fraunces"/>
          <w:b/>
          <w:bCs/>
          <w:color w:val="0A2540"/>
          <w:sz w:val="24"/>
          <w:szCs w:val="24"/>
        </w:rPr>
        <w:t xml:space="preserve">Caso 2. Infraseguro en un incendio parcial</w:t>
      </w: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Hechos</w:t>
            </w:r>
          </w:p>
          <w:p>
            <w:pPr>
              <w:spacing w:after="180" w:line="300"/>
              <w:jc w:val="both"/>
            </w:pPr>
            <w:r>
              <w:rPr>
                <w:rFonts w:ascii="Archivo" w:cs="Archivo" w:eastAsia="Archivo" w:hAnsi="Archivo"/>
                <w:sz w:val="21"/>
                <w:szCs w:val="21"/>
              </w:rPr>
              <w:t xml:space="preserve">Un propietario asegura su vivienda por un valor de continente de 180.000 euros. Un incendio en la cocina causa daños parciales tasados por el perito en 40.000 euros. La aseguradora, al revisar el expediente, constata que el valor de reconstrucción real del inmueble en la fecha del siniestro asciende a 300.000 euros, y aplica la regla proporcional del art. 30 LCS, ofreciendo una indemnización de 24.000 euros.</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Cuestión jurídica</w:t>
            </w:r>
          </w:p>
          <w:p>
            <w:pPr>
              <w:spacing w:after="180" w:line="300"/>
              <w:jc w:val="both"/>
            </w:pPr>
            <w:r>
              <w:rPr>
                <w:rFonts w:ascii="Archivo" w:cs="Archivo" w:eastAsia="Archivo" w:hAnsi="Archivo"/>
                <w:sz w:val="21"/>
                <w:szCs w:val="21"/>
              </w:rPr>
              <w:t xml:space="preserve">¿Es correcta la reducción proporcional aplicada por la aseguradora? ¿Existe algún mecanismo contractual que hubiera podido evitarla?</w:t>
            </w:r>
          </w:p>
        </w:tc>
      </w:tr>
    </w:tbl>
    <w:p>
      <w:pPr>
        <w:spacing w:after="100"/>
      </w:pP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Doctrina aplicable</w:t>
            </w:r>
          </w:p>
          <w:p>
            <w:pPr>
              <w:spacing w:after="180" w:line="300"/>
              <w:jc w:val="both"/>
            </w:pPr>
            <w:r>
              <w:rPr>
                <w:rFonts w:ascii="Archivo" w:cs="Archivo" w:eastAsia="Archivo" w:hAnsi="Archivo"/>
                <w:sz w:val="21"/>
                <w:szCs w:val="21"/>
              </w:rPr>
              <w:t xml:space="preserve">Conforme al capítulo 19, el art. 30 LCS impone la regla proporcional cuando la suma asegurada es inferior al valor real del interés en el momento del siniestro: indemnización = daño × (suma asegurada / valor real) = 40.000 × (180.000/300.000) = 24.000 euros. El cálculo de la aseguradora es aritméticamente correcto. El propio art. 30 LCS permite, no obstante, la exclusión convencional de esta regla, habitualmente mediante cláusulas de «primer riesgo» que el asegurado no había contratado en este caso.</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Solución razonada</w:t>
            </w:r>
          </w:p>
          <w:p>
            <w:pPr>
              <w:spacing w:after="180" w:line="300"/>
              <w:jc w:val="both"/>
            </w:pPr>
            <w:r>
              <w:rPr>
                <w:rFonts w:ascii="Archivo" w:cs="Archivo" w:eastAsia="Archivo" w:hAnsi="Archivo"/>
                <w:sz w:val="21"/>
                <w:szCs w:val="21"/>
              </w:rPr>
              <w:t xml:space="preserve">Salvo que se acredite un error de la aseguradora o del mediador en la determinación de la suma asegurada al contratar —lo que podría reconducirse, en su caso, a un incumplimiento del deber de asesoramiento del distribuidor, ajeno al contrato de seguro propiamente dicho—, la liquidación de 24.000 euros es correcta y difícilmente impugnable en sus propios términos. La actuación profesional útil en este momento no es litigar la liquidación del siniestro ya producido, sino advertir inmediatamente al cliente de la necesidad de actualizar la suma asegurada de cara al futuro, para evitar la repetición del infraseguro en un siniestro posterior.</w:t>
            </w:r>
          </w:p>
        </w:tc>
      </w:tr>
    </w:tbl>
    <w:p>
      <w:pPr>
        <w:spacing w:after="10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Enseñanza práctica</w:t>
            </w:r>
          </w:p>
          <w:p>
            <w:pPr>
              <w:spacing w:after="180" w:line="300"/>
              <w:jc w:val="both"/>
            </w:pPr>
            <w:r>
              <w:rPr>
                <w:rFonts w:ascii="Archivo" w:cs="Archivo" w:eastAsia="Archivo" w:hAnsi="Archivo"/>
                <w:sz w:val="21"/>
                <w:szCs w:val="21"/>
              </w:rPr>
              <w:t xml:space="preserve">La revisión periódica de la suma asegurada es una de las actuaciones preventivas de mayor rentabilidad práctica que puede recomendar un profesional a su cliente, y con frecuencia se pasa por alto hasta que ya es demasiado tarde, es decir, hasta después del siniestro.</w:t>
            </w:r>
          </w:p>
        </w:tc>
      </w:tr>
    </w:tbl>
    <w:p>
      <w:pPr>
        <w:spacing w:after="240"/>
      </w:pPr>
    </w:p>
    <w:p>
      <w:pPr>
        <w:pStyle w:val="Heading2"/>
        <w:spacing w:after="160" w:before="400"/>
      </w:pPr>
      <w:r>
        <w:rPr>
          <w:rFonts w:ascii="Fraunces" w:cs="Fraunces" w:eastAsia="Fraunces" w:hAnsi="Fraunces"/>
          <w:b/>
          <w:bCs/>
          <w:color w:val="0A2540"/>
          <w:sz w:val="24"/>
          <w:szCs w:val="24"/>
        </w:rPr>
        <w:t xml:space="preserve">Caso 3. Robo y alegación de negligencia grave</w:t>
      </w: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Hechos</w:t>
            </w:r>
          </w:p>
          <w:p>
            <w:pPr>
              <w:spacing w:after="180" w:line="300"/>
              <w:jc w:val="both"/>
            </w:pPr>
            <w:r>
              <w:rPr>
                <w:rFonts w:ascii="Archivo" w:cs="Archivo" w:eastAsia="Archivo" w:hAnsi="Archivo"/>
                <w:sz w:val="21"/>
                <w:szCs w:val="21"/>
              </w:rPr>
              <w:t xml:space="preserve">Una vivienda sufre un robo mientras sus propietarios están de vacaciones. La aseguradora deniega la cobertura alegando negligencia grave, al constatar que la alarma contratada no había sido activada durante la ausencia, pese a figurar como condición de la póliza. Los propietarios alegan que la alarma llevaba meses defectuosa y que habían solicitado, sin éxito, su reparación a la empresa instaladora.</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Cuestión jurídica</w:t>
            </w:r>
          </w:p>
          <w:p>
            <w:pPr>
              <w:spacing w:after="180" w:line="300"/>
              <w:jc w:val="both"/>
            </w:pPr>
            <w:r>
              <w:rPr>
                <w:rFonts w:ascii="Archivo" w:cs="Archivo" w:eastAsia="Archivo" w:hAnsi="Archivo"/>
                <w:sz w:val="21"/>
                <w:szCs w:val="21"/>
              </w:rPr>
              <w:t xml:space="preserve">¿Constituye la falta de activación de la alarma, en estas circunstancias, negligencia grave a efectos del art. 52.1.ª LCS?</w:t>
            </w:r>
          </w:p>
        </w:tc>
      </w:tr>
    </w:tbl>
    <w:p>
      <w:pPr>
        <w:spacing w:after="100"/>
      </w:pP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Doctrina aplicable</w:t>
            </w:r>
          </w:p>
          <w:p>
            <w:pPr>
              <w:spacing w:after="180" w:line="300"/>
              <w:jc w:val="both"/>
            </w:pPr>
            <w:r>
              <w:rPr>
                <w:rFonts w:ascii="Archivo" w:cs="Archivo" w:eastAsia="Archivo" w:hAnsi="Archivo"/>
                <w:sz w:val="21"/>
                <w:szCs w:val="21"/>
              </w:rPr>
              <w:t xml:space="preserve">El capítulo 9 explica que el umbral de negligencia grave en el seguro de robo es más exigente que la negligencia leve, pero exige una situación de auténtico abandono o dejación en la custodia del bien (SAP Barcelona, Sección 16.ª, de 11 de enero de 2017, ROJ: SAP B 5946/2017, sobre una embarcación amarrada de forma manifiestamente precaria). El capítulo 21 recuerda, además, que la carga de la prueba de la negligencia grave corresponde siempre a la aseguradora que la invoca (STS de 17 de julio de 2012, ROJ: STS 5990/2012).</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Solución razonada</w:t>
            </w:r>
          </w:p>
          <w:p>
            <w:pPr>
              <w:spacing w:after="180" w:line="300"/>
              <w:jc w:val="both"/>
            </w:pPr>
            <w:r>
              <w:rPr>
                <w:rFonts w:ascii="Archivo" w:cs="Archivo" w:eastAsia="Archivo" w:hAnsi="Archivo"/>
                <w:sz w:val="21"/>
                <w:szCs w:val="21"/>
              </w:rPr>
              <w:t xml:space="preserve">La circunstancia de que el sistema estuviera averiado y su reparación hubiera sido solicitada con antelación —extremo que debe acreditarse documentalmente, mediante la comunicación a la empresa instaladora— desplaza el supuesto desde la mera pasividad negligente hacia una imposibilidad sobrevenida no exclusivamente imputable a los asegurados, lo que debilita sustancialmente la tesis de la negligencia grave de la aseguradora. La estrategia procesal debe centrarse en acreditar tanto la avería como la diligencia empleada en intentar repararla antes del siniestro.</w:t>
            </w:r>
          </w:p>
        </w:tc>
      </w:tr>
    </w:tbl>
    <w:p>
      <w:pPr>
        <w:spacing w:after="10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Enseñanza práctica</w:t>
            </w:r>
          </w:p>
          <w:p>
            <w:pPr>
              <w:spacing w:after="180" w:line="300"/>
              <w:jc w:val="both"/>
            </w:pPr>
            <w:r>
              <w:rPr>
                <w:rFonts w:ascii="Archivo" w:cs="Archivo" w:eastAsia="Archivo" w:hAnsi="Archivo"/>
                <w:sz w:val="21"/>
                <w:szCs w:val="21"/>
              </w:rPr>
              <w:t xml:space="preserve">Ante una alegación de negligencia grave, la primera pregunta no es «¿se cumplió la condición pactada?», sino «¿por qué no se cumplió, y es esa razón imputable a una conducta gravemente negligente del asegurado?». La distinción es sutil pero, con frecuencia, decisiva.</w:t>
            </w:r>
          </w:p>
        </w:tc>
      </w:tr>
    </w:tbl>
    <w:p>
      <w:pPr>
        <w:spacing w:after="240"/>
      </w:pPr>
    </w:p>
    <w:p>
      <w:pPr>
        <w:pStyle w:val="Heading2"/>
        <w:spacing w:after="160" w:before="400"/>
      </w:pPr>
      <w:r>
        <w:rPr>
          <w:rFonts w:ascii="Fraunces" w:cs="Fraunces" w:eastAsia="Fraunces" w:hAnsi="Fraunces"/>
          <w:b/>
          <w:bCs/>
          <w:color w:val="0A2540"/>
          <w:sz w:val="24"/>
          <w:szCs w:val="24"/>
        </w:rPr>
        <w:t xml:space="preserve">Caso 4. Responsabilidad civil del cabeza de familia por incendio causado por un hijo</w:t>
      </w: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Hechos</w:t>
            </w:r>
          </w:p>
          <w:p>
            <w:pPr>
              <w:spacing w:after="180" w:line="300"/>
              <w:jc w:val="both"/>
            </w:pPr>
            <w:r>
              <w:rPr>
                <w:rFonts w:ascii="Archivo" w:cs="Archivo" w:eastAsia="Archivo" w:hAnsi="Archivo"/>
                <w:sz w:val="21"/>
                <w:szCs w:val="21"/>
              </w:rPr>
              <w:t xml:space="preserve">El hijo mayor de edad de los tomadores de una póliza de hogar provoca, de forma imprudente, un incendio en un local ajeno mientras manipulaba productos inflamables sustraídos sin autorización. El propietario del local, perjudicado, reclama la indemnización a la aseguradora de la póliza de hogar de los padres, invocando la cobertura de responsabilidad civil del cabeza de familia. La aseguradora opone que el hijo actuó con mala fe al sustraer los productos, lo que excluiría la cobertura conforme al art. 19 LCS.</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Cuestión jurídica</w:t>
            </w:r>
          </w:p>
          <w:p>
            <w:pPr>
              <w:spacing w:after="180" w:line="300"/>
              <w:jc w:val="both"/>
            </w:pPr>
            <w:r>
              <w:rPr>
                <w:rFonts w:ascii="Archivo" w:cs="Archivo" w:eastAsia="Archivo" w:hAnsi="Archivo"/>
                <w:sz w:val="21"/>
                <w:szCs w:val="21"/>
              </w:rPr>
              <w:t xml:space="preserve">¿Puede la aseguradora oponer al perjudicado la eventual mala fe del asegurado causante del incendio?</w:t>
            </w:r>
          </w:p>
        </w:tc>
      </w:tr>
    </w:tbl>
    <w:p>
      <w:pPr>
        <w:spacing w:after="100"/>
      </w:pP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Doctrina aplicable</w:t>
            </w:r>
          </w:p>
          <w:p>
            <w:pPr>
              <w:spacing w:after="180" w:line="300"/>
              <w:jc w:val="both"/>
            </w:pPr>
            <w:r>
              <w:rPr>
                <w:rFonts w:ascii="Archivo" w:cs="Archivo" w:eastAsia="Archivo" w:hAnsi="Archivo"/>
                <w:sz w:val="21"/>
                <w:szCs w:val="21"/>
              </w:rPr>
              <w:t xml:space="preserve">El capítulo 13 desarrolla en detalle este supuesto, prácticamente idéntico al resuelto por la STS de 20 de abril de 2023 (ROJ: STS 1544/2023): el dolo relativo a un acto inicial (la sustracción) no se extiende automáticamente al resultado dañoso final (el incendio) si este no fue querido ni aceptado como consecuencia altamente probable. Y, en todo caso, conforme al art. 76 LCS, la acción directa del perjudicado es inmune a las excepciones personales del asegurador frente al asegurado, incluida su eventual mala fe.</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Solución razonada</w:t>
            </w:r>
          </w:p>
          <w:p>
            <w:pPr>
              <w:spacing w:after="180" w:line="300"/>
              <w:jc w:val="both"/>
            </w:pPr>
            <w:r>
              <w:rPr>
                <w:rFonts w:ascii="Archivo" w:cs="Archivo" w:eastAsia="Archivo" w:hAnsi="Archivo"/>
                <w:sz w:val="21"/>
                <w:szCs w:val="21"/>
              </w:rPr>
              <w:t xml:space="preserve">El perjudicado tiene derecho a la indemnización con independencia de que prospere o no, en la relación interna entre la aseguradora y sus propios asegurados, la excepción de mala fe: esta última cuestión, de ser fundada, solo legitimaría a la aseguradora para repetir posteriormente contra el asegurado causante (art. 76 LCS, inciso primero), pero no para denegar el pago al tercero perjudicado.</w:t>
            </w:r>
          </w:p>
        </w:tc>
      </w:tr>
    </w:tbl>
    <w:p>
      <w:pPr>
        <w:spacing w:after="10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Enseñanza práctica</w:t>
            </w:r>
          </w:p>
          <w:p>
            <w:pPr>
              <w:spacing w:after="180" w:line="300"/>
              <w:jc w:val="both"/>
            </w:pPr>
            <w:r>
              <w:rPr>
                <w:rFonts w:ascii="Archivo" w:cs="Archivo" w:eastAsia="Archivo" w:hAnsi="Archivo"/>
                <w:sz w:val="21"/>
                <w:szCs w:val="21"/>
              </w:rPr>
              <w:t xml:space="preserve">En responsabilidad civil, conviene recordar siempre desde qué posición se analiza el dolo: la posición del asegurado frente a su aseguradora (donde el dolo sí exonera, art. 19 LCS) es jurídicamente independiente de la posición del tercero perjudicado frente a la aseguradora (donde esa misma excepción resulta inoponible, art. 76 LCS).</w:t>
            </w:r>
          </w:p>
        </w:tc>
      </w:tr>
    </w:tbl>
    <w:p>
      <w:pPr>
        <w:spacing w:after="240"/>
      </w:pPr>
    </w:p>
    <w:p>
      <w:pPr>
        <w:pStyle w:val="Heading2"/>
        <w:spacing w:after="160" w:before="400"/>
      </w:pPr>
      <w:r>
        <w:rPr>
          <w:rFonts w:ascii="Fraunces" w:cs="Fraunces" w:eastAsia="Fraunces" w:hAnsi="Fraunces"/>
          <w:b/>
          <w:bCs/>
          <w:color w:val="0A2540"/>
          <w:sz w:val="24"/>
          <w:szCs w:val="24"/>
        </w:rPr>
        <w:t xml:space="preserve">Caso 5. Límite insuficiente en la cobertura de defensa jurídica</w:t>
      </w: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Hechos</w:t>
            </w:r>
          </w:p>
          <w:p>
            <w:pPr>
              <w:spacing w:after="180" w:line="300"/>
              <w:jc w:val="both"/>
            </w:pPr>
            <w:r>
              <w:rPr>
                <w:rFonts w:ascii="Archivo" w:cs="Archivo" w:eastAsia="Archivo" w:hAnsi="Archivo"/>
                <w:sz w:val="21"/>
                <w:szCs w:val="21"/>
              </w:rPr>
              <w:t xml:space="preserve">Un asegurado es demandado en un procedimiento civil derivado de un siniestro de agua causado a un vecino. Ante un conflicto de intereses con su propia aseguradora (que asegura también al vecino demandante), designa abogado de su libre elección. La factura de honorarios asciende a 3.200 euros; la póliza fija un límite de 500 euros para los supuestos de libre designación.</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Cuestión jurídica</w:t>
            </w:r>
          </w:p>
          <w:p>
            <w:pPr>
              <w:spacing w:after="180" w:line="300"/>
              <w:jc w:val="both"/>
            </w:pPr>
            <w:r>
              <w:rPr>
                <w:rFonts w:ascii="Archivo" w:cs="Archivo" w:eastAsia="Archivo" w:hAnsi="Archivo"/>
                <w:sz w:val="21"/>
                <w:szCs w:val="21"/>
              </w:rPr>
              <w:t xml:space="preserve">¿Es oponible al asegurado el límite de 500 euros pactado en la póliza?</w:t>
            </w:r>
          </w:p>
        </w:tc>
      </w:tr>
    </w:tbl>
    <w:p>
      <w:pPr>
        <w:spacing w:after="100"/>
      </w:pP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Doctrina aplicable</w:t>
            </w:r>
          </w:p>
          <w:p>
            <w:pPr>
              <w:spacing w:after="180" w:line="300"/>
              <w:jc w:val="both"/>
            </w:pPr>
            <w:r>
              <w:rPr>
                <w:rFonts w:ascii="Archivo" w:cs="Archivo" w:eastAsia="Archivo" w:hAnsi="Archivo"/>
                <w:sz w:val="21"/>
                <w:szCs w:val="21"/>
              </w:rPr>
              <w:t xml:space="preserve">El capítulo 14 desarrolla precisamente este supuesto con apoyo en la STS de 24 de febrero de 2021 (ROJ: STS 584/2021), que califica como limitativa —e incluso potencialmente lesiva— la cláusula que fija un límite notoriamente insuficiente en relación con el coste razonable de una defensa jurídica adecuada al tipo de procedimiento, con independencia de su ubicación formal en el condicionado.</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Solución razonada</w:t>
            </w:r>
          </w:p>
          <w:p>
            <w:pPr>
              <w:spacing w:after="180" w:line="300"/>
              <w:jc w:val="both"/>
            </w:pPr>
            <w:r>
              <w:rPr>
                <w:rFonts w:ascii="Archivo" w:cs="Archivo" w:eastAsia="Archivo" w:hAnsi="Archivo"/>
                <w:sz w:val="21"/>
                <w:szCs w:val="21"/>
              </w:rPr>
              <w:t xml:space="preserve">Procede reclamar la diferencia entre los 500 euros abonados y el coste real y razonable de la defensa, argumentando que el límite pactado vacía de contenido efectivo el derecho de libre elección reconocido por el art. 76.d) LCS para un procedimiento civil de la complejidad del descrito, con apoyo pericial (informe de honorarios conforme a los criterios orientadores del colegio de abogados correspondiente) sobre la razonabilidad de la minuta reclamada.</w:t>
            </w:r>
          </w:p>
        </w:tc>
      </w:tr>
    </w:tbl>
    <w:p>
      <w:pPr>
        <w:spacing w:after="10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Enseñanza práctica</w:t>
            </w:r>
          </w:p>
          <w:p>
            <w:pPr>
              <w:spacing w:after="180" w:line="300"/>
              <w:jc w:val="both"/>
            </w:pPr>
            <w:r>
              <w:rPr>
                <w:rFonts w:ascii="Archivo" w:cs="Archivo" w:eastAsia="Archivo" w:hAnsi="Archivo"/>
                <w:sz w:val="21"/>
                <w:szCs w:val="21"/>
              </w:rPr>
              <w:t xml:space="preserve">Un límite cuantitativo de defensa jurídica no es, por sí solo, ni válido ni inválido: su oponibilidad depende siempre de una comparación funcional entre su importe y el coste razonable de una defensa adecuada al procedimiento concreto, comparación que debe documentarse con prueba pericial sobre honorarios.</w:t>
            </w:r>
          </w:p>
        </w:tc>
      </w:tr>
    </w:tbl>
    <w:p>
      <w:pPr>
        <w:spacing w:after="240"/>
      </w:pPr>
    </w:p>
    <w:p>
      <w:pPr>
        <w:pStyle w:val="Heading2"/>
        <w:spacing w:after="160" w:before="400"/>
      </w:pPr>
      <w:r>
        <w:rPr>
          <w:rFonts w:ascii="Fraunces" w:cs="Fraunces" w:eastAsia="Fraunces" w:hAnsi="Fraunces"/>
          <w:b/>
          <w:bCs/>
          <w:color w:val="0A2540"/>
          <w:sz w:val="24"/>
          <w:szCs w:val="24"/>
        </w:rPr>
        <w:t xml:space="preserve">Caso 6. Prescripción de la acción con proceso penal previo</w:t>
      </w: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Hechos</w:t>
            </w:r>
          </w:p>
          <w:p>
            <w:pPr>
              <w:spacing w:after="180" w:line="300"/>
              <w:jc w:val="both"/>
            </w:pPr>
            <w:r>
              <w:rPr>
                <w:rFonts w:ascii="Archivo" w:cs="Archivo" w:eastAsia="Archivo" w:hAnsi="Archivo"/>
                <w:sz w:val="21"/>
                <w:szCs w:val="21"/>
              </w:rPr>
              <w:t xml:space="preserve">Un incendio provocado intencionadamente por un tercero desconocido destruye parcialmente una vivienda en enero de 2023. Se incoan diligencias penales que concluyen, en marzo de 2025, con un auto de sobreseimiento provisional por no haberse identificado al autor. El propietario, que había esperado la resolución del proceso penal antes de reclamar formalmente a su propia aseguradora, presenta la reclamación extrajudicial en junio de 2025. La aseguradora opone la prescripción de la acción.</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Cuestión jurídica</w:t>
            </w:r>
          </w:p>
          <w:p>
            <w:pPr>
              <w:spacing w:after="180" w:line="300"/>
              <w:jc w:val="both"/>
            </w:pPr>
            <w:r>
              <w:rPr>
                <w:rFonts w:ascii="Archivo" w:cs="Archivo" w:eastAsia="Archivo" w:hAnsi="Archivo"/>
                <w:sz w:val="21"/>
                <w:szCs w:val="21"/>
              </w:rPr>
              <w:t xml:space="preserve">¿Ha prescrito la acción del asegurado frente a su propia aseguradora derivada del contrato de seguro?</w:t>
            </w:r>
          </w:p>
        </w:tc>
      </w:tr>
    </w:tbl>
    <w:p>
      <w:pPr>
        <w:spacing w:after="100"/>
      </w:pPr>
    </w:p>
    <w:tbl>
      <w:tblPr>
        <w:tblW w:type="pct" w:w="100%"/>
        <w:tblBorders>
          <w:top w:val="single" w:color="CBD5E1" w:sz="4"/>
          <w:left w:val="single" w:color="8A5A0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8A5A00"/>
                <w:sz w:val="18"/>
                <w:szCs w:val="18"/>
              </w:rPr>
              <w:t xml:space="preserve">Doctrina aplicable</w:t>
            </w:r>
          </w:p>
          <w:p>
            <w:pPr>
              <w:spacing w:after="180" w:line="300"/>
              <w:jc w:val="both"/>
            </w:pPr>
            <w:r>
              <w:rPr>
                <w:rFonts w:ascii="Archivo" w:cs="Archivo" w:eastAsia="Archivo" w:hAnsi="Archivo"/>
                <w:sz w:val="21"/>
                <w:szCs w:val="21"/>
              </w:rPr>
              <w:t xml:space="preserve">El capítulo 22 resuelve este supuesto con apoyo directo en la STS de 15 de febrero de 2022 (ROJ: STS 517/2022), recaída precisamente sobre un seguro multirriesgo de hogar: la acción de cumplimiento contractual del asegurado frente a su propia aseguradora, derivada de los arts. 1 y 45 LCS, sigue el plazo autónomo de dos años del art. 23 LCS, cuyo cómputo no queda suspendido por la mera pendencia de un proceso penal contra un tercero por los mismos hechos, salvo que la acción ejercitada coincida sustancialmente con la que pudo ventilarse en el proceso penal.</w:t>
            </w:r>
          </w:p>
        </w:tc>
      </w:tr>
    </w:tbl>
    <w:p>
      <w:pPr>
        <w:spacing w:after="100"/>
      </w:pPr>
    </w:p>
    <w:tbl>
      <w:tblPr>
        <w:tblW w:type="pct" w:w="100%"/>
        <w:tblBorders>
          <w:top w:val="single" w:color="CBD5E1" w:sz="4"/>
          <w:left w:val="single" w:color="1B6DF0"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1B6DF0"/>
                <w:sz w:val="18"/>
                <w:szCs w:val="18"/>
              </w:rPr>
              <w:t xml:space="preserve">Solución razonada</w:t>
            </w:r>
          </w:p>
          <w:p>
            <w:pPr>
              <w:spacing w:after="180" w:line="300"/>
              <w:jc w:val="both"/>
            </w:pPr>
            <w:r>
              <w:rPr>
                <w:rFonts w:ascii="Archivo" w:cs="Archivo" w:eastAsia="Archivo" w:hAnsi="Archivo"/>
                <w:sz w:val="21"/>
                <w:szCs w:val="21"/>
              </w:rPr>
              <w:t xml:space="preserve">Contado el plazo de dos años desde enero de 2023 (fecha del siniestro, sin que conste incumplimiento del deber de comunicación), la acción contractual frente a la propia aseguradora habría prescrito, en principio, en enero de 2025, varios meses antes de la reclamación de junio de 2025, con independencia de que el proceso penal siguiera abierto. Solo si se acredita un acto interruptivo dentro de ese plazo —una reclamación extrajudicial previa no mencionada en el relato de hechos, o un reconocimiento de deuda por la aseguradora— podría salvarse la acción.</w:t>
            </w:r>
          </w:p>
        </w:tc>
      </w:tr>
    </w:tbl>
    <w:p>
      <w:pPr>
        <w:spacing w:after="100"/>
      </w:pPr>
    </w:p>
    <w:tbl>
      <w:tblPr>
        <w:tblW w:type="pct" w:w="100%"/>
        <w:tblBorders>
          <w:top w:val="single" w:color="CBD5E1" w:sz="4"/>
          <w:left w:val="single" w:color="6B7A8F" w:sz="24"/>
          <w:bottom w:val="single" w:color="CBD5E1" w:sz="4"/>
          <w:right w:val="single" w:color="CBD5E1" w:sz="4"/>
          <w:insideH w:val="single" w:color="auto" w:sz="4"/>
          <w:insideV w:val="single" w:color="auto" w:sz="4"/>
        </w:tblBorders>
      </w:tblPr>
      <w:tblGrid>
        <w:gridCol w:w="100"/>
      </w:tblGrid>
      <w:tr>
        <w:tc>
          <w:tcPr>
            <w:shd w:fill="F4F6F9" w:val="clear"/>
            <w:tcMar>
              <w:top w:type="dxa" w:w="160"/>
              <w:left w:type="dxa" w:w="220"/>
              <w:bottom w:type="dxa" w:w="160"/>
              <w:right w:type="dxa" w:w="220"/>
            </w:tcMar>
          </w:tcPr>
          <w:p>
            <w:pPr>
              <w:spacing w:after="100"/>
            </w:pPr>
            <w:r>
              <w:rPr>
                <w:rFonts w:ascii="Archivo" w:cs="Archivo" w:eastAsia="Archivo" w:hAnsi="Archivo"/>
                <w:b/>
                <w:bCs/>
                <w:caps/>
                <w:color w:val="6B7A8F"/>
                <w:sz w:val="18"/>
                <w:szCs w:val="18"/>
              </w:rPr>
              <w:t xml:space="preserve">Enseñanza práctica</w:t>
            </w:r>
          </w:p>
          <w:p>
            <w:pPr>
              <w:spacing w:after="180" w:line="300"/>
              <w:jc w:val="both"/>
            </w:pPr>
            <w:r>
              <w:rPr>
                <w:rFonts w:ascii="Archivo" w:cs="Archivo" w:eastAsia="Archivo" w:hAnsi="Archivo"/>
                <w:sz w:val="21"/>
                <w:szCs w:val="21"/>
              </w:rPr>
              <w:t xml:space="preserve">La regla es de aplicación tan sencilla como peligrosa si se ignora: nunca debe esperarse a la resolución de un proceso penal paralelo para activar la reclamación contractual frente a la propia aseguradora. Ante cualquier siniestro con origen potencialmente delictivo, la agenda procesal civil corre de forma autónoma desde el primer día.</w:t>
            </w:r>
          </w:p>
        </w:tc>
      </w:tr>
    </w:tbl>
    <w:p>
      <w:pPr>
        <w:spacing w:after="240"/>
      </w:pPr>
    </w:p>
    <w:p>
      <w:pPr>
        <w:pStyle w:val="Heading2"/>
        <w:spacing w:after="160" w:before="400"/>
      </w:pPr>
      <w:r>
        <w:rPr>
          <w:rFonts w:ascii="Fraunces" w:cs="Fraunces" w:eastAsia="Fraunces" w:hAnsi="Fraunces"/>
          <w:b/>
          <w:bCs/>
          <w:color w:val="0A2540"/>
          <w:sz w:val="24"/>
          <w:szCs w:val="24"/>
        </w:rPr>
        <w:t xml:space="preserve">Bibliografía citada</w:t>
      </w:r>
    </w:p>
    <w:p>
      <w:pPr>
        <w:spacing w:after="180" w:line="300"/>
        <w:jc w:val="both"/>
      </w:pPr>
      <w:r>
        <w:rPr>
          <w:rFonts w:ascii="Archivo" w:cs="Archivo" w:eastAsia="Archivo" w:hAnsi="Archivo"/>
          <w:sz w:val="21"/>
          <w:szCs w:val="21"/>
        </w:rPr>
        <w:t xml:space="preserve">Los casos de este capítulo se apoyan íntegramente en la normativa y jurisprudencia ya citada y verificada en los capítulos correspondientes de esta obra, a los que se remite para la cita completa de cada resolución.</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chivo" w:cs="Archivo" w:eastAsia="Archivo" w:hAnsi="Archivo"/>
        <w:color w:val="6B7A8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chivo" w:cs="Archivo" w:eastAsia="Archivo" w:hAnsi="Archivo"/>
          <w:sz w:val="17"/>
          <w:szCs w:val="17"/>
        </w:rPr>
        <w:t xml:space="preserve">SÁNCHEZ CALERO, F. (dir.), Ley de Contrato de Seguro. Comentarios a la Ley 50/1980, de 8 de octubre, y a sus modificaciones, Aranzadi-Thomson Reuters, Cizur Menor, ad art. 1: el precepto acoge la noción causal del contrato de seguro sobre la base del binomio prima-riesgo, superando la discusión doctrinal decimonónica sobre su naturaleza indemnizatoria o de garantía.</w:t>
      </w:r>
    </w:p>
  </w:footnote>
  <w:footnote w:id="2">
    <w:p>
      <w:r>
        <w:rPr>
          <w:rStyle w:val="FootnoteReference"/>
        </w:rPr>
        <w:footnoteRef/>
      </w:r>
      <w:r>
        <w:rPr>
          <w:rFonts w:ascii="Archivo" w:cs="Archivo" w:eastAsia="Archivo" w:hAnsi="Archivo"/>
          <w:sz w:val="17"/>
          <w:szCs w:val="17"/>
        </w:rPr>
        <w:t xml:space="preserve">La figura del seguro «multirriesgo» o «combinado» no constituye un tipo contractual distinto, sino la yuxtaposición, bajo una sola póliza, de varias modalidades de seguro de daños (incendio, robo, agua, etc.) y, en su caso, de responsabilidad civil; cfr. VEIGA COPO, A. B., Tratado del Contrato de Seguro, Civitas-Thomson Reuters, Cizur Menor, últimas ediciones, tomo I, capítulo dedicado a los seguros multirriesgo y combinados.</w:t>
      </w:r>
    </w:p>
  </w:footnote>
  <w:footnote w:id="3">
    <w:p>
      <w:r>
        <w:rPr>
          <w:rStyle w:val="FootnoteReference"/>
        </w:rPr>
        <w:footnoteRef/>
      </w:r>
      <w:r>
        <w:rPr>
          <w:rFonts w:ascii="Archivo" w:cs="Archivo" w:eastAsia="Archivo" w:hAnsi="Archivo"/>
          <w:sz w:val="17"/>
          <w:szCs w:val="17"/>
        </w:rPr>
        <w:t xml:space="preserve">La caracterización del seguro como contrato «de máxima buena fe» procede de la tradición angloamericana (utmost good faith), pero ha sido plenamente asumida por la doctrina española como principio informador transversal de la LCS; vid. TIRADO SUÁREZ, F. J., en Comentarios al Código de Comercio y legislación mercantil especial (dir. R. Uría, A. Menéndez y M. Olivencia), tomo XXIV, vol. 1.º, Edersa/Civitas, epígrafe introductorio sobre los principios informadores del contrato de seguro.</w:t>
      </w:r>
    </w:p>
  </w:footnote>
  <w:footnote w:id="4">
    <w:p>
      <w:r>
        <w:rPr>
          <w:rStyle w:val="FootnoteReference"/>
        </w:rPr>
        <w:footnoteRef/>
      </w:r>
      <w:r>
        <w:rPr>
          <w:rFonts w:ascii="Archivo" w:cs="Archivo" w:eastAsia="Archivo" w:hAnsi="Archivo"/>
          <w:sz w:val="17"/>
          <w:szCs w:val="17"/>
        </w:rPr>
        <w:t xml:space="preserve">La distinción es, con VEIGA COPO, «la más fecunda y a la vez más problemática summa divisio de todo el derecho contractual del seguro español», por la trascendencia práctica de sus consecuencias en materia de oponibilidad; VEIGA COPO, A. B., Condiciones generales y particulares en el contrato de seguro, Civitas-Thomson Reuters, Cizur Menor.</w:t>
      </w:r>
    </w:p>
  </w:footnote>
  <w:footnote w:id="5">
    <w:p>
      <w:r>
        <w:rPr>
          <w:rStyle w:val="FootnoteReference"/>
        </w:rPr>
        <w:footnoteRef/>
      </w:r>
      <w:r>
        <w:rPr>
          <w:rFonts w:ascii="Archivo" w:cs="Archivo" w:eastAsia="Archivo" w:hAnsi="Archivo"/>
          <w:sz w:val="17"/>
          <w:szCs w:val="17"/>
        </w:rPr>
        <w:t xml:space="preserve">Sobre la evolución jurisprudencial de la distinción desde los años noventa, cfr. BATALLER GRAU, J.; BOQUERA MATARREDONA, J.; OLAVARRÍA IGLESIA, J. (coords.), Comentarios a la Ley de Contrato de Seguro, Tirant lo Blanch, Valencia, ad art. 3.</w:t>
      </w:r>
    </w:p>
  </w:footnote>
  <w:footnote w:id="6">
    <w:p>
      <w:r>
        <w:rPr>
          <w:rStyle w:val="FootnoteReference"/>
        </w:rPr>
        <w:footnoteRef/>
      </w:r>
      <w:r>
        <w:rPr>
          <w:rFonts w:ascii="Archivo" w:cs="Archivo" w:eastAsia="Archivo" w:hAnsi="Archivo"/>
          <w:sz w:val="17"/>
          <w:szCs w:val="17"/>
        </w:rPr>
        <w:t xml:space="preserve">En esta línea, un sector doctrinal propone sustituir el criterio formal (ubicación de la cláusula) por un criterio funcional atento a la «expectativa razonable del asegurado» (reasonable expectations doctrine, de raíz anglosajona); vid. la reseña de esta corriente en la Revista Española de Seguros, publicación periódica de la Sección Española de la Asociación Internacional de Derecho de Seguros (SEAIDA).</w:t>
      </w:r>
    </w:p>
  </w:footnote>
  <w:footnote w:id="7">
    <w:p>
      <w:r>
        <w:rPr>
          <w:rStyle w:val="FootnoteReference"/>
        </w:rPr>
        <w:footnoteRef/>
      </w:r>
      <w:r>
        <w:rPr>
          <w:rFonts w:ascii="Archivo" w:cs="Archivo" w:eastAsia="Archivo" w:hAnsi="Archivo"/>
          <w:sz w:val="17"/>
          <w:szCs w:val="17"/>
        </w:rPr>
        <w:t xml:space="preserve">El control de transparencia, de matriz comunitaria (art. 4.2 de la Directiva 93/13/CEE), opera aquí en su vertiente «material» o de comprensibilidad real, no meramente formal o gramatical; sobre su traslación al contrato de seguro, cfr. SÁNCHEZ CALERO, F. (dir.), op. cit., ad art. 3, apartado dedicado al principio de transparencia.</w:t>
      </w:r>
    </w:p>
  </w:footnote>
  <w:footnote w:id="8">
    <w:p>
      <w:r>
        <w:rPr>
          <w:rStyle w:val="FootnoteReference"/>
        </w:rPr>
        <w:footnoteRef/>
      </w:r>
      <w:r>
        <w:rPr>
          <w:rFonts w:ascii="Archivo" w:cs="Archivo" w:eastAsia="Archivo" w:hAnsi="Archivo"/>
          <w:sz w:val="17"/>
          <w:szCs w:val="17"/>
        </w:rPr>
        <w:t xml:space="preserve">La disociación entre tomador, asegurado y beneficiario, extraña a otras figuras contractuales, es una de las notas más singulares del contrato de seguro; sobre su fundamento estructural, vid. SÁNCHEZ CALERO, F. (dir.), Ley de Contrato de Seguro. Comentarios..., op. cit., ad art. 7.</w:t>
      </w:r>
    </w:p>
  </w:footnote>
  <w:footnote w:id="9">
    <w:p>
      <w:r>
        <w:rPr>
          <w:rStyle w:val="FootnoteReference"/>
        </w:rPr>
        <w:footnoteRef/>
      </w:r>
      <w:r>
        <w:rPr>
          <w:rFonts w:ascii="Archivo" w:cs="Archivo" w:eastAsia="Archivo" w:hAnsi="Archivo"/>
          <w:sz w:val="17"/>
          <w:szCs w:val="17"/>
        </w:rPr>
        <w:t xml:space="preserve">La función del interés asegurable es doble: de un lado, causal (evita que el seguro degenere en apuesta); de otro, preventiva (desincentiva la provocación intencionada del siniestro por quien no sufre pérdida alguna con su producción); cfr. VEIGA COPO, A. B., Tratado del Contrato de Seguro, op. cit., tomo I, capítulo dedicado al interés en el seguro.</w:t>
      </w:r>
    </w:p>
  </w:footnote>
  <w:footnote w:id="10">
    <w:p>
      <w:r>
        <w:rPr>
          <w:rStyle w:val="FootnoteReference"/>
        </w:rPr>
        <w:footnoteRef/>
      </w:r>
      <w:r>
        <w:rPr>
          <w:rFonts w:ascii="Archivo" w:cs="Archivo" w:eastAsia="Archivo" w:hAnsi="Archivo"/>
          <w:sz w:val="17"/>
          <w:szCs w:val="17"/>
        </w:rPr>
        <w:t xml:space="preserve">La Ley 26/2006, de mediación de seguros y reaseguros privados, que rigió esta materia hasta 2020, ya había avanzado buena parte de este régimen; el RD-ley 3/2020 lo refuerza y lo alinea con el estándar comunitario, ampliando su ámbito subjetivo a la propia aseguradora cuando distribuye directamente sus productos, no solo a los mediadores independientes; cfr. VEIGA COPO, A. B., Tratado del Contrato de Seguro, op. cit., tomo dedicado a la distribución de seguros.</w:t>
      </w:r>
    </w:p>
  </w:footnote>
  <w:footnote w:id="11">
    <w:p>
      <w:r>
        <w:rPr>
          <w:rStyle w:val="FootnoteReference"/>
        </w:rPr>
        <w:footnoteRef/>
      </w:r>
      <w:r>
        <w:rPr>
          <w:rFonts w:ascii="Archivo" w:cs="Archivo" w:eastAsia="Archivo" w:hAnsi="Archivo"/>
          <w:sz w:val="17"/>
          <w:szCs w:val="17"/>
        </w:rPr>
        <w:t xml:space="preserve">Antes de la reforma de 2023, el precepto obligaba al tomador a declarar «todas las circunstancias por él conocidas que puedan influir en la valoración del riesgo», lo que la práctica aseguradora instrumentalizaba mediante cuestionarios de alcance muy amplio; la reforma de 2023 reforzó el modelo de «declaración-cuestionario» en detrimento del modelo de «declaración espontánea», acercando el régimen español al de otros ordenamientos de nuestro entorno; sobre esta evolución, vid. SÁNCHEZ CALERO, F. (dir.), op. cit., ad art. 10, en sus últimas actualizaciones.</w:t>
      </w:r>
    </w:p>
  </w:footnote>
  <w:footnote w:id="12">
    <w:p>
      <w:r>
        <w:rPr>
          <w:rStyle w:val="FootnoteReference"/>
        </w:rPr>
        <w:footnoteRef/>
      </w:r>
      <w:r>
        <w:rPr>
          <w:rFonts w:ascii="Archivo" w:cs="Archivo" w:eastAsia="Archivo" w:hAnsi="Archivo"/>
          <w:sz w:val="17"/>
          <w:szCs w:val="17"/>
        </w:rPr>
        <w:t xml:space="preserve">La STS, Sala de lo Civil, de 16 de marzo de 2016 (ROJ: STS 1208/2016; ECLI:ES:TS:2016:1208; MP: Orduña Moreno) —que recoge, a su vez, la doctrina de las SSTS 1200/2007, de 15 de noviembre, y 600/2006, de 1 de junio— resume el criterio con especial claridad: el art. 10 LCS «ha concebido más que un deber de declaración, un deber de contestación o respuesta del tomador de lo que se le pregunta por el asegurador», de manera que no basta la simple declaración genérica de «buen estado de salud» o «riesgo normal» sin preguntas específicas, ni exonera al asegurador el hecho de que el cuestionario lo cumplimente materialmente un mediador o el personal de una entidad financiera actuando por su cuenta; cfr. BATALLER GRAU, J. et al., op. cit., ad art. 10.</w:t>
      </w:r>
    </w:p>
  </w:footnote>
  <w:footnote w:id="13">
    <w:p>
      <w:r>
        <w:rPr>
          <w:rStyle w:val="FootnoteReference"/>
        </w:rPr>
        <w:footnoteRef/>
      </w:r>
      <w:r>
        <w:rPr>
          <w:rFonts w:ascii="Archivo" w:cs="Archivo" w:eastAsia="Archivo" w:hAnsi="Archivo"/>
          <w:sz w:val="17"/>
          <w:szCs w:val="17"/>
        </w:rPr>
        <w:t xml:space="preserve">El control de incorporación opera con independencia de que el adherente sea o no consumidor, a diferencia del control de contenido (cláusulas abusivas), reservado a los adherentes que ostenten la condición de consumidor o usuario; cfr. capítulo 25 de esta obra.</w:t>
      </w:r>
    </w:p>
  </w:footnote>
  <w:footnote w:id="14">
    <w:p>
      <w:r>
        <w:rPr>
          <w:rStyle w:val="FootnoteReference"/>
        </w:rPr>
        <w:footnoteRef/>
      </w:r>
      <w:r>
        <w:rPr>
          <w:rFonts w:ascii="Archivo" w:cs="Archivo" w:eastAsia="Archivo" w:hAnsi="Archivo"/>
          <w:sz w:val="17"/>
          <w:szCs w:val="17"/>
        </w:rPr>
        <w:t xml:space="preserve">La regla contra proferentem tiene una larga tradición en el derecho romano (in dubio contra stipulatorem) y se ha convertido, en el derecho contractual moderno, en instrumento privilegiado de control de las condiciones generales predispuestas; sobre su función en el contrato de seguro, vid. VEIGA COPO, A. B., Condiciones generales y particulares en el contrato de seguro, op. cit., capítulo dedicado a la interpretación del contrato de seguro.</w:t>
      </w:r>
    </w:p>
  </w:footnote>
  <w:footnote w:id="15">
    <w:p>
      <w:r>
        <w:rPr>
          <w:rStyle w:val="FootnoteReference"/>
        </w:rPr>
        <w:footnoteRef/>
      </w:r>
      <w:r>
        <w:rPr>
          <w:rFonts w:ascii="Archivo" w:cs="Archivo" w:eastAsia="Archivo" w:hAnsi="Archivo"/>
          <w:sz w:val="17"/>
          <w:szCs w:val="17"/>
        </w:rPr>
        <w:t xml:space="preserve">La distinción entre «interpretación» (fijación del sentido de una declaración de voluntad) y «calificación» (subsunción de esa declaración ya interpretada en una categoría jurídica, como delimitadora o limitativa) es una distinción metodológica clásica que conviene no perder de vista: los cánones de este capítulo operan lógicamente antes de la calificación estudiada en los capítulos 1 y 5; cfr. SÁNCHEZ CALERO, F. (dir.), op. cit., epígrafe introductorio a la interpretación del contrato de seguro.</w:t>
      </w:r>
    </w:p>
  </w:footnote>
  <w:footnote w:id="16">
    <w:p>
      <w:r>
        <w:rPr>
          <w:rStyle w:val="FootnoteReference"/>
        </w:rPr>
        <w:footnoteRef/>
      </w:r>
      <w:r>
        <w:rPr>
          <w:rFonts w:ascii="Archivo" w:cs="Archivo" w:eastAsia="Archivo" w:hAnsi="Archivo"/>
          <w:sz w:val="17"/>
          <w:szCs w:val="17"/>
        </w:rPr>
        <w:t xml:space="preserve">El principio de conservación del contrato (favor contractus), del que el art. 1284 CC es una manifestación particular, opera como límite a las interpretaciones extensivas de las exclusiones que, de aceptarse, convertirían la cobertura contratada en ilusoria; sobre su aplicación al contrato de seguro, cfr. VEIGA COPO, A. B., Condiciones generales y particulares en el contrato de seguro, op. cit., capítulo dedicado a la interpretación.</w:t>
      </w:r>
    </w:p>
  </w:footnote>
  <w:footnote w:id="17">
    <w:p>
      <w:r>
        <w:rPr>
          <w:rStyle w:val="FootnoteReference"/>
        </w:rPr>
        <w:footnoteRef/>
      </w:r>
      <w:r>
        <w:rPr>
          <w:rFonts w:ascii="Archivo" w:cs="Archivo" w:eastAsia="Archivo" w:hAnsi="Archivo"/>
          <w:sz w:val="17"/>
          <w:szCs w:val="17"/>
        </w:rPr>
        <w:t xml:space="preserve">La aplicación supletoria de las disposiciones específicas del seguro de incendio (arts. 45-49 LCS) al seguro multirriesgo, en la parte relativa a esta garantía, es doctrina y práctica pacífica; cfr. SÁNCHEZ CALERO, F. (dir.), op. cit., ad art. 45, sobre la naturaleza de estas normas como «núcleo mínimo» irrenunciable del seguro de incendio cualquiera que sea el producto en que se integre.</w:t>
      </w:r>
    </w:p>
  </w:footnote>
  <w:footnote w:id="18">
    <w:p>
      <w:r>
        <w:rPr>
          <w:rStyle w:val="FootnoteReference"/>
        </w:rPr>
        <w:footnoteRef/>
      </w:r>
      <w:r>
        <w:rPr>
          <w:rFonts w:ascii="Archivo" w:cs="Archivo" w:eastAsia="Archivo" w:hAnsi="Archivo"/>
          <w:sz w:val="17"/>
          <w:szCs w:val="17"/>
        </w:rPr>
        <w:t xml:space="preserve">La amplitud de la cobertura del art. 48 LCS a favor del asegurado, cubriendo incluso su propia negligencia leve, es una de las notas que distinguen históricamente al seguro de incendio de otras modalidades de seguro de daños, heredada de la tradición aseguradora continental; cfr. VEIGA COPO, A. B., Tratado del Contrato de Seguro, op. cit., tomo dedicado a los seguros de daños patrimoniales, capítulo sobre el seguro de incendio.</w:t>
      </w:r>
    </w:p>
  </w:footnote>
  <w:footnote w:id="19">
    <w:p>
      <w:r>
        <w:rPr>
          <w:rStyle w:val="FootnoteReference"/>
        </w:rPr>
        <w:footnoteRef/>
      </w:r>
      <w:r>
        <w:rPr>
          <w:rFonts w:ascii="Archivo" w:cs="Archivo" w:eastAsia="Archivo" w:hAnsi="Archivo"/>
          <w:sz w:val="17"/>
          <w:szCs w:val="17"/>
        </w:rPr>
        <w:t xml:space="preserve">La ausencia de régimen legal específico obliga a proyectar sobre esta garantía, con mayor intensidad que sobre otras, el régimen general de los arts. 1 a 44 LCS (disposiciones generales del seguro contra daños) y, muy especialmente, el art. 3 LCS sobre condiciones generales y limitativas, estudiado en los capítulos 1 y 5; cfr. BATALLER GRAU, J. et al., op. cit., epígrafe introductorio al comentario de las coberturas atípicas del seguro multirriesgo.</w:t>
      </w:r>
    </w:p>
  </w:footnote>
  <w:footnote w:id="20">
    <w:p>
      <w:r>
        <w:rPr>
          <w:rStyle w:val="FootnoteReference"/>
        </w:rPr>
        <w:footnoteRef/>
      </w:r>
      <w:r>
        <w:rPr>
          <w:rFonts w:ascii="Archivo" w:cs="Archivo" w:eastAsia="Archivo" w:hAnsi="Archivo"/>
          <w:sz w:val="17"/>
          <w:szCs w:val="17"/>
        </w:rPr>
        <w:t xml:space="preserve">La distinción entre falta de mantenimiento (excluida) y vicio o defecto constructivo de origen (que puede dar lugar, además, a la responsabilidad de los agentes de la edificación conforme a la LOE, ajena al contrato de seguro) exige, en la práctica, una prueba pericial que se remonte al origen técnico del defecto, no solo a su manifestación externa; cfr. BATALLER GRAU, J. et al., op. cit., ad art. 3, epígrafe sobre exclusiones por deterioro.</w:t>
      </w:r>
    </w:p>
  </w:footnote>
  <w:footnote w:id="21">
    <w:p>
      <w:r>
        <w:rPr>
          <w:rStyle w:val="FootnoteReference"/>
        </w:rPr>
        <w:footnoteRef/>
      </w:r>
      <w:r>
        <w:rPr>
          <w:rFonts w:ascii="Archivo" w:cs="Archivo" w:eastAsia="Archivo" w:hAnsi="Archivo"/>
          <w:sz w:val="17"/>
          <w:szCs w:val="17"/>
        </w:rPr>
        <w:t xml:space="preserve">Sobre la distinción entre daño continuado (que no cierra el plazo de prescripción hasta la consolidación del resultado definitivo) y daño permanente de producción instantánea (cuyo plazo corre desde el conocimiento inicial), con abundante cita de precedentes, vid. la reseña doctrinal de esta distinción en Revista Española de Seguros, op. cit.</w:t>
      </w:r>
    </w:p>
  </w:footnote>
  <w:footnote w:id="22">
    <w:p>
      <w:r>
        <w:rPr>
          <w:rStyle w:val="FootnoteReference"/>
        </w:rPr>
        <w:footnoteRef/>
      </w:r>
      <w:r>
        <w:rPr>
          <w:rFonts w:ascii="Archivo" w:cs="Archivo" w:eastAsia="Archivo" w:hAnsi="Archivo"/>
          <w:sz w:val="17"/>
          <w:szCs w:val="17"/>
        </w:rPr>
        <w:t xml:space="preserve">El art. 50 LCS emplea la expresión «sustracción ilegítima» y remite a «cualquiera de sus formas» de comisión del delito, lo que en la práctica aseguradora se interpreta en sentido amplio, comprensivo tanto del robo con fuerza o violencia como, cuando así se pacte, del hurto y de la apropiación indebida; sobre esta amplitud conceptual, cfr. SÁNCHEZ CALERO, F. (dir.), op. cit., ad art. 50.</w:t>
      </w:r>
    </w:p>
  </w:footnote>
  <w:footnote w:id="23">
    <w:p>
      <w:r>
        <w:rPr>
          <w:rStyle w:val="FootnoteReference"/>
        </w:rPr>
        <w:footnoteRef/>
      </w:r>
      <w:r>
        <w:rPr>
          <w:rFonts w:ascii="Archivo" w:cs="Archivo" w:eastAsia="Archivo" w:hAnsi="Archivo"/>
          <w:sz w:val="17"/>
          <w:szCs w:val="17"/>
        </w:rPr>
        <w:t xml:space="preserve">El sistema dual español —aseguramiento privado de riesgos ordinarios y cobertura pública complementaria de riesgos catastróficos mediante recargo obligatorio— es una de las señas de identidad del ordenamiento asegurador español, sin equivalente exacto en otros ordenamientos de nuestro entorno; sobre su fundamento y funcionamiento, vid. VEIGA COPO, A. B., Tratado del Contrato de Seguro, op. cit., tomo dedicado al Consorcio de Compensación de Seguros.</w:t>
      </w:r>
    </w:p>
  </w:footnote>
  <w:footnote w:id="24">
    <w:p>
      <w:r>
        <w:rPr>
          <w:rStyle w:val="FootnoteReference"/>
        </w:rPr>
        <w:footnoteRef/>
      </w:r>
      <w:r>
        <w:rPr>
          <w:rFonts w:ascii="Archivo" w:cs="Archivo" w:eastAsia="Archivo" w:hAnsi="Archivo"/>
          <w:sz w:val="17"/>
          <w:szCs w:val="17"/>
        </w:rPr>
        <w:t xml:space="preserve">La ausencia de régimen legal específico para esta garantía —al igual que para la de daños por agua— exige proyectar sobre ella, con toda su intensidad, el régimen general de los arts. 1 a 44 LCS y, muy especialmente, el art. 3 LCS sobre condiciones generales y limitativas; cfr. capítulo 8, epígrafe 8.1, cuyo razonamiento es plenamente trasladable a esta garantía.</w:t>
      </w:r>
    </w:p>
  </w:footnote>
  <w:footnote w:id="25">
    <w:p>
      <w:r>
        <w:rPr>
          <w:rStyle w:val="FootnoteReference"/>
        </w:rPr>
        <w:footnoteRef/>
      </w:r>
      <w:r>
        <w:rPr>
          <w:rFonts w:ascii="Archivo" w:cs="Archivo" w:eastAsia="Archivo" w:hAnsi="Archivo"/>
          <w:sz w:val="17"/>
          <w:szCs w:val="17"/>
        </w:rPr>
        <w:t xml:space="preserve">El reconocimiento del daño estético como partida autónoma en el ámbito de los daños materiales a inmuebles —a diferencia del daño estético en su acepción más conocida de responsabilidad civil por lesiones corporales— es una construcción jurisprudencial de raíz eminentemente práctica, fundada en la insatisfacción real del perjudicado que recibe una reparación materialmente correcta pero estéticamente desigual; cfr. la reseña de esta línea jurisprudencial en Revista Española de Seguros, op. cit.</w:t>
      </w:r>
    </w:p>
  </w:footnote>
  <w:footnote w:id="26">
    <w:p>
      <w:r>
        <w:rPr>
          <w:rStyle w:val="FootnoteReference"/>
        </w:rPr>
        <w:footnoteRef/>
      </w:r>
      <w:r>
        <w:rPr>
          <w:rFonts w:ascii="Archivo" w:cs="Archivo" w:eastAsia="Archivo" w:hAnsi="Archivo"/>
          <w:sz w:val="17"/>
          <w:szCs w:val="17"/>
        </w:rPr>
        <w:t xml:space="preserve">La inserción de una garantía de responsabilidad civil dentro de una póliza multirriesgo no altera su naturaleza jurídica: sigue rigiéndose por el régimen especial de los arts. 73 y siguientes LCS, y no por el régimen general del seguro de daños propios; cfr. SÁNCHEZ CALERO, F. (dir.), op. cit., ad art. 73.</w:t>
      </w:r>
    </w:p>
  </w:footnote>
  <w:footnote w:id="27">
    <w:p>
      <w:r>
        <w:rPr>
          <w:rStyle w:val="FootnoteReference"/>
        </w:rPr>
        <w:footnoteRef/>
      </w:r>
      <w:r>
        <w:rPr>
          <w:rFonts w:ascii="Archivo" w:cs="Archivo" w:eastAsia="Archivo" w:hAnsi="Archivo"/>
          <w:sz w:val="17"/>
          <w:szCs w:val="17"/>
        </w:rPr>
        <w:t xml:space="preserve">La acción directa del art. 76 LCS es una de las manifestaciones más características del carácter tuitivo del seguro de responsabilidad civil hacia el tercero perjudicado, ajeno por completo a la relación contractual entre tomador y asegurador; sobre su naturaleza jurídica (¿acción propia iure proprio o subrogación legal?), cfr. VEIGA COPO, A. B., Tratado del Contrato de Seguro, op. cit., tomo dedicado al seguro de responsabilidad civil.</w:t>
      </w:r>
    </w:p>
  </w:footnote>
  <w:footnote w:id="28">
    <w:p>
      <w:r>
        <w:rPr>
          <w:rStyle w:val="FootnoteReference"/>
        </w:rPr>
        <w:footnoteRef/>
      </w:r>
      <w:r>
        <w:rPr>
          <w:rFonts w:ascii="Archivo" w:cs="Archivo" w:eastAsia="Archivo" w:hAnsi="Archivo"/>
          <w:sz w:val="17"/>
          <w:szCs w:val="17"/>
        </w:rPr>
        <w:t xml:space="preserve">La autonomía del seguro de defensa jurídica frente al de responsabilidad civil, pese a su frecuente coexistencia en una misma póliza y a su origen normativo común en la transposición de la Directiva 87/344/CEE, es un rasgo estructural destacado unánimemente por la doctrina; cfr. BATALLER GRAU, J. et al., op. cit., ad arts. 76.a) a 76.g).</w:t>
      </w:r>
    </w:p>
  </w:footnote>
  <w:footnote w:id="29">
    <w:p>
      <w:r>
        <w:rPr>
          <w:rStyle w:val="FootnoteReference"/>
        </w:rPr>
        <w:footnoteRef/>
      </w:r>
      <w:r>
        <w:rPr>
          <w:rFonts w:ascii="Archivo" w:cs="Archivo" w:eastAsia="Archivo" w:hAnsi="Archivo"/>
          <w:sz w:val="17"/>
          <w:szCs w:val="17"/>
        </w:rPr>
        <w:t xml:space="preserve">El derecho de libre elección de abogado y procurador constituye, según ha destacado la doctrina, el núcleo mismo de la protección que el legislador comunitario quiso otorgar al asegurado de defensa jurídica frente al riesgo de que el asegurador, al controlar la elección del profesional, subordinase la calidad de la defensa a sus propios intereses económicos como pagador; cfr. VEIGA COPO, A. B., Tratado del Contrato de Seguro, op. cit., tomo dedicado al seguro de defensa jurídica.</w:t>
      </w:r>
    </w:p>
  </w:footnote>
  <w:footnote w:id="30">
    <w:p>
      <w:r>
        <w:rPr>
          <w:rStyle w:val="FootnoteReference"/>
        </w:rPr>
        <w:footnoteRef/>
      </w:r>
      <w:r>
        <w:rPr>
          <w:rFonts w:ascii="Archivo" w:cs="Archivo" w:eastAsia="Archivo" w:hAnsi="Archivo"/>
          <w:sz w:val="17"/>
          <w:szCs w:val="17"/>
        </w:rPr>
        <w:t xml:space="preserve">La frontera entre el sublímite como mera concreción cuantitativa del riesgo (delimitador) y el sublímite como vaciamiento encubierto de la cobertura general (limitativo o lesivo) es una de las cuestiones más debatidas en la doctrina reciente sobre el art. 3 LCS aplicado a coberturas especiales; cfr. VEIGA COPO, A. B., Condiciones generales y particulares en el contrato de seguro, op. cit.</w:t>
      </w:r>
    </w:p>
  </w:footnote>
  <w:footnote w:id="31">
    <w:p>
      <w:r>
        <w:rPr>
          <w:rStyle w:val="FootnoteReference"/>
        </w:rPr>
        <w:footnoteRef/>
      </w:r>
      <w:r>
        <w:rPr>
          <w:rFonts w:ascii="Archivo" w:cs="Archivo" w:eastAsia="Archivo" w:hAnsi="Archivo"/>
          <w:sz w:val="17"/>
          <w:szCs w:val="17"/>
        </w:rPr>
        <w:t xml:space="preserve">La ausencia de una obligación legal general de aseguramiento de la comunidad contrasta con la extendidísima práctica de suscribirlo, impulsada tanto por la prudencia de las juntas de propietarios como, en ocasiones, por su previsión expresa en los estatutos de la comunidad; cfr. BATALLER GRAU, J. et al., op. cit., epígrafe sobre seguros en la propiedad horizontal.</w:t>
      </w:r>
    </w:p>
  </w:footnote>
  <w:footnote w:id="32">
    <w:p>
      <w:r>
        <w:rPr>
          <w:rStyle w:val="FootnoteReference"/>
        </w:rPr>
        <w:footnoteRef/>
      </w:r>
      <w:r>
        <w:rPr>
          <w:rFonts w:ascii="Archivo" w:cs="Archivo" w:eastAsia="Archivo" w:hAnsi="Archivo"/>
          <w:sz w:val="17"/>
          <w:szCs w:val="17"/>
        </w:rPr>
        <w:t xml:space="preserve">La brecha entre la evolución técnica del riesgo doméstico y la actualización del clausulado estándar es un fenómeno señalado con frecuencia por la doctrina más reciente en seguros de consumo; ante la falta de previsión expresa, el criterio interpretativo aplicable sigue siendo el de la expectativa razonable del asegurado medio y el contenido natural del ramo, ya estudiados en el capítulo 1.</w:t>
      </w:r>
    </w:p>
  </w:footnote>
  <w:footnote w:id="33">
    <w:p>
      <w:r>
        <w:rPr>
          <w:rStyle w:val="FootnoteReference"/>
        </w:rPr>
        <w:footnoteRef/>
      </w:r>
      <w:r>
        <w:rPr>
          <w:rFonts w:ascii="Archivo" w:cs="Archivo" w:eastAsia="Archivo" w:hAnsi="Archivo"/>
          <w:sz w:val="17"/>
          <w:szCs w:val="17"/>
        </w:rPr>
        <w:t xml:space="preserve">La distinción entre exclusiones legales imperativas y exclusiones convencionales sujetas al art. 3 LCS, aunque conceptualmente sencilla, exige un ejercicio constante de calificación en la práctica, dado que muchas condiciones generales reproducen o parafrasean exclusiones legales sin indicar su origen normativo; cfr. SÁNCHEZ CALERO, F. (dir.), op. cit., epígrafe introductorio al régimen de exclusiones del seguro de daños.</w:t>
      </w:r>
    </w:p>
  </w:footnote>
  <w:footnote w:id="34">
    <w:p>
      <w:r>
        <w:rPr>
          <w:rStyle w:val="FootnoteReference"/>
        </w:rPr>
        <w:footnoteRef/>
      </w:r>
      <w:r>
        <w:rPr>
          <w:rFonts w:ascii="Archivo" w:cs="Archivo" w:eastAsia="Archivo" w:hAnsi="Archivo"/>
          <w:sz w:val="17"/>
          <w:szCs w:val="17"/>
        </w:rPr>
        <w:t xml:space="preserve">La exclusión por desocupación prolongada guarda una relación funcional con el deber de comunicación de la agravación del riesgo del art. 11 LCS estudiado en el capítulo 4, en la medida en que un cambio duradero en el patrón de ocupación de la vivienda puede constituir, en sí mismo, una circunstancia agravante sujeta a dicho deber si fue objeto de pregunta en el cuestionario inicial; cfr. capítulo 4, epígrafe 3.3.1.</w:t>
      </w:r>
    </w:p>
  </w:footnote>
  <w:footnote w:id="35">
    <w:p>
      <w:r>
        <w:rPr>
          <w:rStyle w:val="FootnoteReference"/>
        </w:rPr>
        <w:footnoteRef/>
      </w:r>
      <w:r>
        <w:rPr>
          <w:rFonts w:ascii="Archivo" w:cs="Archivo" w:eastAsia="Archivo" w:hAnsi="Archivo"/>
          <w:sz w:val="17"/>
          <w:szCs w:val="17"/>
        </w:rPr>
        <w:t xml:space="preserve">El distinto rigor de ambos deberes —precontractual y de comunicación del siniestro— obedece a su distinta función: el primero protege la correcta tarificación del riesgo ex ante, mientras que el segundo persigue únicamente permitir al asegurador una gestión diligente del siniestro ya acaecido; cfr. SÁNCHEZ CALERO, F. (dir.), op. cit., ad art. 16.</w:t>
      </w:r>
    </w:p>
  </w:footnote>
  <w:footnote w:id="36">
    <w:p>
      <w:r>
        <w:rPr>
          <w:rStyle w:val="FootnoteReference"/>
        </w:rPr>
        <w:footnoteRef/>
      </w:r>
      <w:r>
        <w:rPr>
          <w:rFonts w:ascii="Archivo" w:cs="Archivo" w:eastAsia="Archivo" w:hAnsi="Archivo"/>
          <w:sz w:val="17"/>
          <w:szCs w:val="17"/>
        </w:rPr>
        <w:t xml:space="preserve">El procedimiento del art. 38 LCS es, en la caracterización de la propia jurisprudencia, un cauce extrajudicial de naturaleza pericial y liquidadora, no arbitral en sentido técnico, cuya función se agota en la fijación cuantitativa del daño cuando las partes discrepan sobre su importe; cfr. VEIGA COPO, A. B., Tratado del Contrato de Seguro, op. cit., tomo dedicado a la liquidación del siniestro.</w:t>
      </w:r>
    </w:p>
  </w:footnote>
  <w:footnote w:id="37">
    <w:p>
      <w:r>
        <w:rPr>
          <w:rStyle w:val="FootnoteReference"/>
        </w:rPr>
        <w:footnoteRef/>
      </w:r>
      <w:r>
        <w:rPr>
          <w:rFonts w:ascii="Archivo" w:cs="Archivo" w:eastAsia="Archivo" w:hAnsi="Archivo"/>
          <w:sz w:val="17"/>
          <w:szCs w:val="17"/>
        </w:rPr>
        <w:t xml:space="preserve">Esta distinción resuelve una tensión estructural del art. 38 LCS: si el dictamen fuera vinculante en toda cuestión, incluida la de si un determinado daño está o no cubierto por la póliza, se estaría desplazando a los peritos —técnicos en la valoración del daño, no en Derecho— una función jurisdiccional que la Constitución reserva a los tribunales; cfr. BATALLER GRAU, J. et al., op. cit., ad art. 38.</w:t>
      </w:r>
    </w:p>
  </w:footnote>
  <w:footnote w:id="38">
    <w:p>
      <w:r>
        <w:rPr>
          <w:rStyle w:val="FootnoteReference"/>
        </w:rPr>
        <w:footnoteRef/>
      </w:r>
      <w:r>
        <w:rPr>
          <w:rFonts w:ascii="Archivo" w:cs="Archivo" w:eastAsia="Archivo" w:hAnsi="Archivo"/>
          <w:sz w:val="17"/>
          <w:szCs w:val="17"/>
        </w:rPr>
        <w:t xml:space="preserve">La regla proporcional del infraseguro traduce en el plano indemnizatorio el mismo principio de equivalencia entre prima y riesgo que informa el deber precontractual de declaración (art. 10 LCS) y la agravación del riesgo (art. 11 LCS), estudiados en el capítulo 4: en los tres casos, la ley ajusta la prestación del asegurador a la prima efectivamente cobrada en relación con la que correspondería al riesgo real; cfr. VEIGA COPO, A. B., Tratado del Contrato de Seguro, op. cit., tomo dedicado a la suma asegurada y sus vicisitudes.</w:t>
      </w:r>
    </w:p>
  </w:footnote>
  <w:footnote w:id="39">
    <w:p>
      <w:r>
        <w:rPr>
          <w:rStyle w:val="FootnoteReference"/>
        </w:rPr>
        <w:footnoteRef/>
      </w:r>
      <w:r>
        <w:rPr>
          <w:rFonts w:ascii="Archivo" w:cs="Archivo" w:eastAsia="Archivo" w:hAnsi="Archivo"/>
          <w:sz w:val="17"/>
          <w:szCs w:val="17"/>
        </w:rPr>
        <w:t xml:space="preserve">El carácter especial y excluyente del régimen de intereses del art. 20 LCS frente al régimen general de mora del Código Civil y de la Ley de Enjuiciamiento Civil responde a una opción deliberada del legislador de 1995, que quiso dotar al asegurado de un mecanismo disuasorio reforzado frente a la tentación de dilación sistemática por parte de las aseguradoras; cfr. SÁNCHEZ CALERO, F. (dir.), op. cit., ad art. 20, sobre los antecedentes de la reforma operada por la Ley 30/1995.</w:t>
      </w:r>
    </w:p>
  </w:footnote>
  <w:footnote w:id="40">
    <w:p>
      <w:r>
        <w:rPr>
          <w:rStyle w:val="FootnoteReference"/>
        </w:rPr>
        <w:footnoteRef/>
      </w:r>
      <w:r>
        <w:rPr>
          <w:rFonts w:ascii="Archivo" w:cs="Archivo" w:eastAsia="Archivo" w:hAnsi="Archivo"/>
          <w:sz w:val="17"/>
          <w:szCs w:val="17"/>
        </w:rPr>
        <w:t xml:space="preserve">La aparente disparidad terminológica entre «mala fe» y «dolo» a lo largo de la LCS ha sido objeto de estudio doctrinal detenido, concluyéndose mayoritariamente que ambas expresiones designan, en el contexto del art. 19 LCS, la provocación consciente y deliberada del siniestro por el propio asegurado, sin que quepa identificar la «mala fe» del art. 19 con la mera falta de lealtad contractual de menor intensidad; cfr. SÁNCHEZ CALERO, F. (dir.), op. cit., ad art. 19; TIRADO SUÁREZ, F. J., en URÍA, MENÉNDEZ y OLIVENCIA (dirs.), op. cit., epígrafe sobre causas de exclusión del riesgo.</w:t>
      </w:r>
    </w:p>
  </w:footnote>
  <w:footnote w:id="41">
    <w:p>
      <w:r>
        <w:rPr>
          <w:rStyle w:val="FootnoteReference"/>
        </w:rPr>
        <w:footnoteRef/>
      </w:r>
      <w:r>
        <w:rPr>
          <w:rFonts w:ascii="Archivo" w:cs="Archivo" w:eastAsia="Archivo" w:hAnsi="Archivo"/>
          <w:sz w:val="17"/>
          <w:szCs w:val="17"/>
        </w:rPr>
        <w:t xml:space="preserve">La brevedad relativa del plazo de prescripción del seguro de daños frente al plazo general de las acciones personales responde a la necesidad de certidumbre y liquidación ágil propia de la actividad aseguradora, que no puede mantener sus provisiones técnicas indefinidamente abiertas frente a reclamaciones potenciales; cfr. VEIGA COPO, A. B., Tratado del Contrato de Seguro, op. cit., tomo dedicado a la extinción del contrato de seguro.</w:t>
      </w:r>
    </w:p>
  </w:footnote>
  <w:footnote w:id="42">
    <w:p>
      <w:r>
        <w:rPr>
          <w:rStyle w:val="FootnoteReference"/>
        </w:rPr>
        <w:footnoteRef/>
      </w:r>
      <w:r>
        <w:rPr>
          <w:rFonts w:ascii="Archivo" w:cs="Archivo" w:eastAsia="Archivo" w:hAnsi="Archivo"/>
          <w:sz w:val="17"/>
          <w:szCs w:val="17"/>
        </w:rPr>
        <w:t xml:space="preserve">La articulación de un sistema de protección del cliente financiero en dos niveles —interno, a través del SAC/defensor de la propia entidad, y externo, a través del supervisor— sigue el modelo general de protección del cliente de servicios financieros en España, común a banca, seguros y valores; cfr. VEIGA COPO, A. B., Tratado del Contrato de Seguro, op. cit., tomo dedicado a la supervisión y protección del asegurado.</w:t>
      </w:r>
    </w:p>
  </w:footnote>
  <w:footnote w:id="43">
    <w:p>
      <w:r>
        <w:rPr>
          <w:rStyle w:val="FootnoteReference"/>
        </w:rPr>
        <w:footnoteRef/>
      </w:r>
      <w:r>
        <w:rPr>
          <w:rFonts w:ascii="Archivo" w:cs="Archivo" w:eastAsia="Archivo" w:hAnsi="Archivo"/>
          <w:sz w:val="17"/>
          <w:szCs w:val="17"/>
        </w:rPr>
        <w:t xml:space="preserve">La introducción de los MASC como requisito de procedibilidad, inspirada en experiencias comparadas de justicia negociada, persigue reducir la litigiosidad civil ordinaria y fomentar la resolución temprana de conflictos patrimoniales de cuantía moderada, categoría en la que encaja la inmensa mayoría de los siniestros de seguro de hogar; cfr. la explicación del propio preámbulo de la LO 1/2025.</w:t>
      </w:r>
    </w:p>
  </w:footnote>
  <w:footnote w:id="44">
    <w:p>
      <w:r>
        <w:rPr>
          <w:rStyle w:val="FootnoteReference"/>
        </w:rPr>
        <w:footnoteRef/>
      </w:r>
      <w:r>
        <w:rPr>
          <w:rFonts w:ascii="Archivo" w:cs="Archivo" w:eastAsia="Archivo" w:hAnsi="Archivo"/>
          <w:sz w:val="17"/>
          <w:szCs w:val="17"/>
        </w:rPr>
        <w:t xml:space="preserve">El fuero especial en materia de seguros responde a la misma lógica tuitiva del asegurado que informa el conjunto de la LCS, evitando que el asegurado se vea forzado a litigar en un partido judicial distante del propio, elegido unilateralmente por la aseguradora en sus condiciones generales; cfr. SÁNCHEZ CALERO, F. (dir.), op. cit., epígrafe sobre competencia judicial en el contrato de seguro.</w:t>
      </w:r>
    </w:p>
  </w:footnote>
  <w:footnote w:id="45">
    <w:p>
      <w:r>
        <w:rPr>
          <w:rStyle w:val="FootnoteReference"/>
        </w:rPr>
        <w:footnoteRef/>
      </w:r>
      <w:r>
        <w:rPr>
          <w:rFonts w:ascii="Archivo" w:cs="Archivo" w:eastAsia="Archivo" w:hAnsi="Archivo"/>
          <w:sz w:val="17"/>
          <w:szCs w:val="17"/>
        </w:rPr>
        <w:t xml:space="preserve">La condición de consumidor puede, no obstante, decaer cuando la vivienda asegurada se afecta significativamente a una actividad económica del tomador (por ejemplo, alquiler turístico profesionalizado o local con actividad económica dentro de la propia vivienda, cuestión ya apuntada en el capítulo 15 a propósito de los nuevos riesgos del hogar), lo que exige un análisis casuístico de cada contratación concreta.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chivo" w:cs="Archivo" w:eastAsia="Archivo" w:hAnsi="Archivo"/>
        <w:color w:val="6B7A8F"/>
        <w:sz w:val="15"/>
        <w:szCs w:val="15"/>
      </w:rPr>
      <w:t xml:space="preserve">Derecho de Seguros de Hogar · Manual práctico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0A25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2026-08-10T13:54:52.799Z</dcterms:created>
  <dcterms:modified xsi:type="dcterms:W3CDTF">2026-08-10T13:54:52.865Z</dcterms:modified>
</cp:coreProperties>
</file>

<file path=docProps/custom.xml><?xml version="1.0" encoding="utf-8"?>
<Properties xmlns="http://schemas.openxmlformats.org/officeDocument/2006/custom-properties" xmlns:vt="http://schemas.openxmlformats.org/officeDocument/2006/docPropsVTypes"/>
</file>