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Fase precontractual y distribución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Condiciones generales, particulares y especiales: profundización práctica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Interpretación contractual en el seguro de hogar</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Rotura de cristales, sanitarios y elementos fijos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Daños estéticos, inhabitabilidad y pérdida de alquileres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23.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24.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25.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26. Jurisprudencia sistematizada: líneas jurisprudenciales por materia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27. Casos prácticos resueltos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28. El seguro de hogar en perspectiva comparada</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VI. Bibliografía general</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LARRAYA RUIZ, L. J., Las cláusulas limitativas de los derechos de los asegurados: (artículo 3.1 de la Ley 50/1980, de contrato de seguro), tesis doctoral dirigida por V. San Julián Puig, Universidad de Navarra, 2001.</w:t>
      </w:r>
    </w:p>
    <w:p>
      <w:pPr>
        <w:spacing w:after="180" w:line="300"/>
        <w:jc w:val="both"/>
      </w:pPr>
      <w:r>
        <w:rPr>
          <w:rFonts w:ascii="Archivo" w:cs="Archivo" w:eastAsia="Archivo" w:hAnsi="Archivo"/>
          <w:sz w:val="21"/>
          <w:szCs w:val="21"/>
        </w:rPr>
        <w:t xml:space="preserve">MIRANDA SERRANO, L. M., «Cláusulas limitativas y sorprendentes en contratos de seguro: protección de las expectativas y el consentimiento de los asegurados», Revista Crítica de Derecho Inmobiliario, núm. 761, 2017.</w:t>
      </w:r>
    </w:p>
    <w:p>
      <w:pPr>
        <w:spacing w:after="180" w:line="300"/>
        <w:jc w:val="both"/>
      </w:pPr>
      <w:r>
        <w:rPr>
          <w:rFonts w:ascii="Archivo" w:cs="Archivo" w:eastAsia="Archivo" w:hAnsi="Archivo"/>
          <w:sz w:val="21"/>
          <w:szCs w:val="21"/>
        </w:rPr>
        <w:t xml:space="preserve">MIRANDA SERRANO, L. M., «La protección del asegurado en la ley de contrato de seguro: el art. 3 LCS cuarenta años después», Revista Española de Seguros, núm. 189-190, 2022.</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Fase precontractual y distribución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El régimen de distribución de seguros: mediadores, agentes, corredores y banca-seguros</w:t>
            </w:r>
          </w:p>
          <w:p>
            <w:pPr>
              <w:spacing w:after="40" w:line="260"/>
            </w:pPr>
            <w:r>
              <w:rPr>
                <w:rFonts w:ascii="Archivo" w:cs="Archivo" w:eastAsia="Archivo" w:hAnsi="Archivo"/>
                <w:sz w:val="18"/>
                <w:szCs w:val="18"/>
              </w:rPr>
              <w:t xml:space="preserve">3.2. Deberes generales de información precontractual del distribuidor</w:t>
            </w:r>
          </w:p>
          <w:p>
            <w:pPr>
              <w:spacing w:after="40" w:line="260"/>
            </w:pPr>
            <w:r>
              <w:rPr>
                <w:rFonts w:ascii="Archivo" w:cs="Archivo" w:eastAsia="Archivo" w:hAnsi="Archivo"/>
                <w:sz w:val="18"/>
                <w:szCs w:val="18"/>
              </w:rPr>
              <w:t xml:space="preserve">3.3. El deber de asesoramiento y el test de exigencias y necesidades</w:t>
            </w:r>
          </w:p>
          <w:p>
            <w:pPr>
              <w:spacing w:after="40" w:line="260"/>
            </w:pPr>
            <w:r>
              <w:rPr>
                <w:rFonts w:ascii="Archivo" w:cs="Archivo" w:eastAsia="Archivo" w:hAnsi="Archivo"/>
                <w:sz w:val="18"/>
                <w:szCs w:val="18"/>
              </w:rPr>
              <w:t xml:space="preserve">3.4. Agentes y corredores: independencia y responsabilidad</w:t>
            </w:r>
          </w:p>
          <w:p>
            <w:pPr>
              <w:spacing w:after="40" w:line="260"/>
            </w:pPr>
            <w:r>
              <w:rPr>
                <w:rFonts w:ascii="Archivo" w:cs="Archivo" w:eastAsia="Archivo" w:hAnsi="Archivo"/>
                <w:sz w:val="18"/>
                <w:szCs w:val="18"/>
              </w:rPr>
              <w:t xml:space="preserve">3.5. El seguro de hogar vinculado a préstamo hipotecario</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revisión de la fase precontractual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antecede al estudio de la formación del contrato propiamente dicha para examinar la fase precontractual del seguro de hogar y el régimen de distribución de seguros introducido por el Real Decreto-ley 3/2020, en transposición de la Directiva (UE) 2016/97: los deberes de información y asesoramiento de mediadores y aseguradoras, la distinción funcional entre agentes y corredores, y el régimen especial del seguro vinculado a préstamo hipotecario, contexto en el que se contrata una parte muy significativa de las pólizas de hogar en España.</w:t>
            </w:r>
          </w:p>
          <w:p>
            <w:pPr>
              <w:spacing w:after="160"/>
            </w:pPr>
            <w:r>
              <w:rPr>
                <w:rFonts w:ascii="Archivo" w:cs="Archivo" w:eastAsia="Archivo" w:hAnsi="Archivo"/>
                <w:b/>
                <w:bCs/>
                <w:sz w:val="17"/>
                <w:szCs w:val="17"/>
              </w:rPr>
              <w:t xml:space="preserve">Palabras clave: distribución de seguros, mediador de seguros, agente, corredor, deber de asesoramiento, seguro vinculado a hipoteca.</w:t>
            </w:r>
          </w:p>
          <w:p>
            <w:pPr>
              <w:spacing w:after="100"/>
              <w:jc w:val="both"/>
            </w:pPr>
            <w:r>
              <w:rPr>
                <w:rFonts w:ascii="Archivo" w:cs="Archivo" w:eastAsia="Archivo" w:hAnsi="Archivo"/>
                <w:i/>
                <w:iCs/>
                <w:sz w:val="18"/>
                <w:szCs w:val="18"/>
              </w:rPr>
              <w:t xml:space="preserve">This chapter precedes the study of contract formation proper to examine the pre-contractual phase of homeowners' insurance and the insurance distribution regime introduced by Royal Decree-Law 3/2020, transposing Directive (EU) 2016/97: the information and advice duties of intermediaries and insurers, the functional distinction between tied agents and independent brokers, and the special regime for insurance linked to a mortgage loan, the context in which a very significant share of Spanish homeowners' policies are sold.</w:t>
            </w:r>
          </w:p>
          <w:p>
            <w:pPr>
              <w:spacing w:after="0"/>
            </w:pPr>
            <w:r>
              <w:rPr>
                <w:rFonts w:ascii="Archivo" w:cs="Archivo" w:eastAsia="Archivo" w:hAnsi="Archivo"/>
                <w:b/>
                <w:bCs/>
                <w:sz w:val="17"/>
                <w:szCs w:val="17"/>
              </w:rPr>
              <w:t xml:space="preserve">Keywords: insurance distribution, insurance intermediary, agent, broker, duty to advise, mortgage-linked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3.1. El régimen de distribución de seguros: mediadores, agentes, corredores y banca-seguros</w:t>
      </w:r>
    </w:p>
    <w:p>
      <w:pPr>
        <w:spacing w:after="180" w:line="300"/>
        <w:jc w:val="both"/>
      </w:pPr>
      <w:r>
        <w:rPr>
          <w:rFonts w:ascii="Archivo" w:cs="Archivo" w:eastAsia="Archivo" w:hAnsi="Archivo"/>
          <w:sz w:val="21"/>
          <w:szCs w:val="21"/>
        </w:rPr>
        <w:t xml:space="preserve">Una parte sustancial de la litigiosidad del seguro de hogar tiene su origen, no en el clausulado de la póliza, sino en lo ocurrido antes de firmarla: en qué se le explicó —o no se le explicó— al tomador sobre el alcance real de su cobertura. El Real Decreto-ley 3/2020, de 4 de febrero, que incorpora al ordenamiento español la Directiva (UE) 2016/97 sobre distribución de seguros, disciplina esta fase con un grado de detalle desconocido en la LCS de 1980</w:t>
      </w:r>
      <w:r>
        <w:rPr>
          <w:rStyle w:val="FootnoteReference"/>
        </w:rPr>
        <w:footnoteReference w:id="10"/>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régimen distingue varias figuras de distribuidor que el profesional debe saber identificar en cada expediente, porque el origen de la contratación condiciona buena parte de la estrategia probatoria cuando se discute qué se explicó al tomador: la propia aseguradora, cuando vende directamente sus productos (incluida la contratación telefónica o por internet); los agentes de seguros, vinculados en exclusiva o casi exclusiva a una o varias aseguradoras determinadas; los corredores de seguros, que actúan con independencia de cualquier aseguradora concreta; y los operadores de banca-seguros, canal de distribución muy relevante en la práctica española por su conexión con la contratación de préstamos hipotecarios.</w:t>
      </w:r>
    </w:p>
    <w:p>
      <w:pPr>
        <w:pStyle w:val="Heading2"/>
        <w:spacing w:after="160" w:before="400"/>
      </w:pPr>
      <w:r>
        <w:rPr>
          <w:rFonts w:ascii="Fraunces" w:cs="Fraunces" w:eastAsia="Fraunces" w:hAnsi="Fraunces"/>
          <w:b/>
          <w:bCs/>
          <w:color w:val="0A2540"/>
          <w:sz w:val="24"/>
          <w:szCs w:val="24"/>
        </w:rPr>
        <w:t xml:space="preserve">3.2. Deberes generales de información precontractual del distribuidor</w:t>
      </w:r>
    </w:p>
    <w:p>
      <w:pPr>
        <w:spacing w:after="180" w:line="300"/>
        <w:jc w:val="both"/>
      </w:pPr>
      <w:r>
        <w:rPr>
          <w:rFonts w:ascii="Archivo" w:cs="Archivo" w:eastAsia="Archivo" w:hAnsi="Archivo"/>
          <w:sz w:val="21"/>
          <w:szCs w:val="21"/>
        </w:rPr>
        <w:t xml:space="preserve">Los arts. 173 y 174 del RD-ley 3/2020 imponen, respectivamente al mediador y a la propia aseguradora, un catálogo detallado de información que debe suministrarse al cliente con carácter previo a la contratación: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173.1 RD-ley 3/2020 (extracto)</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mediador de seguros deberá proporcionar al cliente, con suficiente antelación, la información siguiente: a) Su identidad y dirección, así como su condición de mediador de seguros. b) Si ofrece asesoramiento en relación con los productos de seguro comercializados. [...] i) [...] si facilita asesoramiento basándose en un análisis objetivo y personalizado; está contractualmente obligado a realizar actividades de distribución de seguros exclusivamente con una, o [...] varias entidades aseguradoras [...]; o no está contractualmente obligado a realizar actividades de distribución de seguros exclusivamente con una o varias entidades aseguradoras [...]. j) La naturaleza de la remuneración recibida en relación con el contrato de seguro.</w:t>
            </w:r>
          </w:p>
        </w:tc>
      </w:tr>
    </w:tbl>
    <w:p>
      <w:pPr>
        <w:spacing w:after="180" w:line="300"/>
        <w:jc w:val="both"/>
      </w:pPr>
      <w:r>
        <w:rPr>
          <w:rFonts w:ascii="Archivo" w:cs="Archivo" w:eastAsia="Archivo" w:hAnsi="Archivo"/>
          <w:sz w:val="21"/>
          <w:szCs w:val="21"/>
        </w:rPr>
        <w:t xml:space="preserve">Esta información —en particular, si el distribuidor asesora con base en un análisis objetivo del mercado o se limita a ofrecer los productos de una o varias aseguradoras determinadas— resulta decisiva para valorar posteriormente el alcance del deber de asesoramiento efectivamente exigible en cada contratación concreta, estudiado en el epígrafe siguiente.</w:t>
      </w:r>
    </w:p>
    <w:p>
      <w:pPr>
        <w:pStyle w:val="Heading2"/>
        <w:spacing w:after="160" w:before="400"/>
      </w:pPr>
      <w:r>
        <w:rPr>
          <w:rFonts w:ascii="Fraunces" w:cs="Fraunces" w:eastAsia="Fraunces" w:hAnsi="Fraunces"/>
          <w:b/>
          <w:bCs/>
          <w:color w:val="0A2540"/>
          <w:sz w:val="24"/>
          <w:szCs w:val="24"/>
        </w:rPr>
        <w:t xml:space="preserve">3.3. El deber de asesoramiento y el test de exigencias y necesidades</w:t>
      </w:r>
    </w:p>
    <w:p>
      <w:pPr>
        <w:spacing w:after="180" w:line="300"/>
        <w:jc w:val="both"/>
      </w:pPr>
      <w:r>
        <w:rPr>
          <w:rFonts w:ascii="Archivo" w:cs="Archivo" w:eastAsia="Archivo" w:hAnsi="Archivo"/>
          <w:sz w:val="21"/>
          <w:szCs w:val="21"/>
        </w:rPr>
        <w:t xml:space="preserve">Más allá de la mera información sobre su propia condición, el distribuidor de seguros está sujeto a un deber activo de determinar las necesidades del cliente y de ofrecerle un producto adecuado a ellas, deber que se intensifica cuando el distribuidor declara prestar asesoramiento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175.1 y 175.2 RD-ley 3/2020</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distribuidor de seguros determinará, basándose en informaciones obtenidas del cliente, las exigencias y las necesidades de dicho cliente y facilitará al mismo información objetiva acerca del producto de seguro de forma comprensible, de modo que el cliente pueda tomar una decisión fundada. Cualquier contrato que se proponga debe respetar las exigencias y necesidades del cliente en materia de seguros. Si se facilita asesoramiento antes de la celebración de un contrato determinado, el distribuidor de seguros facilitará al cliente una recomendación personalizada en la que explique por qué un producto concreto satisfará mejor las exigencias y necesidades del cliente.</w:t>
            </w:r>
          </w:p>
        </w:tc>
      </w:tr>
    </w:tbl>
    <w:p>
      <w:pPr>
        <w:spacing w:after="180" w:line="300"/>
        <w:jc w:val="both"/>
      </w:pPr>
      <w:r>
        <w:rPr>
          <w:rFonts w:ascii="Archivo" w:cs="Archivo" w:eastAsia="Archivo" w:hAnsi="Archivo"/>
          <w:sz w:val="21"/>
          <w:szCs w:val="21"/>
        </w:rPr>
        <w:t xml:space="preserve">Trasladado a la práctica del hogar, este deber exige del distribuidor —sea agente, corredor o la propia aseguradora— algo más que limitarse a recabar los datos identificativos y la dirección del inmueble: debe indagar sobre el uso de la vivienda, la existencia de objetos de valor, la composición del núcleo familiar a efectos de la responsabilidad civil, y explicar de forma comprensible por qué el producto ofrecido, y no otro, se adapta a esas circunstancias. El incumplimiento de este deber, cuando resulta determinante de una contratación inadecuada a las necesidades reales del cliente, puede fundar una reclamación de responsabilidad frente al distribuidor —civil, e incluso profesional, distinta de la propia reclamación de cobertura frente a la aseguradora— cuya naturaleza y régimen se estudian en el epígrafe siguiente.</w:t>
      </w:r>
    </w:p>
    <w:p>
      <w:pPr>
        <w:pStyle w:val="Heading2"/>
        <w:spacing w:after="160" w:before="400"/>
      </w:pPr>
      <w:r>
        <w:rPr>
          <w:rFonts w:ascii="Fraunces" w:cs="Fraunces" w:eastAsia="Fraunces" w:hAnsi="Fraunces"/>
          <w:b/>
          <w:bCs/>
          <w:color w:val="0A2540"/>
          <w:sz w:val="24"/>
          <w:szCs w:val="24"/>
        </w:rPr>
        <w:t xml:space="preserve">3.4. Agentes y corredores: independencia y responsabilidad</w:t>
      </w:r>
    </w:p>
    <w:p>
      <w:pPr>
        <w:spacing w:after="180" w:line="300"/>
        <w:jc w:val="both"/>
      </w:pPr>
      <w:r>
        <w:rPr>
          <w:rFonts w:ascii="Archivo" w:cs="Archivo" w:eastAsia="Archivo" w:hAnsi="Archivo"/>
          <w:sz w:val="21"/>
          <w:szCs w:val="21"/>
        </w:rPr>
        <w:t xml:space="preserve">La distinción entre agentes y corredores de seguros, que la normativa vigente de distribución hereda de la ya derogada Ley 26/2006 y, antes, de la Ley 9/1992, tiene una relevancia práctica que trasciende lo puramente terminológico, según explica con particular claridad una sentencia ya clásica de la Sala Primera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7 de febrero de 2007 (ROJ: STS 696/2007; ECLI:ES:TS:2007:696; MP: Marín Castán)</w:t>
            </w:r>
          </w:p>
          <w:p>
            <w:pPr>
              <w:spacing w:after="0" w:line="280"/>
              <w:jc w:val="both"/>
            </w:pPr>
            <w:r>
              <w:rPr>
                <w:rFonts w:ascii="Archivo" w:cs="Archivo" w:eastAsia="Archivo" w:hAnsi="Archivo"/>
                <w:color w:val="0A2540"/>
                <w:sz w:val="19"/>
                <w:szCs w:val="19"/>
              </w:rPr>
              <w:t xml:space="preserve">«Mientras los agentes de seguros actúan ante el consumidor de seguros creando necesariamente una apariencia de prolongación de la entidad aseguradora a la que se encuentran vinculados y ofrecen al posible tomador los seguros de dicha aseguradora, los corredores de seguros deben ofrecer un asesoramiento profesional fundado en su independencia y explicar al posible tomador del seguro las coberturas que, de entre las existentes en el mercado, mejor se adapten, a su juicio profesional, a las necesidades de quien se encuentra expuesto al riesgo [...]. El corredor de seguros [...] no sólo no actúa con el respaldo de las entidades de seguros sino que [...] debe estar libre de cualquier vínculo que suponga afección a las mismas.»</w:t>
            </w:r>
          </w:p>
        </w:tc>
      </w:tr>
    </w:tbl>
    <w:p>
      <w:pPr>
        <w:spacing w:after="180" w:line="300"/>
        <w:jc w:val="both"/>
      </w:pPr>
      <w:r>
        <w:rPr>
          <w:rFonts w:ascii="Archivo" w:cs="Archivo" w:eastAsia="Archivo" w:hAnsi="Archivo"/>
          <w:sz w:val="21"/>
          <w:szCs w:val="21"/>
        </w:rPr>
        <w:t xml:space="preserve">De esta distinción se deriva una consecuencia práctica de primer orden para el profesional que evalúa una eventual responsabilidad del distribuidor: el estándar de diligencia exigible a un corredor —comparar el mercado y recomendar la opción objetivamente más adecuada— es sustancialmente más exigente que el exigible a un agente, cuyo papel es representar y ofrecer los productos de la aseguradora a la que está vinculado, sin que quepa reprocharle, con carácter general, no haber comparado con ofertas de la competencia.</w:t>
      </w:r>
    </w:p>
    <w:p>
      <w:pPr>
        <w:pStyle w:val="Heading2"/>
        <w:spacing w:after="160" w:before="400"/>
      </w:pPr>
      <w:r>
        <w:rPr>
          <w:rFonts w:ascii="Fraunces" w:cs="Fraunces" w:eastAsia="Fraunces" w:hAnsi="Fraunces"/>
          <w:b/>
          <w:bCs/>
          <w:color w:val="0A2540"/>
          <w:sz w:val="24"/>
          <w:szCs w:val="24"/>
        </w:rPr>
        <w:t xml:space="preserve">3.5. El seguro de hogar vinculado a préstamo hipotecario</w:t>
      </w:r>
    </w:p>
    <w:p>
      <w:pPr>
        <w:spacing w:after="180" w:line="300"/>
        <w:jc w:val="both"/>
      </w:pPr>
      <w:r>
        <w:rPr>
          <w:rFonts w:ascii="Archivo" w:cs="Archivo" w:eastAsia="Archivo" w:hAnsi="Archivo"/>
          <w:sz w:val="21"/>
          <w:szCs w:val="21"/>
        </w:rPr>
        <w:t xml:space="preserve">Una parte muy relevante de la contratación de seguros de hogar en España se produce en el contexto de la formalización de un préstamo hipotecario, en el que la entidad financiera exige la contratación de un seguro de daños sobre el inmueble como condición del préstamo. La Ley 5/2019, reguladora de los contratos de crédito inmobiliario, disciplina con detalle esta práctica, en principio prohibida como venta vinculada salvo la excepción específica que la propia ley contempla para el seguro de daños del inmueble hipotecado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17.3 Ley 5/2019 (extracto)</w:t>
            </w:r>
          </w:p>
          <w:p>
            <w:pPr>
              <w:spacing w:after="0" w:line="280"/>
              <w:jc w:val="both"/>
            </w:pPr>
            <w:r>
              <w:rPr>
                <w:rFonts w:ascii="IBM Plex Mono" w:cs="IBM Plex Mono" w:eastAsia="IBM Plex Mono" w:hAnsi="IBM Plex Mono"/>
                <w:i/>
                <w:iCs/>
                <w:color w:val="0A2540"/>
                <w:sz w:val="18"/>
                <w:szCs w:val="18"/>
              </w:rPr>
              <w:t xml:space="preserve">Como excepción a la prohibición de las prácticas de venta vinculada [...], los prestamistas o intermediarios de crédito inmobiliario podrán exigir al prestatario la suscripción de una póliza de seguro en garantía del cumplimiento de las obligaciones del contrato de préstamo, así como la suscripción de un seguro de daños respecto del inmueble objeto de hipoteca [...]. En este caso el prestamista deberá aceptar pólizas alternativas de todos aquellos proveedores que ofrezcan unas condiciones y un nivel de prestaciones equivalentes a la que aquel hubiera propuesto [...]. El prestamista no podrá cobrar comisión o gasto alguno por el análisis de las pólizas alternativas [...]. La aceptación por el prestamista de una póliza alternativa [...] no podrá suponer empeoramiento en las condiciones de cualquier naturaleza del préstamo.</w:t>
            </w:r>
          </w:p>
        </w:tc>
      </w:tr>
    </w:tbl>
    <w:p>
      <w:pPr>
        <w:spacing w:after="180" w:line="300"/>
        <w:jc w:val="both"/>
      </w:pPr>
      <w:r>
        <w:rPr>
          <w:rFonts w:ascii="Archivo" w:cs="Archivo" w:eastAsia="Archivo" w:hAnsi="Archivo"/>
          <w:sz w:val="21"/>
          <w:szCs w:val="21"/>
        </w:rPr>
        <w:t xml:space="preserve">El derecho del prestatario a sustituir la póliza ofrecida por la propia entidad financiera por una póliza alternativa de condiciones equivalentes, sin coste de análisis ni empeoramiento de las condiciones del préstamo, es una de las herramientas de mayor rentabilidad práctica —y más desconocidas por el consumidor medio— en la contratación del seguro de hogar vinculado a hipoteca: permite, en la práctica, contratar la cobertura de daños con la aseguradora que el cliente prefiera, siempre que acredite un nivel de prestaciones equivalente al exigido por la entidad prestamista.</w:t>
      </w:r>
    </w:p>
    <w:p>
      <w:pPr>
        <w:pStyle w:val="Heading2"/>
        <w:spacing w:after="160" w:before="400"/>
      </w:pPr>
      <w:r>
        <w:rPr>
          <w:rFonts w:ascii="Fraunces" w:cs="Fraunces" w:eastAsia="Fraunces" w:hAnsi="Fraunces"/>
          <w:b/>
          <w:bCs/>
          <w:color w:val="0A2540"/>
          <w:sz w:val="24"/>
          <w:szCs w:val="24"/>
        </w:rPr>
        <w:t xml:space="preserve">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la fase precontractual</w:t>
            </w:r>
          </w:p>
          <w:p>
            <w:pPr>
              <w:pStyle w:val="ListParagraph"/>
              <w:numPr>
                <w:ilvl w:val="0"/>
                <w:numId w:val="2"/>
              </w:numPr>
              <w:spacing w:after="80" w:line="280"/>
            </w:pPr>
            <w:r>
              <w:rPr>
                <w:rFonts w:ascii="Archivo" w:cs="Archivo" w:eastAsia="Archivo" w:hAnsi="Archivo"/>
                <w:sz w:val="19"/>
                <w:szCs w:val="19"/>
              </w:rPr>
              <w:t xml:space="preserve">Identificar el canal de distribución por el que se contrató la póliza (aseguradora directa, agente, corredor, banca-seguros) y su relevancia sobre el estándar de asesoramiento exigible.</w:t>
            </w:r>
          </w:p>
          <w:p>
            <w:pPr>
              <w:pStyle w:val="ListParagraph"/>
              <w:numPr>
                <w:ilvl w:val="0"/>
                <w:numId w:val="2"/>
              </w:numPr>
              <w:spacing w:after="80" w:line="280"/>
            </w:pPr>
            <w:r>
              <w:rPr>
                <w:rFonts w:ascii="Archivo" w:cs="Archivo" w:eastAsia="Archivo" w:hAnsi="Archivo"/>
                <w:sz w:val="19"/>
                <w:szCs w:val="19"/>
              </w:rPr>
              <w:t xml:space="preserve">Reclamar y conservar la documentación de información precontractual (arts. 173-174 RD-ley 3/2020) y, en su caso, la recomendación personalizada del art. 175.2.</w:t>
            </w:r>
          </w:p>
          <w:p>
            <w:pPr>
              <w:pStyle w:val="ListParagraph"/>
              <w:numPr>
                <w:ilvl w:val="0"/>
                <w:numId w:val="2"/>
              </w:numPr>
              <w:spacing w:after="80" w:line="280"/>
            </w:pPr>
            <w:r>
              <w:rPr>
                <w:rFonts w:ascii="Archivo" w:cs="Archivo" w:eastAsia="Archivo" w:hAnsi="Archivo"/>
                <w:sz w:val="19"/>
                <w:szCs w:val="19"/>
              </w:rPr>
              <w:t xml:space="preserve">Ante un corredor, valorar si concurrió un auténtico análisis comparativo del mercado adecuado a las necesidades del cliente, conforme al estándar reforzado de la STS 696/2007 (ROJ: STS 696/2007).</w:t>
            </w:r>
          </w:p>
          <w:p>
            <w:pPr>
              <w:pStyle w:val="ListParagraph"/>
              <w:numPr>
                <w:ilvl w:val="0"/>
                <w:numId w:val="2"/>
              </w:numPr>
              <w:spacing w:after="80" w:line="280"/>
            </w:pPr>
            <w:r>
              <w:rPr>
                <w:rFonts w:ascii="Archivo" w:cs="Archivo" w:eastAsia="Archivo" w:hAnsi="Archivo"/>
                <w:sz w:val="19"/>
                <w:szCs w:val="19"/>
              </w:rPr>
              <w:t xml:space="preserve">En seguros vinculados a préstamo hipotecario, verificar si el cliente conocía y pudo ejercer su derecho a la póliza alternativa del art. 17.3 de la Ley 5/2019.</w:t>
            </w:r>
          </w:p>
        </w:tc>
      </w:tr>
    </w:tbl>
    <w:p>
      <w:pPr>
        <w:pStyle w:val="Heading2"/>
        <w:spacing w:after="160" w:before="400"/>
      </w:pPr>
      <w:r>
        <w:rPr>
          <w:rFonts w:ascii="Fraunces" w:cs="Fraunces" w:eastAsia="Fraunces" w:hAnsi="Fraunces"/>
          <w:b/>
          <w:bCs/>
          <w:color w:val="0A2540"/>
          <w:sz w:val="24"/>
          <w:szCs w:val="24"/>
        </w:rPr>
        <w:t xml:space="preserve">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contratar su seguro de hogar</w:t>
            </w:r>
          </w:p>
          <w:p>
            <w:pPr>
              <w:pStyle w:val="ListParagraph"/>
              <w:numPr>
                <w:ilvl w:val="0"/>
                <w:numId w:val="2"/>
              </w:numPr>
              <w:spacing w:after="80" w:line="280"/>
            </w:pPr>
            <w:r>
              <w:rPr>
                <w:rFonts w:ascii="Archivo" w:cs="Archivo" w:eastAsia="Archivo" w:hAnsi="Archivo"/>
                <w:sz w:val="19"/>
                <w:szCs w:val="19"/>
              </w:rPr>
              <w:t xml:space="preserve">Pregunte a quien le vende el seguro si le asesora comparando el mercado (corredor) o solo le ofrece los productos de una compañía (agente): el nivel de comparación que puede esperar es distinto.</w:t>
            </w:r>
          </w:p>
          <w:p>
            <w:pPr>
              <w:pStyle w:val="ListParagraph"/>
              <w:numPr>
                <w:ilvl w:val="0"/>
                <w:numId w:val="2"/>
              </w:numPr>
              <w:spacing w:after="80" w:line="280"/>
            </w:pPr>
            <w:r>
              <w:rPr>
                <w:rFonts w:ascii="Archivo" w:cs="Archivo" w:eastAsia="Archivo" w:hAnsi="Archivo"/>
                <w:sz w:val="19"/>
                <w:szCs w:val="19"/>
              </w:rPr>
              <w:t xml:space="preserve">Exija que le expliquen por qué ese producto concreto se adapta a sus necesidades, no solo su precio.</w:t>
            </w:r>
          </w:p>
          <w:p>
            <w:pPr>
              <w:pStyle w:val="ListParagraph"/>
              <w:numPr>
                <w:ilvl w:val="0"/>
                <w:numId w:val="2"/>
              </w:numPr>
              <w:spacing w:after="80" w:line="280"/>
            </w:pPr>
            <w:r>
              <w:rPr>
                <w:rFonts w:ascii="Archivo" w:cs="Archivo" w:eastAsia="Archivo" w:hAnsi="Archivo"/>
                <w:sz w:val="19"/>
                <w:szCs w:val="19"/>
              </w:rPr>
              <w:t xml:space="preserve">Si su banco le exige un seguro de hogar para concederle la hipoteca, sepa que tiene derecho a contratarlo con la aseguradora que prefiera, siempre que ofrezca coberturas equivalentes, sin que ello pueda empeorar las condiciones de su préstamo.</w:t>
            </w:r>
          </w:p>
          <w:p>
            <w:pPr>
              <w:pStyle w:val="ListParagraph"/>
              <w:numPr>
                <w:ilvl w:val="0"/>
                <w:numId w:val="2"/>
              </w:numPr>
              <w:spacing w:after="80" w:line="280"/>
            </w:pPr>
            <w:r>
              <w:rPr>
                <w:rFonts w:ascii="Archivo" w:cs="Archivo" w:eastAsia="Archivo" w:hAnsi="Archivo"/>
                <w:sz w:val="19"/>
                <w:szCs w:val="19"/>
              </w:rPr>
              <w:t xml:space="preserve">Guarde toda la documentación informativa que le entreguen antes de firmar: puede ser decisiva si más adelante hay una discrepancia sobre lo que se le explicó.</w:t>
            </w:r>
          </w:p>
        </w:tc>
      </w:tr>
    </w:tbl>
    <w:p>
      <w:pPr>
        <w:pStyle w:val="Heading2"/>
        <w:spacing w:after="160" w:before="400"/>
      </w:pPr>
      <w:r>
        <w:rPr>
          <w:rFonts w:ascii="Fraunces" w:cs="Fraunces" w:eastAsia="Fraunces" w:hAnsi="Fraunces"/>
          <w:b/>
          <w:bCs/>
          <w:color w:val="0A2540"/>
          <w:sz w:val="24"/>
          <w:szCs w:val="24"/>
        </w:rPr>
        <w:t xml:space="preserve">3.8. Checklist: revisión de la fase precontractual</w:t>
      </w:r>
    </w:p>
    <w:p>
      <w:pPr>
        <w:pStyle w:val="ListParagraph"/>
        <w:numPr>
          <w:ilvl w:val="0"/>
          <w:numId w:val="2"/>
        </w:numPr>
        <w:spacing w:after="100" w:line="290"/>
      </w:pPr>
      <w:r>
        <w:rPr>
          <w:rFonts w:ascii="Archivo" w:cs="Archivo" w:eastAsia="Archivo" w:hAnsi="Archivo"/>
          <w:sz w:val="21"/>
          <w:szCs w:val="21"/>
        </w:rPr>
        <w:t xml:space="preserve">1. ¿Por qué canal se contrató la póliza (aseguradora directa, agente, corredor, banca-seguros)?</w:t>
      </w:r>
    </w:p>
    <w:p>
      <w:pPr>
        <w:pStyle w:val="ListParagraph"/>
        <w:numPr>
          <w:ilvl w:val="0"/>
          <w:numId w:val="2"/>
        </w:numPr>
        <w:spacing w:after="100" w:line="290"/>
      </w:pPr>
      <w:r>
        <w:rPr>
          <w:rFonts w:ascii="Archivo" w:cs="Archivo" w:eastAsia="Archivo" w:hAnsi="Archivo"/>
          <w:sz w:val="21"/>
          <w:szCs w:val="21"/>
        </w:rPr>
        <w:t xml:space="preserve">2. ¿Se entregó la información precontractual exigida por los arts. 173-174 RD-ley 3/2020?</w:t>
      </w:r>
    </w:p>
    <w:p>
      <w:pPr>
        <w:pStyle w:val="ListParagraph"/>
        <w:numPr>
          <w:ilvl w:val="0"/>
          <w:numId w:val="2"/>
        </w:numPr>
        <w:spacing w:after="100" w:line="290"/>
      </w:pPr>
      <w:r>
        <w:rPr>
          <w:rFonts w:ascii="Archivo" w:cs="Archivo" w:eastAsia="Archivo" w:hAnsi="Archivo"/>
          <w:sz w:val="21"/>
          <w:szCs w:val="21"/>
        </w:rPr>
        <w:t xml:space="preserve">3. ¿Se ofreció asesoramiento? En tal caso, ¿existe recomendación personalizada documentada (art. 175.2)?</w:t>
      </w:r>
    </w:p>
    <w:p>
      <w:pPr>
        <w:pStyle w:val="ListParagraph"/>
        <w:numPr>
          <w:ilvl w:val="0"/>
          <w:numId w:val="2"/>
        </w:numPr>
        <w:spacing w:after="100" w:line="290"/>
      </w:pPr>
      <w:r>
        <w:rPr>
          <w:rFonts w:ascii="Archivo" w:cs="Archivo" w:eastAsia="Archivo" w:hAnsi="Archivo"/>
          <w:sz w:val="21"/>
          <w:szCs w:val="21"/>
        </w:rPr>
        <w:t xml:space="preserve">4. Si el distribuidor era corredor, ¿comparó realmente el mercado o se limitó a ofrecer un único producto?</w:t>
      </w:r>
    </w:p>
    <w:p>
      <w:pPr>
        <w:pStyle w:val="ListParagraph"/>
        <w:numPr>
          <w:ilvl w:val="0"/>
          <w:numId w:val="2"/>
        </w:numPr>
        <w:spacing w:after="100" w:line="290"/>
      </w:pPr>
      <w:r>
        <w:rPr>
          <w:rFonts w:ascii="Archivo" w:cs="Archivo" w:eastAsia="Archivo" w:hAnsi="Archivo"/>
          <w:sz w:val="21"/>
          <w:szCs w:val="21"/>
        </w:rPr>
        <w:t xml:space="preserve">5. Si el seguro está vinculado a una hipoteca, ¿se informó al cliente de su derecho a una póliza alternativa (art. 17.3 Ley 5/2019)?</w:t>
      </w:r>
    </w:p>
    <w:p>
      <w:pPr>
        <w:pStyle w:val="ListParagraph"/>
        <w:numPr>
          <w:ilvl w:val="0"/>
          <w:numId w:val="2"/>
        </w:numPr>
        <w:spacing w:after="100" w:line="290"/>
      </w:pPr>
      <w:r>
        <w:rPr>
          <w:rFonts w:ascii="Archivo" w:cs="Archivo" w:eastAsia="Archivo" w:hAnsi="Archivo"/>
          <w:sz w:val="21"/>
          <w:szCs w:val="21"/>
        </w:rPr>
        <w:t xml:space="preserve">6. ¿Existen indicios de incumplimiento del deber de asesoramiento que puedan fundar una reclamación autónoma frente al distribuidor?</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Fases de formación del contrato: solicitud, proposición y perfección (arts. 5 y 6 LCS)</w:t>
            </w:r>
          </w:p>
          <w:p>
            <w:pPr>
              <w:spacing w:after="40" w:line="260"/>
            </w:pPr>
            <w:r>
              <w:rPr>
                <w:rFonts w:ascii="Archivo" w:cs="Archivo" w:eastAsia="Archivo" w:hAnsi="Archivo"/>
                <w:sz w:val="18"/>
                <w:szCs w:val="18"/>
              </w:rPr>
              <w:t xml:space="preserve">4.2. El deber precontractual de declaración del riesgo (art. 10 LCS)</w:t>
            </w:r>
          </w:p>
          <w:p>
            <w:pPr>
              <w:spacing w:after="40" w:line="260"/>
            </w:pPr>
            <w:r>
              <w:rPr>
                <w:rFonts w:ascii="Archivo" w:cs="Archivo" w:eastAsia="Archivo" w:hAnsi="Archivo"/>
                <w:sz w:val="18"/>
                <w:szCs w:val="18"/>
              </w:rPr>
              <w:t xml:space="preserve">4.3. Consecuencias del incumplimiento del deber de declaración</w:t>
            </w:r>
          </w:p>
          <w:p>
            <w:pPr>
              <w:spacing w:after="40" w:line="260"/>
            </w:pPr>
            <w:r>
              <w:rPr>
                <w:rFonts w:ascii="Archivo" w:cs="Archivo" w:eastAsia="Archivo" w:hAnsi="Archivo"/>
                <w:sz w:val="18"/>
                <w:szCs w:val="18"/>
              </w:rPr>
              <w:t xml:space="preserve">4.3.1. La agravación del riesgo durante la vigencia del contrato (arts. 11 y 12 LCS)</w:t>
            </w:r>
          </w:p>
          <w:p>
            <w:pPr>
              <w:spacing w:after="40" w:line="260"/>
            </w:pPr>
            <w:r>
              <w:rPr>
                <w:rFonts w:ascii="Archivo" w:cs="Archivo" w:eastAsia="Archivo" w:hAnsi="Archivo"/>
                <w:sz w:val="18"/>
                <w:szCs w:val="18"/>
              </w:rPr>
              <w:t xml:space="preserve">4.4. El pago de la prima y sus consecuencias (art. 15 LCS)</w:t>
            </w:r>
          </w:p>
          <w:p>
            <w:pPr>
              <w:spacing w:after="40" w:line="260"/>
            </w:pPr>
            <w:r>
              <w:rPr>
                <w:rFonts w:ascii="Archivo" w:cs="Archivo" w:eastAsia="Archivo" w:hAnsi="Archivo"/>
                <w:sz w:val="18"/>
                <w:szCs w:val="18"/>
              </w:rPr>
              <w:t xml:space="preserve">4.5. Duración, prórroga y oposición a la renovación (art. 22 LCS)</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4.1.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4.2.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2"/>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4.3.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19).</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4.3.1.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4.4.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4.5. Duración, prórroga y oposición a la renovación</w:t>
      </w:r>
    </w:p>
    <w:p>
      <w:pPr>
        <w:spacing w:after="180" w:line="300"/>
        <w:jc w:val="both"/>
      </w:pPr>
      <w:r>
        <w:rPr>
          <w:rFonts w:ascii="Archivo" w:cs="Archivo" w:eastAsia="Archivo" w:hAnsi="Archivo"/>
          <w:sz w:val="21"/>
          <w:szCs w:val="21"/>
        </w:rPr>
        <w:t xml:space="preserve">El seguro de hogar es, típicamente, un contrato de duración anual prorrogable, régimen que la LCS somete a un mecanismo de silencio positivo —opuesto al del art. 47 LCS estudiado en el capítulo 7— cuya inobservancia genera una de las fuentes de reclamación más frecuentes en la práctica: la renovación automática de una póliza que el tomador creía haber cancelado, o la extinción de una cobertura que el asegurado daba por prorrogada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22 LCS</w:t>
            </w:r>
          </w:p>
          <w:p>
            <w:pPr>
              <w:spacing w:after="0" w:line="280"/>
              <w:jc w:val="both"/>
            </w:pPr>
            <w:r>
              <w:rPr>
                <w:rFonts w:ascii="IBM Plex Mono" w:cs="IBM Plex Mono" w:eastAsia="IBM Plex Mono" w:hAnsi="IBM Plex Mono"/>
                <w:i/>
                <w:iCs/>
                <w:color w:val="0A2540"/>
                <w:sz w:val="18"/>
                <w:szCs w:val="18"/>
              </w:rPr>
              <w:t xml:space="preserve">1. La duración del contrato será determinada en la póliza, la cual no podrá fijar un plazo superior a diez años. Sin embargo, podrá establecerse que se prorrogue una o más veces por un período no superior a un año cada vez. 2. Las partes pueden oponerse a la prórroga del contrato mediante una notificación escrita a la otra parte, efectuada con un plazo de, al menos, un mes de anticipación a la conclusión del período del seguro en curso cuando quien se oponga a la prórroga sea el tomador, y de dos meses cuando sea el asegurador. 3. El asegurador deberá comunicar al tomador, al menos con dos meses de antelación a la conclusión del período en curso, cualquier modificación del contrato de seguro. 4. Las condiciones y plazos de la oposición a la prórroga de cada parte [...] deberán destacarse en la póliza.</w:t>
            </w:r>
          </w:p>
        </w:tc>
      </w:tr>
    </w:tbl>
    <w:p>
      <w:pPr>
        <w:spacing w:after="180" w:line="300"/>
        <w:jc w:val="both"/>
      </w:pPr>
      <w:r>
        <w:rPr>
          <w:rFonts w:ascii="Archivo" w:cs="Archivo" w:eastAsia="Archivo" w:hAnsi="Archivo"/>
          <w:sz w:val="21"/>
          <w:szCs w:val="21"/>
        </w:rPr>
        <w:t xml:space="preserve">Tres reglas prácticas se extraen de este precepto. Primera, el plazo de preaviso es asimétrico: un mes para el tomador que no desea renovar, dos meses para la aseguradora, lo que exige al profesional que asesora a un asegurado que quiere cambiar de compañía anticiparse con margen suficiente antes del vencimiento anual. Segunda, cualquier modificación del contrato con ocasión de la renovación (por ejemplo, un incremento de prima o un cambio de condiciones) debe comunicarse con dos meses de antelación, comunicación cuya ausencia o insuficiencia puede ser invocada por el tomador para rechazar la modificación y exigir la continuidad de las condiciones anteriores. Tercera, las condiciones y plazos de oposición a la prórroga deben figurar destacados en la póliza, en un requisito de transparencia adicional y específico que se suma —sin confundirse con él— al régimen general del art. 3 LCS estudiado en los capítulos 1 y 5.</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p>
            <w:pPr>
              <w:pStyle w:val="ListParagraph"/>
              <w:numPr>
                <w:ilvl w:val="0"/>
                <w:numId w:val="2"/>
              </w:numPr>
              <w:spacing w:after="80" w:line="280"/>
            </w:pPr>
            <w:r>
              <w:rPr>
                <w:rFonts w:ascii="Archivo" w:cs="Archivo" w:eastAsia="Archivo" w:hAnsi="Archivo"/>
                <w:sz w:val="19"/>
                <w:szCs w:val="19"/>
              </w:rPr>
              <w:t xml:space="preserve">Ante una renovación o modificación discutida, verificar el cumplimiento estricto de los plazos de preaviso del art. 22 LCS y el destacado formal de las condiciones de oposición a la prórroga.</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p>
            <w:pPr>
              <w:pStyle w:val="ListParagraph"/>
              <w:numPr>
                <w:ilvl w:val="0"/>
                <w:numId w:val="2"/>
              </w:numPr>
              <w:spacing w:after="80" w:line="280"/>
            </w:pPr>
            <w:r>
              <w:rPr>
                <w:rFonts w:ascii="Archivo" w:cs="Archivo" w:eastAsia="Archivo" w:hAnsi="Archivo"/>
                <w:sz w:val="19"/>
                <w:szCs w:val="19"/>
              </w:rPr>
              <w:t xml:space="preserve">Si quiere cambiar de aseguradora, comunique su oposición a la renovación por escrito con al menos un mes de antelación al vencimiento anual de su póliza.</w:t>
            </w:r>
          </w:p>
        </w:tc>
      </w:tr>
    </w:tbl>
    <w:p>
      <w:pPr>
        <w:pStyle w:val="Heading2"/>
        <w:spacing w:after="160" w:before="400"/>
      </w:pPr>
      <w:r>
        <w:rPr>
          <w:rFonts w:ascii="Fraunces" w:cs="Fraunces" w:eastAsia="Fraunces" w:hAnsi="Fraunces"/>
          <w:b/>
          <w:bCs/>
          <w:color w:val="0A2540"/>
          <w:sz w:val="24"/>
          <w:szCs w:val="24"/>
        </w:rPr>
        <w:t xml:space="preserve">4.8.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5.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5.1. Jerarquía y articulación entre condiciones generales, particulares y especiales</w:t>
            </w:r>
          </w:p>
          <w:p>
            <w:pPr>
              <w:spacing w:after="40" w:line="260"/>
            </w:pPr>
            <w:r>
              <w:rPr>
                <w:rFonts w:ascii="Archivo" w:cs="Archivo" w:eastAsia="Archivo" w:hAnsi="Archivo"/>
                <w:sz w:val="18"/>
                <w:szCs w:val="18"/>
              </w:rPr>
              <w:t xml:space="preserve">5.2. El control de incorporación: entrega de la póliza y accesibilidad real de las condiciones</w:t>
            </w:r>
          </w:p>
          <w:p>
            <w:pPr>
              <w:spacing w:after="40" w:line="260"/>
            </w:pPr>
            <w:r>
              <w:rPr>
                <w:rFonts w:ascii="Archivo" w:cs="Archivo" w:eastAsia="Archivo" w:hAnsi="Archivo"/>
                <w:sz w:val="18"/>
                <w:szCs w:val="18"/>
              </w:rPr>
              <w:t xml:space="preserve">5.3. El control de interpretación: la regla contra proferentem (art. 1288 CC)</w:t>
            </w:r>
          </w:p>
          <w:p>
            <w:pPr>
              <w:spacing w:after="40" w:line="260"/>
            </w:pPr>
            <w:r>
              <w:rPr>
                <w:rFonts w:ascii="Archivo" w:cs="Archivo" w:eastAsia="Archivo" w:hAnsi="Archivo"/>
                <w:sz w:val="18"/>
                <w:szCs w:val="18"/>
              </w:rPr>
              <w:t xml:space="preserve">5.4. Casuística de cláusulas típicas en el seguro de hogar</w:t>
            </w:r>
          </w:p>
          <w:p>
            <w:pPr>
              <w:spacing w:after="40" w:line="260"/>
            </w:pPr>
            <w:r>
              <w:rPr>
                <w:rFonts w:ascii="Archivo" w:cs="Archivo" w:eastAsia="Archivo" w:hAnsi="Archivo"/>
                <w:sz w:val="18"/>
                <w:szCs w:val="18"/>
              </w:rPr>
              <w:t xml:space="preserve">5.5. El control de contenido cuando el tomador es consumidor: remisión</w:t>
            </w:r>
          </w:p>
          <w:p>
            <w:pPr>
              <w:spacing w:after="40" w:line="260"/>
            </w:pPr>
            <w:r>
              <w:rPr>
                <w:rFonts w:ascii="Archivo" w:cs="Archivo" w:eastAsia="Archivo" w:hAnsi="Archivo"/>
                <w:sz w:val="18"/>
                <w:szCs w:val="18"/>
              </w:rPr>
              <w:t xml:space="preserve">5.6. Ficha para el profesional</w:t>
            </w:r>
          </w:p>
          <w:p>
            <w:pPr>
              <w:spacing w:after="40" w:line="260"/>
            </w:pPr>
            <w:r>
              <w:rPr>
                <w:rFonts w:ascii="Archivo" w:cs="Archivo" w:eastAsia="Archivo" w:hAnsi="Archivo"/>
                <w:sz w:val="18"/>
                <w:szCs w:val="18"/>
              </w:rPr>
              <w:t xml:space="preserve">5.7. Ficha para el asegurado</w:t>
            </w:r>
          </w:p>
          <w:p>
            <w:pPr>
              <w:spacing w:after="40" w:line="260"/>
            </w:pPr>
            <w:r>
              <w:rPr>
                <w:rFonts w:ascii="Archivo" w:cs="Archivo" w:eastAsia="Archivo" w:hAnsi="Archivo"/>
                <w:sz w:val="18"/>
                <w:szCs w:val="18"/>
              </w:rPr>
              <w:t xml:space="preserve">5.8.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5.1.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5.3.</w:t>
      </w:r>
    </w:p>
    <w:p>
      <w:pPr>
        <w:pStyle w:val="Heading2"/>
        <w:spacing w:after="160" w:before="400"/>
      </w:pPr>
      <w:r>
        <w:rPr>
          <w:rFonts w:ascii="Fraunces" w:cs="Fraunces" w:eastAsia="Fraunces" w:hAnsi="Fraunces"/>
          <w:b/>
          <w:bCs/>
          <w:color w:val="0A2540"/>
          <w:sz w:val="24"/>
          <w:szCs w:val="24"/>
        </w:rPr>
        <w:t xml:space="preserve">5.2.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5.3.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spacing w:after="180" w:line="300"/>
        <w:jc w:val="both"/>
      </w:pPr>
      <w:r>
        <w:rPr>
          <w:rFonts w:ascii="Archivo" w:cs="Archivo" w:eastAsia="Archivo" w:hAnsi="Archivo"/>
          <w:sz w:val="21"/>
          <w:szCs w:val="21"/>
        </w:rPr>
        <w:t xml:space="preserve">El propio doble requisito formal del art. 3 LCS para las cláusulas limitativas —destacado especial y aceptación específica por escrito— fue objeto de una sistematización de referencia por el Pleno de la Sala Primera, que conviene tener presente como compendio de la jurisprudencia anterior y posterior en la materia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(Pleno), Sala de lo Civil, de 14 de julio de 2015 (ROJ: STS 3754/2015; ECLI:ES:TS:2015:3754; MP: Sastre Papiol)</w:t>
            </w:r>
          </w:p>
          <w:p>
            <w:pPr>
              <w:spacing w:after="0" w:line="280"/>
              <w:jc w:val="both"/>
            </w:pPr>
            <w:r>
              <w:rPr>
                <w:rFonts w:ascii="Archivo" w:cs="Archivo" w:eastAsia="Archivo" w:hAnsi="Archivo"/>
                <w:color w:val="0A2540"/>
                <w:sz w:val="19"/>
                <w:szCs w:val="19"/>
              </w:rPr>
              <w:t xml:space="preserve">«La exigencia de que las cláusulas limitativas de derechos figuren “destacadas de modo especial”, tiene la finalidad de que el asegurado tenga un conocimiento exacto del riesgo cubierto. La jurisprudencia de esta Sala exige que deben aparecer en las condiciones particulares y no en las condiciones generales, por más que, en estas últimas declare conocer aquéllas [...]. Respecto a la exigencia de que las cláusulas limitativas deban ser “especialmente aceptadas por escrito”, es un requisito que debe concurrir cumulativamente con el anterior, por lo que es imprescindible la firma del tomador. [...] En ningún caso se ha exigido por esta Sala una firma para cada una de las cláusulas limitativas.»</w:t>
            </w:r>
          </w:p>
        </w:tc>
      </w:tr>
    </w:tbl>
    <w:p>
      <w:pPr>
        <w:spacing w:after="180" w:line="300"/>
        <w:jc w:val="both"/>
      </w:pPr>
      <w:r>
        <w:rPr>
          <w:rFonts w:ascii="Archivo" w:cs="Archivo" w:eastAsia="Archivo" w:hAnsi="Archivo"/>
          <w:sz w:val="21"/>
          <w:szCs w:val="21"/>
        </w:rPr>
        <w:t xml:space="preserve">La sentencia tiene, además, un valor añadido de sistematización: reafirma que la distinción entre cláusulas delimitadoras y limitativas arranca de la Sentencia de Pleno de 11 de septiembre de 2006 —ya citada en el capítulo 1— y compendia, con cita expresa, la doctrina posterior sobre el «abigarramiento» de exclusiones heterogéneas agrupadas de forma que dificulta su comprensión (STS de 19 de julio de 2012) y sobre las distintas formas de acreditar la aceptación específica, ya sea mediante firma al final de las condiciones particulares, ya mediante remisión a un documento aparte debidamente firmado</w:t>
      </w:r>
      <w:r>
        <w:rPr>
          <w:rStyle w:val="FootnoteReference"/>
        </w:rPr>
        <w:footnoteReference w:id="15"/>
      </w:r>
      <w:r>
        <w:rPr>
          <w:rFonts w:ascii="Archivo" w:cs="Archivo" w:eastAsia="Archivo" w:hAnsi="Archivo"/>
          <w:sz w:val="21"/>
          <w:szCs w:val="21"/>
        </w:rPr>
        <w:t xml:space="preserve">. A efectos prácticos, esta sentencia constituye la referencia obligada para argumentar, en cualquier escrito, tanto la falta de destacado especial (cláusula «abigarrada» o mezclada con exclusiones heterogéneas) como la falta de aceptación específica (ausencia de firma en el documento donde figura la cláusula) de una condición controvertida.</w:t>
      </w:r>
    </w:p>
    <w:p>
      <w:pPr>
        <w:pStyle w:val="Heading2"/>
        <w:spacing w:after="160" w:before="400"/>
      </w:pPr>
      <w:r>
        <w:rPr>
          <w:rFonts w:ascii="Fraunces" w:cs="Fraunces" w:eastAsia="Fraunces" w:hAnsi="Fraunces"/>
          <w:b/>
          <w:bCs/>
          <w:color w:val="0A2540"/>
          <w:sz w:val="24"/>
          <w:szCs w:val="24"/>
        </w:rPr>
        <w:t xml:space="preserve">5.4.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8).</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8 y capítulo 16).</w:t>
      </w:r>
    </w:p>
    <w:p>
      <w:pPr>
        <w:pStyle w:val="Heading2"/>
        <w:spacing w:after="160" w:before="400"/>
      </w:pPr>
      <w:r>
        <w:rPr>
          <w:rFonts w:ascii="Fraunces" w:cs="Fraunces" w:eastAsia="Fraunces" w:hAnsi="Fraunces"/>
          <w:b/>
          <w:bCs/>
          <w:color w:val="0A2540"/>
          <w:sz w:val="24"/>
          <w:szCs w:val="24"/>
        </w:rPr>
        <w:t xml:space="preserve">5.5.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25 de esta obra.</w:t>
      </w:r>
    </w:p>
    <w:p>
      <w:pPr>
        <w:pStyle w:val="Heading2"/>
        <w:spacing w:after="160" w:before="400"/>
      </w:pPr>
      <w:r>
        <w:rPr>
          <w:rFonts w:ascii="Fraunces" w:cs="Fraunces" w:eastAsia="Fraunces" w:hAnsi="Fraunces"/>
          <w:b/>
          <w:bCs/>
          <w:color w:val="0A2540"/>
          <w:sz w:val="24"/>
          <w:szCs w:val="24"/>
        </w:rPr>
        <w:t xml:space="preserve">5.6.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 Contrastar con el doble test de la STS 3754/2015 (Pleno): ubicación en condiciones particulares, ausencia de abigarramiento, y firma del tomador (directa o por remisión a documento aparte).</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25).</w:t>
            </w:r>
          </w:p>
        </w:tc>
      </w:tr>
    </w:tbl>
    <w:p>
      <w:pPr>
        <w:pStyle w:val="Heading2"/>
        <w:spacing w:after="160" w:before="400"/>
      </w:pPr>
      <w:r>
        <w:rPr>
          <w:rFonts w:ascii="Fraunces" w:cs="Fraunces" w:eastAsia="Fraunces" w:hAnsi="Fraunces"/>
          <w:b/>
          <w:bCs/>
          <w:color w:val="0A2540"/>
          <w:sz w:val="24"/>
          <w:szCs w:val="24"/>
        </w:rPr>
        <w:t xml:space="preserve">5.7.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5.8.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pStyle w:val="Heading1"/>
        <w:pageBreakBefore/>
        <w:spacing w:after="300" w:before="200"/>
      </w:pPr>
      <w:r>
        <w:rPr>
          <w:rFonts w:ascii="Archivo" w:cs="Archivo" w:eastAsia="Archivo" w:hAnsi="Archivo"/>
          <w:b/>
          <w:bCs/>
          <w:color w:val="1B6DF0"/>
          <w:sz w:val="22"/>
          <w:szCs w:val="22"/>
        </w:rPr>
        <w:t xml:space="preserve">Capítulo 6. </w:t>
      </w:r>
      <w:r>
        <w:rPr>
          <w:rFonts w:ascii="Fraunces" w:cs="Fraunces" w:eastAsia="Fraunces" w:hAnsi="Fraunces"/>
          <w:b/>
          <w:bCs/>
          <w:color w:val="0A2540"/>
          <w:sz w:val="30"/>
          <w:szCs w:val="30"/>
        </w:rPr>
        <w:t xml:space="preserve">Interpretación contractual en el seguro de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La interpretación del contrato de seguro: un problema cotidiano, no excepcional</w:t>
            </w:r>
          </w:p>
          <w:p>
            <w:pPr>
              <w:spacing w:after="40" w:line="260"/>
            </w:pPr>
            <w:r>
              <w:rPr>
                <w:rFonts w:ascii="Archivo" w:cs="Archivo" w:eastAsia="Archivo" w:hAnsi="Archivo"/>
                <w:sz w:val="18"/>
                <w:szCs w:val="18"/>
              </w:rPr>
              <w:t xml:space="preserve">6.2. La interpretación literal como punto de partida (art. 1281 CC)</w:t>
            </w:r>
          </w:p>
          <w:p>
            <w:pPr>
              <w:spacing w:after="40" w:line="260"/>
            </w:pPr>
            <w:r>
              <w:rPr>
                <w:rFonts w:ascii="Archivo" w:cs="Archivo" w:eastAsia="Archivo" w:hAnsi="Archivo"/>
                <w:sz w:val="18"/>
                <w:szCs w:val="18"/>
              </w:rPr>
              <w:t xml:space="preserve">6.3. Los cánones sistemático y finalista (arts. 1284, 1285 y 1286 CC)</w:t>
            </w:r>
          </w:p>
          <w:p>
            <w:pPr>
              <w:spacing w:after="40" w:line="260"/>
            </w:pPr>
            <w:r>
              <w:rPr>
                <w:rFonts w:ascii="Archivo" w:cs="Archivo" w:eastAsia="Archivo" w:hAnsi="Archivo"/>
                <w:sz w:val="18"/>
                <w:szCs w:val="18"/>
              </w:rPr>
              <w:t xml:space="preserve">6.4. La expectativa razonable del asegurado como canon específico del seguro</w:t>
            </w:r>
          </w:p>
          <w:p>
            <w:pPr>
              <w:spacing w:after="40" w:line="260"/>
            </w:pPr>
            <w:r>
              <w:rPr>
                <w:rFonts w:ascii="Archivo" w:cs="Archivo" w:eastAsia="Archivo" w:hAnsi="Archivo"/>
                <w:sz w:val="18"/>
                <w:szCs w:val="18"/>
              </w:rPr>
              <w:t xml:space="preserve">6.5. La regla de cierre: contra proferentem y nulidad por duda insalvable (arts. 1288 y 1289 CC)</w:t>
            </w:r>
          </w:p>
          <w:p>
            <w:pPr>
              <w:spacing w:after="40" w:line="260"/>
            </w:pPr>
            <w:r>
              <w:rPr>
                <w:rFonts w:ascii="Archivo" w:cs="Archivo" w:eastAsia="Archivo" w:hAnsi="Archivo"/>
                <w:sz w:val="18"/>
                <w:szCs w:val="18"/>
              </w:rPr>
              <w:t xml:space="preserve">6.6. Método integrado de interpretación de una póliza de hogar</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interpretación de una cláusula controvertida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los cánones de interpretación contractual del Código Civil (arts. 1281 a 1289) en su aplicación específica al seguro de hogar, completando el estudio de la regla contra proferentem ya avanzado en el capítulo 5, y proponiendo un método integrado de interpretación que combina la literalidad, la sistemática interna del contrato, la finalidad práctica perseguida por el asegurado y, solo como último recurso, las reglas de cierre en favor del adherente.</w:t>
            </w:r>
          </w:p>
          <w:p>
            <w:pPr>
              <w:spacing w:after="160"/>
            </w:pPr>
            <w:r>
              <w:rPr>
                <w:rFonts w:ascii="Archivo" w:cs="Archivo" w:eastAsia="Archivo" w:hAnsi="Archivo"/>
                <w:b/>
                <w:bCs/>
                <w:sz w:val="17"/>
                <w:szCs w:val="17"/>
              </w:rPr>
              <w:t xml:space="preserve">Palabras clave: interpretación del contrato, art. 1281 CC, art. 1288 CC, expectativa razonable, canon finalista.</w:t>
            </w:r>
          </w:p>
          <w:p>
            <w:pPr>
              <w:spacing w:after="100"/>
              <w:jc w:val="both"/>
            </w:pPr>
            <w:r>
              <w:rPr>
                <w:rFonts w:ascii="Archivo" w:cs="Archivo" w:eastAsia="Archivo" w:hAnsi="Archivo"/>
                <w:i/>
                <w:iCs/>
                <w:sz w:val="18"/>
                <w:szCs w:val="18"/>
              </w:rPr>
              <w:t xml:space="preserve">This chapter systematises the Civil Code's contract interpretation canons (Articles 1281 to 1289) as applied specifically to homeowners' insurance, building on the contra proferentem rule already introduced in Chapter 5, and proposing an integrated interpretive method that combines literal wording, the contract's internal coherence, the policyholder's practical purpose and, only as a last resort, the closing rules favouring the adhering party.</w:t>
            </w:r>
          </w:p>
          <w:p>
            <w:pPr>
              <w:spacing w:after="0"/>
            </w:pPr>
            <w:r>
              <w:rPr>
                <w:rFonts w:ascii="Archivo" w:cs="Archivo" w:eastAsia="Archivo" w:hAnsi="Archivo"/>
                <w:b/>
                <w:bCs/>
                <w:sz w:val="17"/>
                <w:szCs w:val="17"/>
              </w:rPr>
              <w:t xml:space="preserve">Keywords: contract interpretation, literal interpretation, reasonable expectations, closing interpretive rules.</w:t>
            </w:r>
          </w:p>
        </w:tc>
      </w:tr>
    </w:tbl>
    <w:p>
      <w:pPr>
        <w:spacing w:after="200"/>
      </w:pPr>
    </w:p>
    <w:p>
      <w:pPr>
        <w:pStyle w:val="Heading2"/>
        <w:spacing w:after="160" w:before="400"/>
      </w:pPr>
      <w:r>
        <w:rPr>
          <w:rFonts w:ascii="Fraunces" w:cs="Fraunces" w:eastAsia="Fraunces" w:hAnsi="Fraunces"/>
          <w:b/>
          <w:bCs/>
          <w:color w:val="0A2540"/>
          <w:sz w:val="24"/>
          <w:szCs w:val="24"/>
        </w:rPr>
        <w:t xml:space="preserve">6.1. La interpretación del contrato de seguro: un problema cotidiano, no excepcional</w:t>
      </w:r>
    </w:p>
    <w:p>
      <w:pPr>
        <w:spacing w:after="180" w:line="300"/>
        <w:jc w:val="both"/>
      </w:pPr>
      <w:r>
        <w:rPr>
          <w:rFonts w:ascii="Archivo" w:cs="Archivo" w:eastAsia="Archivo" w:hAnsi="Archivo"/>
          <w:sz w:val="21"/>
          <w:szCs w:val="21"/>
        </w:rPr>
        <w:t xml:space="preserve">Conviene despejar, desde el inicio de este capítulo, una idea errónea pero extendida: la interpretación contractual no es un recurso excepcional, reservado a los casos de cláusulas verdaderamente oscuras o contradictorias, sino la operación intelectual que, en mayor o menor medida, precede a la aplicación de cualquier cláusula de la póliza a un siniestro concreto</w:t>
      </w:r>
      <w:r>
        <w:rPr>
          <w:rStyle w:val="FootnoteReference"/>
        </w:rPr>
        <w:footnoteReference w:id="16"/>
      </w:r>
      <w:r>
        <w:rPr>
          <w:rFonts w:ascii="Archivo" w:cs="Archivo" w:eastAsia="Archivo" w:hAnsi="Archivo"/>
          <w:sz w:val="21"/>
          <w:szCs w:val="21"/>
        </w:rPr>
        <w:t xml:space="preserve">. El Código Civil dedica a esta operación un conjunto de normas —arts. 1281 a 1289— que, aunque concebidas para el contrato en general, la jurisprudencia aplica de forma constante y especialmente intensa al contrato de seguro, por su condición de contrato de adhesión.</w:t>
      </w:r>
    </w:p>
    <w:p>
      <w:pPr>
        <w:pStyle w:val="Heading2"/>
        <w:spacing w:after="160" w:before="400"/>
      </w:pPr>
      <w:r>
        <w:rPr>
          <w:rFonts w:ascii="Fraunces" w:cs="Fraunces" w:eastAsia="Fraunces" w:hAnsi="Fraunces"/>
          <w:b/>
          <w:bCs/>
          <w:color w:val="0A2540"/>
          <w:sz w:val="24"/>
          <w:szCs w:val="24"/>
        </w:rPr>
        <w:t xml:space="preserve">6.2. La interpretación literal como punto de partida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1281 CC</w:t>
            </w:r>
          </w:p>
          <w:p>
            <w:pPr>
              <w:spacing w:after="0" w:line="280"/>
              <w:jc w:val="both"/>
            </w:pPr>
            <w:r>
              <w:rPr>
                <w:rFonts w:ascii="IBM Plex Mono" w:cs="IBM Plex Mono" w:eastAsia="IBM Plex Mono" w:hAnsi="IBM Plex Mono"/>
                <w:i/>
                <w:iCs/>
                <w:color w:val="0A2540"/>
                <w:sz w:val="18"/>
                <w:szCs w:val="18"/>
              </w:rPr>
              <w:t xml:space="preserve">Si los términos de un contrato son claros y no dejan duda sobre la intención de los contratantes, se estará al sentido literal de sus cláusulas. Si las palabras parecieren contrarias a la intención evidente de los contratantes, prevalecerá ésta sobre aquéllas.</w:t>
            </w:r>
          </w:p>
        </w:tc>
      </w:tr>
    </w:tbl>
    <w:p>
      <w:pPr>
        <w:spacing w:after="180" w:line="300"/>
        <w:jc w:val="both"/>
      </w:pPr>
      <w:r>
        <w:rPr>
          <w:rFonts w:ascii="Archivo" w:cs="Archivo" w:eastAsia="Archivo" w:hAnsi="Archivo"/>
          <w:sz w:val="21"/>
          <w:szCs w:val="21"/>
        </w:rPr>
        <w:t xml:space="preserve">El punto de partida de cualquier análisis interpretativo es, por tanto, el propio texto de la cláusula. Cuando su sentido literal es claro y no contradice la intención evidente de las partes, no hay margen para acudir a criterios interpretativos adicionales: la cláusula se aplica tal como está redactada. Solo cuando el texto admite varios sentidos razonables, o cuando su aplicación literal conduciría a un resultado manifiestamente contrario a lo que las partes quisieron, se abre paso a los cánones complementarios de los epígrafes siguientes.</w:t>
      </w:r>
    </w:p>
    <w:p>
      <w:pPr>
        <w:pStyle w:val="Heading2"/>
        <w:spacing w:after="160" w:before="400"/>
      </w:pPr>
      <w:r>
        <w:rPr>
          <w:rFonts w:ascii="Fraunces" w:cs="Fraunces" w:eastAsia="Fraunces" w:hAnsi="Fraunces"/>
          <w:b/>
          <w:bCs/>
          <w:color w:val="0A2540"/>
          <w:sz w:val="24"/>
          <w:szCs w:val="24"/>
        </w:rPr>
        <w:t xml:space="preserve">6.3. Los cánones sistemático y finalista</w:t>
      </w:r>
    </w:p>
    <w:p>
      <w:pPr>
        <w:spacing w:after="180" w:line="300"/>
        <w:jc w:val="both"/>
      </w:pPr>
      <w:r>
        <w:rPr>
          <w:rFonts w:ascii="Archivo" w:cs="Archivo" w:eastAsia="Archivo" w:hAnsi="Archivo"/>
          <w:sz w:val="21"/>
          <w:szCs w:val="21"/>
        </w:rPr>
        <w:t xml:space="preserve">Superada la interpretación puramente literal, el Código Civil ofrece criterios adicionales que la práctica del seguro de hogar utiliza con frecuencia, particularmente cuando una póliza combina condiciones generales, particulares y especiales de redacción no siempre coherente entre sí (capítulo 5):</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1285 CC</w:t>
            </w:r>
          </w:p>
          <w:p>
            <w:pPr>
              <w:spacing w:after="0" w:line="280"/>
              <w:jc w:val="both"/>
            </w:pPr>
            <w:r>
              <w:rPr>
                <w:rFonts w:ascii="IBM Plex Mono" w:cs="IBM Plex Mono" w:eastAsia="IBM Plex Mono" w:hAnsi="IBM Plex Mono"/>
                <w:i/>
                <w:iCs/>
                <w:color w:val="0A2540"/>
                <w:sz w:val="18"/>
                <w:szCs w:val="18"/>
              </w:rPr>
              <w:t xml:space="preserve">Las cláusulas de los contratos deberán interpretarse las unas por las otras, atribuyendo a las dudosas el sentido que resulte del conjunto de todas.</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1284 CC</w:t>
            </w:r>
          </w:p>
          <w:p>
            <w:pPr>
              <w:spacing w:after="0" w:line="280"/>
              <w:jc w:val="both"/>
            </w:pPr>
            <w:r>
              <w:rPr>
                <w:rFonts w:ascii="IBM Plex Mono" w:cs="IBM Plex Mono" w:eastAsia="IBM Plex Mono" w:hAnsi="IBM Plex Mono"/>
                <w:i/>
                <w:iCs/>
                <w:color w:val="0A2540"/>
                <w:sz w:val="18"/>
                <w:szCs w:val="18"/>
              </w:rPr>
              <w:t xml:space="preserve">Si alguna cláusula de los contratos admitiere diversos sentidos, deberá entenderse en el más adecuado para que produzca efecto.</w:t>
            </w:r>
          </w:p>
        </w:tc>
      </w:tr>
    </w:tbl>
    <w:p>
      <w:pPr>
        <w:spacing w:after="180" w:line="300"/>
        <w:jc w:val="both"/>
      </w:pPr>
      <w:r>
        <w:rPr>
          <w:rFonts w:ascii="Archivo" w:cs="Archivo" w:eastAsia="Archivo" w:hAnsi="Archivo"/>
          <w:sz w:val="21"/>
          <w:szCs w:val="21"/>
        </w:rPr>
        <w:t xml:space="preserve">El canon sistemático del art. 1285 CC impone leer cada cláusula en el contexto del conjunto de la póliza, no de forma aislada: una definición contenida en las condiciones generales debe interpretarse a la luz de las condiciones particulares efectivamente suscritas, y viceversa. El canon del art. 1284 CC —conocido como principio de conservación o de interpretación útil— impide interpretaciones que vacíen de contenido efectivo una cláusula, criterio de especial utilidad frente a lecturas de la aseguradora que, llevadas a su extremo, dejarían sin sentido práctico alguno una cobertura anunciada</w:t>
      </w:r>
      <w:r>
        <w:rPr>
          <w:rStyle w:val="FootnoteReference"/>
        </w:rPr>
        <w:footnoteReference w:id="1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6.4. La expectativa razonable del asegurado como canon específico del seguro</w:t>
      </w:r>
    </w:p>
    <w:p>
      <w:pPr>
        <w:spacing w:after="180" w:line="300"/>
        <w:jc w:val="both"/>
      </w:pPr>
      <w:r>
        <w:rPr>
          <w:rFonts w:ascii="Archivo" w:cs="Archivo" w:eastAsia="Archivo" w:hAnsi="Archivo"/>
          <w:sz w:val="21"/>
          <w:szCs w:val="21"/>
        </w:rPr>
        <w:t xml:space="preserve">Junto a los cánones generales del Código Civil, la jurisprudencia de seguros ha decantado un criterio propio y específico del contrato de seguro, ya estudiado en el capítulo 1 a propósito de la doctrina de la «cláusula sorpresiva»: la interpretación debe atender al contenido natural o usual del ramo contratado, con arreglo a la ley o a la práctica aseguradora (SSTS 273/2016, de 22 de abril; 541/2016, de 14 de septiembre; y 147/2017, de 2 de marzo, ya citadas en el capítulo 1), de manera que una cláusula que se aparta sorprendentemente de esa expectativa razonable recibe, en la práctica, el tratamiento reforzado de las cláusulas limitativas con independencia de su calificación formal. Este criterio opera, en rigor, en un plano distinto mas complementario de los cánones del Código Civil: mientras estos fijan el sentido de la cláusula, aquel condiciona el régimen de oponibilidad de la cláusula una vez interpretada.</w:t>
      </w:r>
    </w:p>
    <w:p>
      <w:pPr>
        <w:pStyle w:val="Heading2"/>
        <w:spacing w:after="160" w:before="400"/>
      </w:pPr>
      <w:r>
        <w:rPr>
          <w:rFonts w:ascii="Fraunces" w:cs="Fraunces" w:eastAsia="Fraunces" w:hAnsi="Fraunces"/>
          <w:b/>
          <w:bCs/>
          <w:color w:val="0A2540"/>
          <w:sz w:val="24"/>
          <w:szCs w:val="24"/>
        </w:rPr>
        <w:t xml:space="preserve">6.5. La regla de cierre: contra proferentem y nulidad por duda insalvable</w:t>
      </w:r>
    </w:p>
    <w:p>
      <w:pPr>
        <w:spacing w:after="180" w:line="300"/>
        <w:jc w:val="both"/>
      </w:pPr>
      <w:r>
        <w:rPr>
          <w:rFonts w:ascii="Archivo" w:cs="Archivo" w:eastAsia="Archivo" w:hAnsi="Archivo"/>
          <w:sz w:val="21"/>
          <w:szCs w:val="21"/>
        </w:rPr>
        <w:t xml:space="preserve">Cuando, aplicados los cánones anteriores, subsiste una duda razonable sobre el sentido de una cláusula, entran en juego las reglas de cierre ya avanzadas en el capítulo 5, que el Código Civil articula en dos niveles sucesivos: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1289 CC (extracto)</w:t>
            </w:r>
          </w:p>
          <w:p>
            <w:pPr>
              <w:spacing w:after="0" w:line="280"/>
              <w:jc w:val="both"/>
            </w:pPr>
            <w:r>
              <w:rPr>
                <w:rFonts w:ascii="IBM Plex Mono" w:cs="IBM Plex Mono" w:eastAsia="IBM Plex Mono" w:hAnsi="IBM Plex Mono"/>
                <w:i/>
                <w:iCs/>
                <w:color w:val="0A2540"/>
                <w:sz w:val="18"/>
                <w:szCs w:val="18"/>
              </w:rPr>
              <w:t xml:space="preserve">Cuando absolutamente fuere imposible resolver las dudas por las reglas establecidas en los artículos precedentes [...] si el contrato fuere oneroso, la duda se resolverá en favor de la mayor reciprocidad de intereses. Si las dudas [...] recayesen sobre el objeto principal del contrato, de suerte que no pueda venirse en conocimiento de cuál fue la intención o voluntad de los contratantes, el contrato será nulo.</w:t>
            </w:r>
          </w:p>
        </w:tc>
      </w:tr>
    </w:tbl>
    <w:p>
      <w:pPr>
        <w:spacing w:after="180" w:line="300"/>
        <w:jc w:val="both"/>
      </w:pPr>
      <w:r>
        <w:rPr>
          <w:rFonts w:ascii="Archivo" w:cs="Archivo" w:eastAsia="Archivo" w:hAnsi="Archivo"/>
          <w:sz w:val="21"/>
          <w:szCs w:val="21"/>
        </w:rPr>
        <w:t xml:space="preserve">La regla contra proferentem del art. 1288 CC, ya desarrollada con detalle en el capítulo 5 con apoyo en la STS 1701/2023 (ROJ: STS 1701/2023) y en la SAP de Barcelona 6782/2018 (ROJ: SAP B 6782/2018), opera como penúltimo recurso: solo si ni siquiera ella permite despejar la duda —hipótesis excepcional en la práctica— entraría en juego la regla subsidiaria del art. 1289 CC, que en un contrato oneroso como el de seguro se resuelve en favor de la mayor reciprocidad de intereses, y que, en el extremo de que la duda recaiga sobre el objeto principal del contrato sin posibilidad de conocer la voluntad real de las partes, podría llegar a determinar la nulidad del propio contrato, consecuencia de gravedad tal que la práctica forense apenas la invoca fuera de supuestos verdaderamente extremos.</w:t>
      </w:r>
    </w:p>
    <w:p>
      <w:pPr>
        <w:pStyle w:val="Heading2"/>
        <w:spacing w:after="160" w:before="400"/>
      </w:pPr>
      <w:r>
        <w:rPr>
          <w:rFonts w:ascii="Fraunces" w:cs="Fraunces" w:eastAsia="Fraunces" w:hAnsi="Fraunces"/>
          <w:b/>
          <w:bCs/>
          <w:color w:val="0A2540"/>
          <w:sz w:val="24"/>
          <w:szCs w:val="24"/>
        </w:rPr>
        <w:t xml:space="preserve">6.6. Método integrado de interpretación de una póliza de hogar</w:t>
      </w:r>
    </w:p>
    <w:p>
      <w:pPr>
        <w:spacing w:after="180" w:line="300"/>
        <w:jc w:val="both"/>
      </w:pPr>
      <w:r>
        <w:rPr>
          <w:rFonts w:ascii="Archivo" w:cs="Archivo" w:eastAsia="Archivo" w:hAnsi="Archivo"/>
          <w:sz w:val="21"/>
          <w:szCs w:val="21"/>
        </w:rPr>
        <w:t xml:space="preserve">La combinación de los epígrafes anteriores permite proponer una secuencia metodológica de aplicación general ante cualquier cláusula controvertida de una póliza de hogar:</w:t>
      </w:r>
    </w:p>
    <w:p>
      <w:pPr>
        <w:pStyle w:val="ListParagraph"/>
        <w:numPr>
          <w:ilvl w:val="0"/>
          <w:numId w:val="2"/>
        </w:numPr>
        <w:spacing w:after="100" w:line="290"/>
      </w:pPr>
      <w:r>
        <w:rPr>
          <w:rFonts w:ascii="Archivo" w:cs="Archivo" w:eastAsia="Archivo" w:hAnsi="Archivo"/>
          <w:sz w:val="21"/>
          <w:szCs w:val="21"/>
        </w:rPr>
        <w:t xml:space="preserve">1. Fijar el sentido literal de la cláusula (art. 1281 CC): ¿es realmente ambigua, o solo desfavorable al interés que se defiende?</w:t>
      </w:r>
    </w:p>
    <w:p>
      <w:pPr>
        <w:pStyle w:val="ListParagraph"/>
        <w:numPr>
          <w:ilvl w:val="0"/>
          <w:numId w:val="2"/>
        </w:numPr>
        <w:spacing w:after="100" w:line="290"/>
      </w:pPr>
      <w:r>
        <w:rPr>
          <w:rFonts w:ascii="Archivo" w:cs="Archivo" w:eastAsia="Archivo" w:hAnsi="Archivo"/>
          <w:sz w:val="21"/>
          <w:szCs w:val="21"/>
        </w:rPr>
        <w:t xml:space="preserve">2. Contextualizarla dentro del conjunto de la póliza, cotejando condiciones generales, particulares y especiales (art. 1285 CC).</w:t>
      </w:r>
    </w:p>
    <w:p>
      <w:pPr>
        <w:pStyle w:val="ListParagraph"/>
        <w:numPr>
          <w:ilvl w:val="0"/>
          <w:numId w:val="2"/>
        </w:numPr>
        <w:spacing w:after="100" w:line="290"/>
      </w:pPr>
      <w:r>
        <w:rPr>
          <w:rFonts w:ascii="Archivo" w:cs="Archivo" w:eastAsia="Archivo" w:hAnsi="Archivo"/>
          <w:sz w:val="21"/>
          <w:szCs w:val="21"/>
        </w:rPr>
        <w:t xml:space="preserve">3. Descartar interpretaciones que vacíen de efecto útil la cobertura contratada (art. 1284 CC).</w:t>
      </w:r>
    </w:p>
    <w:p>
      <w:pPr>
        <w:pStyle w:val="ListParagraph"/>
        <w:numPr>
          <w:ilvl w:val="0"/>
          <w:numId w:val="2"/>
        </w:numPr>
        <w:spacing w:after="100" w:line="290"/>
      </w:pPr>
      <w:r>
        <w:rPr>
          <w:rFonts w:ascii="Archivo" w:cs="Archivo" w:eastAsia="Archivo" w:hAnsi="Archivo"/>
          <w:sz w:val="21"/>
          <w:szCs w:val="21"/>
        </w:rPr>
        <w:t xml:space="preserve">4. Contrastarla con el contenido natural y la expectativa razonable del ramo (capítulo 1): ¿resulta sorpresiva?</w:t>
      </w:r>
    </w:p>
    <w:p>
      <w:pPr>
        <w:pStyle w:val="ListParagraph"/>
        <w:numPr>
          <w:ilvl w:val="0"/>
          <w:numId w:val="2"/>
        </w:numPr>
        <w:spacing w:after="100" w:line="290"/>
      </w:pPr>
      <w:r>
        <w:rPr>
          <w:rFonts w:ascii="Archivo" w:cs="Archivo" w:eastAsia="Archivo" w:hAnsi="Archivo"/>
          <w:sz w:val="21"/>
          <w:szCs w:val="21"/>
        </w:rPr>
        <w:t xml:space="preserve">5. Solo si persiste la duda, aplicar la regla contra proferentem a favor del asegurado (art. 1288 CC).</w:t>
      </w:r>
    </w:p>
    <w:p>
      <w:pPr>
        <w:pStyle w:val="ListParagraph"/>
        <w:numPr>
          <w:ilvl w:val="0"/>
          <w:numId w:val="2"/>
        </w:numPr>
        <w:spacing w:after="100" w:line="290"/>
      </w:pPr>
      <w:r>
        <w:rPr>
          <w:rFonts w:ascii="Archivo" w:cs="Archivo" w:eastAsia="Archivo" w:hAnsi="Archivo"/>
          <w:sz w:val="21"/>
          <w:szCs w:val="21"/>
        </w:rPr>
        <w:t xml:space="preserve">6. En el supuesto excepcional de duda insalvable sobre el objeto principal del contrato, valorar la regla subsidiaria del art. 1289 CC.</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Cómo argumentar la interpretación de una cláusula</w:t>
            </w:r>
          </w:p>
          <w:p>
            <w:pPr>
              <w:pStyle w:val="ListParagraph"/>
              <w:numPr>
                <w:ilvl w:val="0"/>
                <w:numId w:val="2"/>
              </w:numPr>
              <w:spacing w:after="80" w:line="280"/>
            </w:pPr>
            <w:r>
              <w:rPr>
                <w:rFonts w:ascii="Archivo" w:cs="Archivo" w:eastAsia="Archivo" w:hAnsi="Archivo"/>
                <w:sz w:val="19"/>
                <w:szCs w:val="19"/>
              </w:rPr>
              <w:t xml:space="preserve">No saltar directamente a la regla contra proferentem: agotar primero los cánones literal, sistemático y finalista, que suelen ofrecer argumentos más sólidos y menos discutibles.</w:t>
            </w:r>
          </w:p>
          <w:p>
            <w:pPr>
              <w:pStyle w:val="ListParagraph"/>
              <w:numPr>
                <w:ilvl w:val="0"/>
                <w:numId w:val="2"/>
              </w:numPr>
              <w:spacing w:after="80" w:line="280"/>
            </w:pPr>
            <w:r>
              <w:rPr>
                <w:rFonts w:ascii="Archivo" w:cs="Archivo" w:eastAsia="Archivo" w:hAnsi="Archivo"/>
                <w:sz w:val="19"/>
                <w:szCs w:val="19"/>
              </w:rPr>
              <w:t xml:space="preserve">Invocar siempre el canon de conservación (art. 1284 CC) frente a interpretaciones de la aseguradora que vacíen de contenido efectivo la cobertura contratada.</w:t>
            </w:r>
          </w:p>
          <w:p>
            <w:pPr>
              <w:pStyle w:val="ListParagraph"/>
              <w:numPr>
                <w:ilvl w:val="0"/>
                <w:numId w:val="2"/>
              </w:numPr>
              <w:spacing w:after="80" w:line="280"/>
            </w:pPr>
            <w:r>
              <w:rPr>
                <w:rFonts w:ascii="Archivo" w:cs="Archivo" w:eastAsia="Archivo" w:hAnsi="Archivo"/>
                <w:sz w:val="19"/>
                <w:szCs w:val="19"/>
              </w:rPr>
              <w:t xml:space="preserve">Contrastar la cláusula con el contenido natural del ramo y la doctrina de la cláusula sorpresiva (capítulo 1) antes de acudir a los cánones subsidiarios.</w:t>
            </w:r>
          </w:p>
          <w:p>
            <w:pPr>
              <w:pStyle w:val="ListParagraph"/>
              <w:numPr>
                <w:ilvl w:val="0"/>
                <w:numId w:val="2"/>
              </w:numPr>
              <w:spacing w:after="80" w:line="280"/>
            </w:pPr>
            <w:r>
              <w:rPr>
                <w:rFonts w:ascii="Archivo" w:cs="Archivo" w:eastAsia="Archivo" w:hAnsi="Archivo"/>
                <w:sz w:val="19"/>
                <w:szCs w:val="19"/>
              </w:rPr>
              <w:t xml:space="preserve">Reservar la invocación del art. 1289 CC, párrafo segundo (nulidad por duda insalvable), a los supuestos verdaderamente excepcionales en que ni siquiera contra proferentem permite fijar el sentido de la cláusula.</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interpretación de su póliza</w:t>
            </w:r>
          </w:p>
          <w:p>
            <w:pPr>
              <w:pStyle w:val="ListParagraph"/>
              <w:numPr>
                <w:ilvl w:val="0"/>
                <w:numId w:val="2"/>
              </w:numPr>
              <w:spacing w:after="80" w:line="280"/>
            </w:pPr>
            <w:r>
              <w:rPr>
                <w:rFonts w:ascii="Archivo" w:cs="Archivo" w:eastAsia="Archivo" w:hAnsi="Archivo"/>
                <w:sz w:val="19"/>
                <w:szCs w:val="19"/>
              </w:rPr>
              <w:t xml:space="preserve">Si una cláusula de su póliza puede leerse de dos maneras razonables, la ley favorece la interpretación que le sea más beneficiosa a usted como asegurado.</w:t>
            </w:r>
          </w:p>
          <w:p>
            <w:pPr>
              <w:pStyle w:val="ListParagraph"/>
              <w:numPr>
                <w:ilvl w:val="0"/>
                <w:numId w:val="2"/>
              </w:numPr>
              <w:spacing w:after="80" w:line="280"/>
            </w:pPr>
            <w:r>
              <w:rPr>
                <w:rFonts w:ascii="Archivo" w:cs="Archivo" w:eastAsia="Archivo" w:hAnsi="Archivo"/>
                <w:sz w:val="19"/>
                <w:szCs w:val="19"/>
              </w:rPr>
              <w:t xml:space="preserve">Una aseguradora no puede interpretar una cláusula de forma que la cobertura que usted contrató quede, en la práctica, vacía de contenido.</w:t>
            </w:r>
          </w:p>
          <w:p>
            <w:pPr>
              <w:pStyle w:val="ListParagraph"/>
              <w:numPr>
                <w:ilvl w:val="0"/>
                <w:numId w:val="2"/>
              </w:numPr>
              <w:spacing w:after="80" w:line="280"/>
            </w:pPr>
            <w:r>
              <w:rPr>
                <w:rFonts w:ascii="Archivo" w:cs="Archivo" w:eastAsia="Archivo" w:hAnsi="Archivo"/>
                <w:sz w:val="19"/>
                <w:szCs w:val="19"/>
              </w:rPr>
              <w:t xml:space="preserve">Compare siempre lo que dice una cláusula concreta con el conjunto de su póliza: una definición aislada puede tener un sentido distinto cuando se lee junto con el resto del contrato.</w:t>
            </w:r>
          </w:p>
        </w:tc>
      </w:tr>
    </w:tbl>
    <w:p>
      <w:pPr>
        <w:pStyle w:val="Heading2"/>
        <w:spacing w:after="160" w:before="400"/>
      </w:pPr>
      <w:r>
        <w:rPr>
          <w:rFonts w:ascii="Fraunces" w:cs="Fraunces" w:eastAsia="Fraunces" w:hAnsi="Fraunces"/>
          <w:b/>
          <w:bCs/>
          <w:color w:val="0A2540"/>
          <w:sz w:val="24"/>
          <w:szCs w:val="24"/>
        </w:rPr>
        <w:t xml:space="preserve">6.9. Checklist: interpretación de una cláusula controvertida</w:t>
      </w:r>
    </w:p>
    <w:p>
      <w:pPr>
        <w:pStyle w:val="ListParagraph"/>
        <w:numPr>
          <w:ilvl w:val="0"/>
          <w:numId w:val="2"/>
        </w:numPr>
        <w:spacing w:after="100" w:line="290"/>
      </w:pPr>
      <w:r>
        <w:rPr>
          <w:rFonts w:ascii="Archivo" w:cs="Archivo" w:eastAsia="Archivo" w:hAnsi="Archivo"/>
          <w:sz w:val="21"/>
          <w:szCs w:val="21"/>
        </w:rPr>
        <w:t xml:space="preserve">1. ¿Es realmente ambigua la cláusula, o solo desfavorable al interés que se defiende?</w:t>
      </w:r>
    </w:p>
    <w:p>
      <w:pPr>
        <w:pStyle w:val="ListParagraph"/>
        <w:numPr>
          <w:ilvl w:val="0"/>
          <w:numId w:val="2"/>
        </w:numPr>
        <w:spacing w:after="100" w:line="290"/>
      </w:pPr>
      <w:r>
        <w:rPr>
          <w:rFonts w:ascii="Archivo" w:cs="Archivo" w:eastAsia="Archivo" w:hAnsi="Archivo"/>
          <w:sz w:val="21"/>
          <w:szCs w:val="21"/>
        </w:rPr>
        <w:t xml:space="preserve">2. ¿Qué sentido resulta de leerla junto con el resto de las condiciones de la póliza?</w:t>
      </w:r>
    </w:p>
    <w:p>
      <w:pPr>
        <w:pStyle w:val="ListParagraph"/>
        <w:numPr>
          <w:ilvl w:val="0"/>
          <w:numId w:val="2"/>
        </w:numPr>
        <w:spacing w:after="100" w:line="290"/>
      </w:pPr>
      <w:r>
        <w:rPr>
          <w:rFonts w:ascii="Archivo" w:cs="Archivo" w:eastAsia="Archivo" w:hAnsi="Archivo"/>
          <w:sz w:val="21"/>
          <w:szCs w:val="21"/>
        </w:rPr>
        <w:t xml:space="preserve">3. ¿Alguna interpretación posible dejaría sin efecto útil la cobertura contratada?</w:t>
      </w:r>
    </w:p>
    <w:p>
      <w:pPr>
        <w:pStyle w:val="ListParagraph"/>
        <w:numPr>
          <w:ilvl w:val="0"/>
          <w:numId w:val="2"/>
        </w:numPr>
        <w:spacing w:after="100" w:line="290"/>
      </w:pPr>
      <w:r>
        <w:rPr>
          <w:rFonts w:ascii="Archivo" w:cs="Archivo" w:eastAsia="Archivo" w:hAnsi="Archivo"/>
          <w:sz w:val="21"/>
          <w:szCs w:val="21"/>
        </w:rPr>
        <w:t xml:space="preserve">4. ¿Se aparta la cláusula del contenido natural y esperable del ramo?</w:t>
      </w:r>
    </w:p>
    <w:p>
      <w:pPr>
        <w:pStyle w:val="ListParagraph"/>
        <w:numPr>
          <w:ilvl w:val="0"/>
          <w:numId w:val="2"/>
        </w:numPr>
        <w:spacing w:after="100" w:line="290"/>
      </w:pPr>
      <w:r>
        <w:rPr>
          <w:rFonts w:ascii="Archivo" w:cs="Archivo" w:eastAsia="Archivo" w:hAnsi="Archivo"/>
          <w:sz w:val="21"/>
          <w:szCs w:val="21"/>
        </w:rPr>
        <w:t xml:space="preserve">5. Agotados los cánones anteriores, ¿persiste una duda razonable que deba resolverse a favor del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ageBreakBefore/>
        <w:spacing w:after="200" w:before="2000"/>
      </w:pPr>
      <w:r>
        <w:rPr>
          <w:rFonts w:ascii="Archivo" w:cs="Archivo" w:eastAsia="Archivo" w:hAnsi="Archivo"/>
          <w:b/>
          <w:bCs/>
          <w:color w:val="1B6DF0"/>
          <w:sz w:val="28"/>
          <w:szCs w:val="28"/>
        </w:rPr>
        <w:t xml:space="preserve">PARTE II</w:t>
      </w:r>
    </w:p>
    <w:p>
      <w:pPr>
        <w:pBdr>
          <w:bottom w:val="single" w:color="CBD5E1" w:sz="6" w:space="12"/>
        </w:pBdr>
        <w:spacing w:after="600"/>
      </w:pPr>
      <w:r>
        <w:rPr>
          <w:rFonts w:ascii="Fraunces" w:cs="Fraunces" w:eastAsia="Fraunces" w:hAnsi="Fraunces"/>
          <w:b/>
          <w:bCs/>
          <w:color w:val="0A2540"/>
          <w:sz w:val="44"/>
          <w:szCs w:val="44"/>
        </w:rPr>
        <w:t xml:space="preserve">Las coberturas del seguro multirriesgo de hogar</w:t>
      </w:r>
    </w:p>
    <w:p>
      <w:pPr>
        <w:pStyle w:val="Heading1"/>
        <w:pageBreakBefore/>
        <w:spacing w:after="300" w:before="200"/>
      </w:pPr>
      <w:r>
        <w:rPr>
          <w:rFonts w:ascii="Archivo" w:cs="Archivo" w:eastAsia="Archivo" w:hAnsi="Archivo"/>
          <w:b/>
          <w:bCs/>
          <w:color w:val="1B6DF0"/>
          <w:sz w:val="22"/>
          <w:szCs w:val="22"/>
        </w:rPr>
        <w:t xml:space="preserve">Capítulo 7. </w:t>
      </w:r>
      <w:r>
        <w:rPr>
          <w:rFonts w:ascii="Fraunces" w:cs="Fraunces" w:eastAsia="Fraunces" w:hAnsi="Fraunces"/>
          <w:b/>
          <w:bCs/>
          <w:color w:val="0A2540"/>
          <w:sz w:val="30"/>
          <w:szCs w:val="30"/>
        </w:rPr>
        <w:t xml:space="preserve">Incendio, explosión y fenómenos eléctricos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7.1. El concepto legal de incendio (art. 45 LCS)</w:t>
            </w:r>
          </w:p>
          <w:p>
            <w:pPr>
              <w:spacing w:after="40" w:line="260"/>
            </w:pPr>
            <w:r>
              <w:rPr>
                <w:rFonts w:ascii="Archivo" w:cs="Archivo" w:eastAsia="Archivo" w:hAnsi="Archivo"/>
                <w:sz w:val="18"/>
                <w:szCs w:val="18"/>
              </w:rPr>
              <w:t xml:space="preserve">7.2. Extensión de la cobertura y daños indemnizables (art. 49 LCS)</w:t>
            </w:r>
          </w:p>
          <w:p>
            <w:pPr>
              <w:spacing w:after="40" w:line="260"/>
            </w:pPr>
            <w:r>
              <w:rPr>
                <w:rFonts w:ascii="Archivo" w:cs="Archivo" w:eastAsia="Archivo" w:hAnsi="Archivo"/>
                <w:sz w:val="18"/>
                <w:szCs w:val="18"/>
              </w:rPr>
              <w:t xml:space="preserve">7.3. Objetos de valor y bienes excluidos de la cobertura estándar (art. 46 LCS)</w:t>
            </w:r>
          </w:p>
          <w:p>
            <w:pPr>
              <w:spacing w:after="40" w:line="260"/>
            </w:pPr>
            <w:r>
              <w:rPr>
                <w:rFonts w:ascii="Archivo" w:cs="Archivo" w:eastAsia="Archivo" w:hAnsi="Archivo"/>
                <w:sz w:val="18"/>
                <w:szCs w:val="18"/>
              </w:rPr>
              <w:t xml:space="preserve">7.4. Causas de exoneración: caso fortuito, malquerencia de extraños y dolo o culpa grave (art. 48 LCS)</w:t>
            </w:r>
          </w:p>
          <w:p>
            <w:pPr>
              <w:spacing w:after="40" w:line="260"/>
            </w:pPr>
            <w:r>
              <w:rPr>
                <w:rFonts w:ascii="Archivo" w:cs="Archivo" w:eastAsia="Archivo" w:hAnsi="Archivo"/>
                <w:sz w:val="18"/>
                <w:szCs w:val="18"/>
              </w:rPr>
              <w:t xml:space="preserve">7.5. El desplazamiento del objeto asegurado (art. 47 LCS)</w:t>
            </w:r>
          </w:p>
          <w:p>
            <w:pPr>
              <w:spacing w:after="40" w:line="260"/>
            </w:pPr>
            <w:r>
              <w:rPr>
                <w:rFonts w:ascii="Archivo" w:cs="Archivo" w:eastAsia="Archivo" w:hAnsi="Archivo"/>
                <w:sz w:val="18"/>
                <w:szCs w:val="18"/>
              </w:rPr>
              <w:t xml:space="preserve">7.6. Los fenómenos eléctricos como riesgo asimilado</w:t>
            </w:r>
          </w:p>
          <w:p>
            <w:pPr>
              <w:spacing w:after="40" w:line="260"/>
            </w:pPr>
            <w:r>
              <w:rPr>
                <w:rFonts w:ascii="Archivo" w:cs="Archivo" w:eastAsia="Archivo" w:hAnsi="Archivo"/>
                <w:sz w:val="18"/>
                <w:szCs w:val="18"/>
              </w:rPr>
              <w:t xml:space="preserve">7.7. Ficha para el profesional</w:t>
            </w:r>
          </w:p>
          <w:p>
            <w:pPr>
              <w:spacing w:after="40" w:line="260"/>
            </w:pPr>
            <w:r>
              <w:rPr>
                <w:rFonts w:ascii="Archivo" w:cs="Archivo" w:eastAsia="Archivo" w:hAnsi="Archivo"/>
                <w:sz w:val="18"/>
                <w:szCs w:val="18"/>
              </w:rPr>
              <w:t xml:space="preserve">7.8. Ficha para el asegurado</w:t>
            </w:r>
          </w:p>
          <w:p>
            <w:pPr>
              <w:spacing w:after="40" w:line="260"/>
            </w:pPr>
            <w:r>
              <w:rPr>
                <w:rFonts w:ascii="Archivo" w:cs="Archivo" w:eastAsia="Archivo" w:hAnsi="Archivo"/>
                <w:sz w:val="18"/>
                <w:szCs w:val="18"/>
              </w:rPr>
              <w:t xml:space="preserve">7.9. Checklist: acreditación de un siniestro de incendio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el régimen especial del seguro contra incendios (arts. 45 a 49 LCS), aplicable con carácter supletorio a la garantía de incendio del seguro multirriesgo de hogar, con particular atención al concepto legal de incendio, a las causas legales de exoneración del art. 48 LCS —caso fortuito, malquerencia de extraños, negligencia propia y dolo o culpa grave— y a la reciente doctrina de la Sala Primera sobre el alcance de la expresión «malquerencia de extraños».</w:t>
            </w:r>
          </w:p>
          <w:p>
            <w:pPr>
              <w:spacing w:after="160"/>
            </w:pPr>
            <w:r>
              <w:rPr>
                <w:rFonts w:ascii="Archivo" w:cs="Archivo" w:eastAsia="Archivo" w:hAnsi="Archivo"/>
                <w:b/>
                <w:bCs/>
                <w:sz w:val="17"/>
                <w:szCs w:val="17"/>
              </w:rPr>
              <w:t xml:space="preserve">Palabras clave: seguro de incendio, art. 45 LCS, art. 48 LCS, malquerencia de extraños, dolo, culpa grave, fenómenos eléctricos.</w:t>
            </w:r>
          </w:p>
          <w:p>
            <w:pPr>
              <w:spacing w:after="100"/>
              <w:jc w:val="both"/>
            </w:pPr>
            <w:r>
              <w:rPr>
                <w:rFonts w:ascii="Archivo" w:cs="Archivo" w:eastAsia="Archivo" w:hAnsi="Archivo"/>
                <w:i/>
                <w:iCs/>
                <w:sz w:val="18"/>
                <w:szCs w:val="18"/>
              </w:rPr>
              <w:t xml:space="preserve">This chapter examines the special fire insurance regime under Articles 45 to 49 of the Spanish Insurance Contract Act, applicable on a suppletory basis to the fire cover of homeowners' multi-risk policies, focusing on the statutory definition of fire and on the exoneration grounds of Article 48 —fortuitous event, malice of strangers, the insured's own negligence, and wilful misconduct or gross negligence— together with recent Supreme Court case law on the scope of the 'malice of strangers' clause.</w:t>
            </w:r>
          </w:p>
          <w:p>
            <w:pPr>
              <w:spacing w:after="0"/>
            </w:pPr>
            <w:r>
              <w:rPr>
                <w:rFonts w:ascii="Archivo" w:cs="Archivo" w:eastAsia="Archivo" w:hAnsi="Archivo"/>
                <w:b/>
                <w:bCs/>
                <w:sz w:val="17"/>
                <w:szCs w:val="17"/>
              </w:rPr>
              <w:t xml:space="preserve">Keywords: fire insurance, exoneration grounds, malice of strangers, wilful misconduct, gross negligence, electrical damage.</w:t>
            </w:r>
          </w:p>
        </w:tc>
      </w:tr>
    </w:tbl>
    <w:p>
      <w:pPr>
        <w:spacing w:after="200"/>
      </w:pPr>
    </w:p>
    <w:p>
      <w:pPr>
        <w:pStyle w:val="Heading2"/>
        <w:spacing w:after="160" w:before="400"/>
      </w:pPr>
      <w:r>
        <w:rPr>
          <w:rFonts w:ascii="Fraunces" w:cs="Fraunces" w:eastAsia="Fraunces" w:hAnsi="Fraunces"/>
          <w:b/>
          <w:bCs/>
          <w:color w:val="0A2540"/>
          <w:sz w:val="24"/>
          <w:szCs w:val="24"/>
        </w:rPr>
        <w:t xml:space="preserve">7.1. El concepto legal de incendio</w:t>
      </w:r>
    </w:p>
    <w:p>
      <w:pPr>
        <w:spacing w:after="180" w:line="300"/>
        <w:jc w:val="both"/>
      </w:pPr>
      <w:r>
        <w:rPr>
          <w:rFonts w:ascii="Archivo" w:cs="Archivo" w:eastAsia="Archivo" w:hAnsi="Archivo"/>
          <w:sz w:val="21"/>
          <w:szCs w:val="21"/>
        </w:rPr>
        <w:t xml:space="preserve">El seguro multirriesgo de hogar incorpora, como garantía troncal, la cobertura de incendio, cuyo régimen específico se contiene en los arts. 45 a 49 LCS, dentro del Título II de la Ley, dedicado al seguro contra daños. Estas disposiciones se aplican, con el carácter imperativo relativo propio de toda la LCS (art. 2), incluso cuando la garantía de incendio se integra, como es habitual, en una póliza combinada de hogar</w:t>
      </w:r>
      <w:r>
        <w:rPr>
          <w:rStyle w:val="FootnoteReference"/>
        </w:rPr>
        <w:footnoteReference w:id="1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45 LCS</w:t>
            </w:r>
          </w:p>
          <w:p>
            <w:pPr>
              <w:spacing w:after="0" w:line="280"/>
              <w:jc w:val="both"/>
            </w:pPr>
            <w:r>
              <w:rPr>
                <w:rFonts w:ascii="IBM Plex Mono" w:cs="IBM Plex Mono" w:eastAsia="IBM Plex Mono" w:hAnsi="IBM Plex Mono"/>
                <w:i/>
                <w:iCs/>
                <w:color w:val="0A2540"/>
                <w:sz w:val="18"/>
                <w:szCs w:val="18"/>
              </w:rPr>
              <w:t xml:space="preserve">Por el seguro contra incendios el asegurador se obliga dentro de los límites establecidos en la Ley y en el contrato a indemnizar los daños producidos por incendio en el objeto asegurado. Se considera incendio la combustión y el abrasamiento con llama, capaz de propagarse, de un objeto u objetos que no estaban destinados a ser quemados en el lugar y momento en que se produce.</w:t>
            </w:r>
          </w:p>
        </w:tc>
      </w:tr>
    </w:tbl>
    <w:p>
      <w:pPr>
        <w:spacing w:after="180" w:line="300"/>
        <w:jc w:val="both"/>
      </w:pPr>
      <w:r>
        <w:rPr>
          <w:rFonts w:ascii="Archivo" w:cs="Archivo" w:eastAsia="Archivo" w:hAnsi="Archivo"/>
          <w:sz w:val="21"/>
          <w:szCs w:val="21"/>
        </w:rPr>
        <w:t xml:space="preserve">La definición legal exige tres elementos acumulativos que conviene tener presentes al calificar un siniestro: (i) combustión con llama —lo que excluye, en rigor, los daños por mero calentamiento, chamuscado o carbonización sin llama propiamente dicha—; (ii) capacidad de propagación; y (iii) que el objeto quemado no estuviera destinado a serlo en ese lugar y momento, elemento que separa el incendio asegurado de la combustión controlada (chimenea, barbacoa, velas) que forma parte del uso normal de la vivienda.</w:t>
      </w:r>
    </w:p>
    <w:p>
      <w:pPr>
        <w:pStyle w:val="Heading2"/>
        <w:spacing w:after="160" w:before="400"/>
      </w:pPr>
      <w:r>
        <w:rPr>
          <w:rFonts w:ascii="Fraunces" w:cs="Fraunces" w:eastAsia="Fraunces" w:hAnsi="Fraunces"/>
          <w:b/>
          <w:bCs/>
          <w:color w:val="0A2540"/>
          <w:sz w:val="24"/>
          <w:szCs w:val="24"/>
        </w:rPr>
        <w:t xml:space="preserve">7.2. Extensión de la cobertura y daños indemnizables</w:t>
      </w:r>
    </w:p>
    <w:p>
      <w:pPr>
        <w:spacing w:after="180" w:line="300"/>
        <w:jc w:val="both"/>
      </w:pPr>
      <w:r>
        <w:rPr>
          <w:rFonts w:ascii="Archivo" w:cs="Archivo" w:eastAsia="Archivo" w:hAnsi="Archivo"/>
          <w:sz w:val="21"/>
          <w:szCs w:val="21"/>
        </w:rPr>
        <w:t xml:space="preserve">El artículo 49 LCS extiende la cobertura más allá del daño directo del fuego, incorporando una relación de daños conexos que resulta de gran utilidad práctica al cuantificar un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49 LCS</w:t>
            </w:r>
          </w:p>
          <w:p>
            <w:pPr>
              <w:spacing w:after="0" w:line="280"/>
              <w:jc w:val="both"/>
            </w:pPr>
            <w:r>
              <w:rPr>
                <w:rFonts w:ascii="IBM Plex Mono" w:cs="IBM Plex Mono" w:eastAsia="IBM Plex Mono" w:hAnsi="IBM Plex Mono"/>
                <w:i/>
                <w:iCs/>
                <w:color w:val="0A2540"/>
                <w:sz w:val="18"/>
                <w:szCs w:val="18"/>
              </w:rPr>
              <w:t xml:space="preserve">El asegurador indemnizará todos los daños y pérdidas materiales causados por la acción directa del fuego, así como los producidos por las consecuencias inevitables del incendio y en particular: 1.º Los daños que ocasionen las medidas necesarias adoptadas por la autoridad o el asegurado para impedir, cortar o extinguir el incendio [...]. 2.º Los gastos que ocasione al asegurado el transporte de los efectos asegurados o cualesquiera otras medidas adoptadas con el fin de salvarlos del incendio. 3.º Los menoscabos que sufran los objetos salvados por las circunstancias descritas en los dos números anteriores. 4.º El valor de los objetos desaparecidos, siempre que el asegurado acredite su preexistencia y salvo que el asegurador pruebe que fueron robados o hurtados. 5.º Cualesquiera otros que se consignen en la póliza.</w:t>
            </w:r>
          </w:p>
        </w:tc>
      </w:tr>
    </w:tbl>
    <w:p>
      <w:pPr>
        <w:spacing w:after="180" w:line="300"/>
        <w:jc w:val="both"/>
      </w:pPr>
      <w:r>
        <w:rPr>
          <w:rFonts w:ascii="Archivo" w:cs="Archivo" w:eastAsia="Archivo" w:hAnsi="Archivo"/>
          <w:sz w:val="21"/>
          <w:szCs w:val="21"/>
        </w:rPr>
        <w:t xml:space="preserve">De especial interés práctico es la regla 4.ª: ante la desaparición de objetos con ocasión de un incendio (frecuente en la confusión de las labores de extinción y salvamento), la carga de la prueba se invierte parcialmente a favor del asegurado, a quien basta con acreditar la preexistencia del objeto, correspondiendo a la aseguradora probar, si quiere excluir la indemnización, que en realidad fue sustraído.</w:t>
      </w:r>
    </w:p>
    <w:p>
      <w:pPr>
        <w:pStyle w:val="Heading2"/>
        <w:spacing w:after="160" w:before="400"/>
      </w:pPr>
      <w:r>
        <w:rPr>
          <w:rFonts w:ascii="Fraunces" w:cs="Fraunces" w:eastAsia="Fraunces" w:hAnsi="Fraunces"/>
          <w:b/>
          <w:bCs/>
          <w:color w:val="0A2540"/>
          <w:sz w:val="24"/>
          <w:szCs w:val="24"/>
        </w:rPr>
        <w:t xml:space="preserve">7.3. Objetos de valor y bienes excluidos de la cobertura estándar</w:t>
      </w:r>
    </w:p>
    <w:p>
      <w:pPr>
        <w:spacing w:after="180" w:line="300"/>
        <w:jc w:val="both"/>
      </w:pPr>
      <w:r>
        <w:rPr>
          <w:rFonts w:ascii="Archivo" w:cs="Archivo" w:eastAsia="Archivo" w:hAnsi="Archivo"/>
          <w:sz w:val="21"/>
          <w:szCs w:val="21"/>
        </w:rPr>
        <w:t xml:space="preserve">El artículo 46 LCS excluye, salvo pacto expreso en contrario, determinados bienes de especial valor de la cobertura estándar de incendio, exclusión que la práctica aseguradora traslada sistemáticamente a las condiciones generales de las pólizas de hogar mediante los sublímites para joyas, dinero en efectivo y objetos de arte estudiados en el capítulo 15:</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46 LCS (párrafo segundo)</w:t>
            </w:r>
          </w:p>
          <w:p>
            <w:pPr>
              <w:spacing w:after="0" w:line="280"/>
              <w:jc w:val="both"/>
            </w:pPr>
            <w:r>
              <w:rPr>
                <w:rFonts w:ascii="IBM Plex Mono" w:cs="IBM Plex Mono" w:eastAsia="IBM Plex Mono" w:hAnsi="IBM Plex Mono"/>
                <w:i/>
                <w:iCs/>
                <w:color w:val="0A2540"/>
                <w:sz w:val="18"/>
                <w:szCs w:val="18"/>
              </w:rPr>
              <w:t xml:space="preserve">Salvo pacto expreso en contrario, no quedarán comprendidos en la cobertura del seguro los daños que cause el incendio en los valores mobiliarios públicos o privados, efectos de comercio, billetes de Banco, piedras y metales preciosos, objetos artísticos o cualesquiera otros objetos de valor que se hallaren en el objeto asegurado, aun cuando se pruebe su preexistencia y su destrucción o deterioro por el siniestro.</w:t>
            </w:r>
          </w:p>
        </w:tc>
      </w:tr>
    </w:tbl>
    <w:p>
      <w:pPr>
        <w:spacing w:after="180" w:line="300"/>
        <w:jc w:val="both"/>
      </w:pPr>
      <w:r>
        <w:rPr>
          <w:rFonts w:ascii="Archivo" w:cs="Archivo" w:eastAsia="Archivo" w:hAnsi="Archivo"/>
          <w:sz w:val="21"/>
          <w:szCs w:val="21"/>
        </w:rPr>
        <w:t xml:space="preserve">La norma legal es, en rigor, más restrictiva que la práctica aseguradora habitual, que suele ofrecer cobertura de estos bienes hasta ciertos sublímites mediante «pacto expreso» incorporado en las condiciones particulares; de ahí la importancia, ya destacada en el capítulo 5, de verificar que dichos sublímites figuren efectivamente pactados y no se limiten a una remisión genérica.</w:t>
      </w:r>
    </w:p>
    <w:p>
      <w:pPr>
        <w:pStyle w:val="Heading2"/>
        <w:spacing w:after="160" w:before="400"/>
      </w:pPr>
      <w:r>
        <w:rPr>
          <w:rFonts w:ascii="Fraunces" w:cs="Fraunces" w:eastAsia="Fraunces" w:hAnsi="Fraunces"/>
          <w:b/>
          <w:bCs/>
          <w:color w:val="0A2540"/>
          <w:sz w:val="24"/>
          <w:szCs w:val="24"/>
        </w:rPr>
        <w:t xml:space="preserve">7.4. Causas de exoneración: caso fortuito, malquerencia de extraños y dolo o culpa grave</w:t>
      </w:r>
    </w:p>
    <w:p>
      <w:pPr>
        <w:spacing w:after="180" w:line="300"/>
        <w:jc w:val="both"/>
      </w:pPr>
      <w:r>
        <w:rPr>
          <w:rFonts w:ascii="Archivo" w:cs="Archivo" w:eastAsia="Archivo" w:hAnsi="Archivo"/>
          <w:sz w:val="21"/>
          <w:szCs w:val="21"/>
        </w:rPr>
        <w:t xml:space="preserve">El artículo 48 LCS articula el régimen causal del seguro de incendio en dos párrafos de sentido inverso, cuya correcta lectura conjunta es imprescindible: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48 LCS</w:t>
            </w:r>
          </w:p>
          <w:p>
            <w:pPr>
              <w:spacing w:after="0" w:line="280"/>
              <w:jc w:val="both"/>
            </w:pPr>
            <w:r>
              <w:rPr>
                <w:rFonts w:ascii="IBM Plex Mono" w:cs="IBM Plex Mono" w:eastAsia="IBM Plex Mono" w:hAnsi="IBM Plex Mono"/>
                <w:i/>
                <w:iCs/>
                <w:color w:val="0A2540"/>
                <w:sz w:val="18"/>
                <w:szCs w:val="18"/>
              </w:rPr>
              <w:t xml:space="preserve">El asegurador estará obligado a indemnizar los daños producidos por el incendio cuando éste se origine por caso fortuito, por malquerencia de extraños, por negligencia propia o de las personas de quienes se responda civilmente. El asegurador no estará obligado a indemnizar los daños provocados por el incendio cuando éste se origine por dolo o culpa grave del asegurado.</w:t>
            </w:r>
          </w:p>
        </w:tc>
      </w:tr>
    </w:tbl>
    <w:p>
      <w:pPr>
        <w:spacing w:after="180" w:line="300"/>
        <w:jc w:val="both"/>
      </w:pPr>
      <w:r>
        <w:rPr>
          <w:rFonts w:ascii="Archivo" w:cs="Archivo" w:eastAsia="Archivo" w:hAnsi="Archivo"/>
          <w:sz w:val="21"/>
          <w:szCs w:val="21"/>
        </w:rPr>
        <w:t xml:space="preserve">El precepto consagra una regla de cobertura amplísima: el incendio causado por negligencia —incluso propia del asegurado, siempre que no alcance el umbral de la culpa grave— está cubierto, lo que distingue nítidamente el seguro de incendio de otras coberturas en las que la negligencia leve del asegurado puede jugar un papel exonerador distinto. Solo el dolo o la culpa grave liberan al asegurador, y la carga de su prueba corresponde, conforme a las reglas generales, a quien los alega</w:t>
      </w:r>
      <w:r>
        <w:rPr>
          <w:rStyle w:val="FootnoteReference"/>
        </w:rPr>
        <w:footnoteReference w:id="19"/>
      </w:r>
      <w:r>
        <w:rPr>
          <w:rFonts w:ascii="Archivo" w:cs="Archivo" w:eastAsia="Archivo" w:hAnsi="Archivo"/>
          <w:sz w:val="21"/>
          <w:szCs w:val="21"/>
        </w:rPr>
        <w:t xml:space="preserve">, es decir, a la aseguradora.</w:t>
      </w:r>
    </w:p>
    <w:p>
      <w:pPr>
        <w:spacing w:after="180" w:line="300"/>
        <w:jc w:val="both"/>
      </w:pPr>
      <w:r>
        <w:rPr>
          <w:rFonts w:ascii="Archivo" w:cs="Archivo" w:eastAsia="Archivo" w:hAnsi="Archivo"/>
          <w:sz w:val="21"/>
          <w:szCs w:val="21"/>
        </w:rPr>
        <w:t xml:space="preserve">La expresión «malquerencia de extraños» —heredera de una terminología decimonónica pero plenamente vigente— ha sido recientemente objeto de interpretación por la Sala Primera en un supuesto que, aunque referido a un local de negocio, fija un criterio de aplicación directa al ámbito doméstico cuando el incendio es provocado intencionadamente por alguien vinculado al entorno del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julio de 2026 (ROJ: STS 3443/2026; ECLI:ES:TS:2026:3443; MP: Almenar Belenguer)</w:t>
            </w:r>
          </w:p>
          <w:p>
            <w:pPr>
              <w:spacing w:after="0" w:line="280"/>
              <w:jc w:val="both"/>
            </w:pPr>
            <w:r>
              <w:rPr>
                <w:rFonts w:ascii="Archivo" w:cs="Archivo" w:eastAsia="Archivo" w:hAnsi="Archivo"/>
                <w:color w:val="0A2540"/>
                <w:sz w:val="19"/>
                <w:szCs w:val="19"/>
              </w:rPr>
              <w:t xml:space="preserve">«El art. 48 LCS dispone en su párrafo primero que ‘el asegurador estará obligado a indemnizar los daños producidos por el incendio cuando éste se origine por caso fortuito, por malquerencia de extraños, por negligencia propia o de las personas de quienes se responda civilmente’ [...]. La obligación del asegurador de indemnizar los daños producidos por el incendio en el caso de que éste se origine ‘por malquerencia de extraños’ se refiere al incendio provocado por la acción u omisión deliberada de terceras personas ajenas al asegurado y a su entorno directo, lo que implica que carezcan de una vinculación [societaria, familiar o de convivencia] con aquel.»</w:t>
            </w:r>
          </w:p>
        </w:tc>
      </w:tr>
    </w:tbl>
    <w:p>
      <w:pPr>
        <w:spacing w:after="180" w:line="300"/>
        <w:jc w:val="both"/>
      </w:pPr>
      <w:r>
        <w:rPr>
          <w:rFonts w:ascii="Archivo" w:cs="Archivo" w:eastAsia="Archivo" w:hAnsi="Archivo"/>
          <w:sz w:val="21"/>
          <w:szCs w:val="21"/>
        </w:rPr>
        <w:t xml:space="preserve">La ratio decidendi es plenamente trasladable al hogar: si el incendio es provocado intencionadamente por un familiar conviviente, una pareja, un empleado del hogar o, en general, una persona vinculada al círculo íntimo o de convivencia del asegurado, no podrá invocarse la cobertura por «malquerencia de extraños», y la aseguradora deberá, en su caso, analizar el supuesto bajo la óptica del dolo o culpa grave del propio asegurado (si le es imputable la actuación de la persona con quien convive) o, alternativamente, bajo la cobertura de daños causados por terceros no extraños, que en la práctica de las pólizas de hogar suele quedar sujeta a condiciones particulares específicas.</w:t>
      </w:r>
    </w:p>
    <w:p>
      <w:pPr>
        <w:pStyle w:val="Heading2"/>
        <w:spacing w:after="160" w:before="400"/>
      </w:pPr>
      <w:r>
        <w:rPr>
          <w:rFonts w:ascii="Fraunces" w:cs="Fraunces" w:eastAsia="Fraunces" w:hAnsi="Fraunces"/>
          <w:b/>
          <w:bCs/>
          <w:color w:val="0A2540"/>
          <w:sz w:val="24"/>
          <w:szCs w:val="24"/>
        </w:rPr>
        <w:t xml:space="preserve">7.5. El desplazamiento del objeto asegurado</w:t>
      </w:r>
    </w:p>
    <w:p>
      <w:pPr>
        <w:spacing w:after="180" w:line="300"/>
        <w:jc w:val="both"/>
      </w:pPr>
      <w:r>
        <w:rPr>
          <w:rFonts w:ascii="Archivo" w:cs="Archivo" w:eastAsia="Archivo" w:hAnsi="Archivo"/>
          <w:sz w:val="21"/>
          <w:szCs w:val="21"/>
        </w:rPr>
        <w:t xml:space="preserve">El artículo 47 LCS introduce una regla de frecuente aplicación práctica cuando el siniestro afecta a contenido que, en el momento del incendio, no se encontraba en la vivienda asegurada (por ejemplo, mobiliario trasladado temporalmente a un guardamuebles con ocasión de una reforma):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47 LCS</w:t>
            </w:r>
          </w:p>
          <w:p>
            <w:pPr>
              <w:spacing w:after="0" w:line="280"/>
              <w:jc w:val="both"/>
            </w:pPr>
            <w:r>
              <w:rPr>
                <w:rFonts w:ascii="IBM Plex Mono" w:cs="IBM Plex Mono" w:eastAsia="IBM Plex Mono" w:hAnsi="IBM Plex Mono"/>
                <w:i/>
                <w:iCs/>
                <w:color w:val="0A2540"/>
                <w:sz w:val="18"/>
                <w:szCs w:val="18"/>
              </w:rPr>
              <w:t xml:space="preserve">La destrucción o deterioro de los objetos asegurados fuera del lugar descrito en la póliza excluirá la indemnización del asegurador, a menos que su traslado o cambio le hubiere sido previamente comunicado por escrito y éste no hubiese manifestado en el plazo de quince días su disconformidad.</w:t>
            </w:r>
          </w:p>
        </w:tc>
      </w:tr>
    </w:tbl>
    <w:p>
      <w:pPr>
        <w:spacing w:after="180" w:line="300"/>
        <w:jc w:val="both"/>
      </w:pPr>
      <w:r>
        <w:rPr>
          <w:rFonts w:ascii="Archivo" w:cs="Archivo" w:eastAsia="Archivo" w:hAnsi="Archivo"/>
          <w:sz w:val="21"/>
          <w:szCs w:val="21"/>
        </w:rPr>
        <w:t xml:space="preserve">La norma configura, en la práctica, un mecanismo de silencio positivo a favor del asegurado: comunicado el traslado por escrito, la falta de respuesta de la aseguradora en quince días equivale a la aceptación de la extensión de cobertura al nuevo emplazamiento.</w:t>
      </w:r>
    </w:p>
    <w:p>
      <w:pPr>
        <w:pStyle w:val="Heading2"/>
        <w:spacing w:after="160" w:before="400"/>
      </w:pPr>
      <w:r>
        <w:rPr>
          <w:rFonts w:ascii="Fraunces" w:cs="Fraunces" w:eastAsia="Fraunces" w:hAnsi="Fraunces"/>
          <w:b/>
          <w:bCs/>
          <w:color w:val="0A2540"/>
          <w:sz w:val="24"/>
          <w:szCs w:val="24"/>
        </w:rPr>
        <w:t xml:space="preserve">7.6. Los fenómenos eléctricos como riesgo asimilado</w:t>
      </w:r>
    </w:p>
    <w:p>
      <w:pPr>
        <w:spacing w:after="180" w:line="300"/>
        <w:jc w:val="both"/>
      </w:pPr>
      <w:r>
        <w:rPr>
          <w:rFonts w:ascii="Archivo" w:cs="Archivo" w:eastAsia="Archivo" w:hAnsi="Archivo"/>
          <w:sz w:val="21"/>
          <w:szCs w:val="21"/>
        </w:rPr>
        <w:t xml:space="preserve">Las condiciones generales de las pólizas de hogar incorporan, junto a la garantía de incendio propiamente dicha, una garantía asimilada de daños eléctricos (cortocircuitos, sobretensiones, descargas atmosféricas indirectas) que, en sentido estricto, no siempre reúne los elementos del concepto legal de incendio del art. 45 LCS —en particular, la combustión con llama—, por lo que su alcance depende enteramente de la extensión pactada en condiciones particulares. Se trata, por ello, de una garantía predominantemente contractual, sometida al régimen general del art. 3 LCS y a la distinción entre cláusulas delimitadoras y limitativas estudiada en el capítulo 1, más que al régimen legal específico e imperativo de los arts. 45 a 49 LCS.</w:t>
      </w:r>
    </w:p>
    <w:p>
      <w:pPr>
        <w:pStyle w:val="Heading2"/>
        <w:spacing w:after="160" w:before="400"/>
      </w:pPr>
      <w:r>
        <w:rPr>
          <w:rFonts w:ascii="Fraunces" w:cs="Fraunces" w:eastAsia="Fraunces" w:hAnsi="Fraunces"/>
          <w:b/>
          <w:bCs/>
          <w:color w:val="0A2540"/>
          <w:sz w:val="24"/>
          <w:szCs w:val="24"/>
        </w:rPr>
        <w:t xml:space="preserve">7.7.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incendio</w:t>
            </w:r>
          </w:p>
          <w:p>
            <w:pPr>
              <w:pStyle w:val="ListParagraph"/>
              <w:numPr>
                <w:ilvl w:val="0"/>
                <w:numId w:val="2"/>
              </w:numPr>
              <w:spacing w:after="80" w:line="280"/>
            </w:pPr>
            <w:r>
              <w:rPr>
                <w:rFonts w:ascii="Archivo" w:cs="Archivo" w:eastAsia="Archivo" w:hAnsi="Archivo"/>
                <w:sz w:val="19"/>
                <w:szCs w:val="19"/>
              </w:rPr>
              <w:t xml:space="preserve">Verificar si concurren los tres elementos del concepto legal de incendio (art. 45 LCS): combustión, llama con capacidad de propagación, y objeto no destinado a ser quemado en ese lugar y momento.</w:t>
            </w:r>
          </w:p>
          <w:p>
            <w:pPr>
              <w:pStyle w:val="ListParagraph"/>
              <w:numPr>
                <w:ilvl w:val="0"/>
                <w:numId w:val="2"/>
              </w:numPr>
              <w:spacing w:after="80" w:line="280"/>
            </w:pPr>
            <w:r>
              <w:rPr>
                <w:rFonts w:ascii="Archivo" w:cs="Archivo" w:eastAsia="Archivo" w:hAnsi="Archivo"/>
                <w:sz w:val="19"/>
                <w:szCs w:val="19"/>
              </w:rPr>
              <w:t xml:space="preserve">Ante la invocación de dolo o culpa grave por la aseguradora, exigir la prueba cumplida de dicha causa de exoneración, recordando que la negligencia leve —incluso del propio asegurado— está cubierta ex art. 48 LCS.</w:t>
            </w:r>
          </w:p>
          <w:p>
            <w:pPr>
              <w:pStyle w:val="ListParagraph"/>
              <w:numPr>
                <w:ilvl w:val="0"/>
                <w:numId w:val="2"/>
              </w:numPr>
              <w:spacing w:after="80" w:line="280"/>
            </w:pPr>
            <w:r>
              <w:rPr>
                <w:rFonts w:ascii="Archivo" w:cs="Archivo" w:eastAsia="Archivo" w:hAnsi="Archivo"/>
                <w:sz w:val="19"/>
                <w:szCs w:val="19"/>
              </w:rPr>
              <w:t xml:space="preserve">Ante la invocación de «malquerencia de extraños» como base de la reclamación, o de su exclusión por la aseguradora, aplicar el criterio de la STS de 15 de julio de 2026 (ROJ: STS 3443/2026): solo excluye la vinculación directa con el entorno del asegurado.</w:t>
            </w:r>
          </w:p>
          <w:p>
            <w:pPr>
              <w:pStyle w:val="ListParagraph"/>
              <w:numPr>
                <w:ilvl w:val="0"/>
                <w:numId w:val="2"/>
              </w:numPr>
              <w:spacing w:after="80" w:line="280"/>
            </w:pPr>
            <w:r>
              <w:rPr>
                <w:rFonts w:ascii="Archivo" w:cs="Archivo" w:eastAsia="Archivo" w:hAnsi="Archivo"/>
                <w:sz w:val="19"/>
                <w:szCs w:val="19"/>
              </w:rPr>
              <w:t xml:space="preserve">Verificar la cobertura efectiva de objetos de valor (art. 46 LCS) mediante pacto expreso en condiciones particulares, no presunta.</w:t>
            </w:r>
          </w:p>
          <w:p>
            <w:pPr>
              <w:pStyle w:val="ListParagraph"/>
              <w:numPr>
                <w:ilvl w:val="0"/>
                <w:numId w:val="2"/>
              </w:numPr>
              <w:spacing w:after="80" w:line="280"/>
            </w:pPr>
            <w:r>
              <w:rPr>
                <w:rFonts w:ascii="Archivo" w:cs="Archivo" w:eastAsia="Archivo" w:hAnsi="Archivo"/>
                <w:sz w:val="19"/>
                <w:szCs w:val="19"/>
              </w:rPr>
              <w:t xml:space="preserve">En caso de desplazamiento temporal de contenido fuera de la vivienda, comprobar si se comunicó por escrito y si la aseguradora guardó silencio durante quince días (art. 47 LCS).</w:t>
            </w:r>
          </w:p>
        </w:tc>
      </w:tr>
    </w:tbl>
    <w:p>
      <w:pPr>
        <w:pStyle w:val="Heading2"/>
        <w:spacing w:after="160" w:before="400"/>
      </w:pPr>
      <w:r>
        <w:rPr>
          <w:rFonts w:ascii="Fraunces" w:cs="Fraunces" w:eastAsia="Fraunces" w:hAnsi="Fraunces"/>
          <w:b/>
          <w:bCs/>
          <w:color w:val="0A2540"/>
          <w:sz w:val="24"/>
          <w:szCs w:val="24"/>
        </w:rPr>
        <w:t xml:space="preserve">7.8.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hacer tras un incendio en su vivienda</w:t>
            </w:r>
          </w:p>
          <w:p>
            <w:pPr>
              <w:pStyle w:val="ListParagraph"/>
              <w:numPr>
                <w:ilvl w:val="0"/>
                <w:numId w:val="2"/>
              </w:numPr>
              <w:spacing w:after="80" w:line="280"/>
            </w:pPr>
            <w:r>
              <w:rPr>
                <w:rFonts w:ascii="Archivo" w:cs="Archivo" w:eastAsia="Archivo" w:hAnsi="Archivo"/>
                <w:sz w:val="19"/>
                <w:szCs w:val="19"/>
              </w:rPr>
              <w:t xml:space="preserve">Comunique el siniestro a la aseguradora dentro del plazo de la póliza (nunca superior a siete días desde que tuvo conocimiento, salvo plazo más amplio pactado).</w:t>
            </w:r>
          </w:p>
          <w:p>
            <w:pPr>
              <w:pStyle w:val="ListParagraph"/>
              <w:numPr>
                <w:ilvl w:val="0"/>
                <w:numId w:val="2"/>
              </w:numPr>
              <w:spacing w:after="80" w:line="280"/>
            </w:pPr>
            <w:r>
              <w:rPr>
                <w:rFonts w:ascii="Archivo" w:cs="Archivo" w:eastAsia="Archivo" w:hAnsi="Archivo"/>
                <w:sz w:val="19"/>
                <w:szCs w:val="19"/>
              </w:rPr>
              <w:t xml:space="preserve">Conserve, en la medida de lo posible, los restos y objetos dañados hasta la inspección pericial; no los deseche antes de que un perito los examine.</w:t>
            </w:r>
          </w:p>
          <w:p>
            <w:pPr>
              <w:pStyle w:val="ListParagraph"/>
              <w:numPr>
                <w:ilvl w:val="0"/>
                <w:numId w:val="2"/>
              </w:numPr>
              <w:spacing w:after="80" w:line="280"/>
            </w:pPr>
            <w:r>
              <w:rPr>
                <w:rFonts w:ascii="Archivo" w:cs="Archivo" w:eastAsia="Archivo" w:hAnsi="Archivo"/>
                <w:sz w:val="19"/>
                <w:szCs w:val="19"/>
              </w:rPr>
              <w:t xml:space="preserve">Si va a trasladar temporalmente sus enseres (por ejemplo, con ocasión de una reforma tras el incendio), comuníquelo por escrito a la aseguradora.</w:t>
            </w:r>
          </w:p>
          <w:p>
            <w:pPr>
              <w:pStyle w:val="ListParagraph"/>
              <w:numPr>
                <w:ilvl w:val="0"/>
                <w:numId w:val="2"/>
              </w:numPr>
              <w:spacing w:after="80" w:line="280"/>
            </w:pPr>
            <w:r>
              <w:rPr>
                <w:rFonts w:ascii="Archivo" w:cs="Archivo" w:eastAsia="Archivo" w:hAnsi="Archivo"/>
                <w:sz w:val="19"/>
                <w:szCs w:val="19"/>
              </w:rPr>
              <w:t xml:space="preserve">Guarde facturas o cualquier prueba de la preexistencia de los objetos desaparecidos: la ley le favorece con una presunción, pero cuanta más prueba aporte, más sólida será su reclamación.</w:t>
            </w:r>
          </w:p>
        </w:tc>
      </w:tr>
    </w:tbl>
    <w:p>
      <w:pPr>
        <w:pStyle w:val="Heading2"/>
        <w:spacing w:after="160" w:before="400"/>
      </w:pPr>
      <w:r>
        <w:rPr>
          <w:rFonts w:ascii="Fraunces" w:cs="Fraunces" w:eastAsia="Fraunces" w:hAnsi="Fraunces"/>
          <w:b/>
          <w:bCs/>
          <w:color w:val="0A2540"/>
          <w:sz w:val="24"/>
          <w:szCs w:val="24"/>
        </w:rPr>
        <w:t xml:space="preserve">7.9. Checklist: acreditación de un siniestro de incendio</w:t>
      </w:r>
    </w:p>
    <w:p>
      <w:pPr>
        <w:pStyle w:val="ListParagraph"/>
        <w:numPr>
          <w:ilvl w:val="0"/>
          <w:numId w:val="2"/>
        </w:numPr>
        <w:spacing w:after="100" w:line="290"/>
      </w:pPr>
      <w:r>
        <w:rPr>
          <w:rFonts w:ascii="Archivo" w:cs="Archivo" w:eastAsia="Archivo" w:hAnsi="Archivo"/>
          <w:sz w:val="21"/>
          <w:szCs w:val="21"/>
        </w:rPr>
        <w:t xml:space="preserve">1. ¿Existe informe de bomberos o atestado policial sobre el origen y las circunstancias del incendio?</w:t>
      </w:r>
    </w:p>
    <w:p>
      <w:pPr>
        <w:pStyle w:val="ListParagraph"/>
        <w:numPr>
          <w:ilvl w:val="0"/>
          <w:numId w:val="2"/>
        </w:numPr>
        <w:spacing w:after="100" w:line="290"/>
      </w:pPr>
      <w:r>
        <w:rPr>
          <w:rFonts w:ascii="Archivo" w:cs="Archivo" w:eastAsia="Archivo" w:hAnsi="Archivo"/>
          <w:sz w:val="21"/>
          <w:szCs w:val="21"/>
        </w:rPr>
        <w:t xml:space="preserve">2. ¿Se ha designado perito de parte conforme al art. 38 LCS (capítulo 18)?</w:t>
      </w:r>
    </w:p>
    <w:p>
      <w:pPr>
        <w:pStyle w:val="ListParagraph"/>
        <w:numPr>
          <w:ilvl w:val="0"/>
          <w:numId w:val="2"/>
        </w:numPr>
        <w:spacing w:after="100" w:line="290"/>
      </w:pPr>
      <w:r>
        <w:rPr>
          <w:rFonts w:ascii="Archivo" w:cs="Archivo" w:eastAsia="Archivo" w:hAnsi="Archivo"/>
          <w:sz w:val="21"/>
          <w:szCs w:val="21"/>
        </w:rPr>
        <w:t xml:space="preserve">3. ¿Existe prueba de la preexistencia de los objetos desaparecidos (facturas, fotografías, tasaciones)?</w:t>
      </w:r>
    </w:p>
    <w:p>
      <w:pPr>
        <w:pStyle w:val="ListParagraph"/>
        <w:numPr>
          <w:ilvl w:val="0"/>
          <w:numId w:val="2"/>
        </w:numPr>
        <w:spacing w:after="100" w:line="290"/>
      </w:pPr>
      <w:r>
        <w:rPr>
          <w:rFonts w:ascii="Archivo" w:cs="Archivo" w:eastAsia="Archivo" w:hAnsi="Archivo"/>
          <w:sz w:val="21"/>
          <w:szCs w:val="21"/>
        </w:rPr>
        <w:t xml:space="preserve">4. ¿Se han conservado los restos y objetos dañados para su inspección?</w:t>
      </w:r>
    </w:p>
    <w:p>
      <w:pPr>
        <w:pStyle w:val="ListParagraph"/>
        <w:numPr>
          <w:ilvl w:val="0"/>
          <w:numId w:val="2"/>
        </w:numPr>
        <w:spacing w:after="100" w:line="290"/>
      </w:pPr>
      <w:r>
        <w:rPr>
          <w:rFonts w:ascii="Archivo" w:cs="Archivo" w:eastAsia="Archivo" w:hAnsi="Archivo"/>
          <w:sz w:val="21"/>
          <w:szCs w:val="21"/>
        </w:rPr>
        <w:t xml:space="preserve">5. ¿Existen indicios de intervención de terceros? En tal caso, ¿cuál es su vinculación con el asegurado?</w:t>
      </w:r>
    </w:p>
    <w:p>
      <w:pPr>
        <w:pStyle w:val="ListParagraph"/>
        <w:numPr>
          <w:ilvl w:val="0"/>
          <w:numId w:val="2"/>
        </w:numPr>
        <w:spacing w:after="100" w:line="290"/>
      </w:pPr>
      <w:r>
        <w:rPr>
          <w:rFonts w:ascii="Archivo" w:cs="Archivo" w:eastAsia="Archivo" w:hAnsi="Archivo"/>
          <w:sz w:val="21"/>
          <w:szCs w:val="21"/>
        </w:rPr>
        <w:t xml:space="preserve">6. ¿Se comunicaron a la aseguradora traslados temporales del contenido asegurado?</w:t>
      </w:r>
    </w:p>
    <w:p>
      <w:pPr>
        <w:pStyle w:val="ListParagraph"/>
        <w:numPr>
          <w:ilvl w:val="0"/>
          <w:numId w:val="2"/>
        </w:numPr>
        <w:spacing w:after="100" w:line="290"/>
      </w:pPr>
      <w:r>
        <w:rPr>
          <w:rFonts w:ascii="Archivo" w:cs="Archivo" w:eastAsia="Archivo" w:hAnsi="Archivo"/>
          <w:sz w:val="21"/>
          <w:szCs w:val="21"/>
        </w:rPr>
        <w:t xml:space="preserve">7. ¿Se ha verificado la cobertura efectiva de objetos de valor mediante pacto expreso?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8. </w:t>
      </w:r>
      <w:r>
        <w:rPr>
          <w:rFonts w:ascii="Fraunces" w:cs="Fraunces" w:eastAsia="Fraunces" w:hAnsi="Fraunces"/>
          <w:b/>
          <w:bCs/>
          <w:color w:val="0A2540"/>
          <w:sz w:val="30"/>
          <w:szCs w:val="30"/>
        </w:rPr>
        <w:t xml:space="preserve">Daños por agua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8.1. Una cobertura sin régimen legal propio: la remisión al clausulado</w:t>
            </w:r>
          </w:p>
          <w:p>
            <w:pPr>
              <w:spacing w:after="40" w:line="260"/>
            </w:pPr>
            <w:r>
              <w:rPr>
                <w:rFonts w:ascii="Archivo" w:cs="Archivo" w:eastAsia="Archivo" w:hAnsi="Archivo"/>
                <w:sz w:val="18"/>
                <w:szCs w:val="18"/>
              </w:rPr>
              <w:t xml:space="preserve">8.2. Tipología de siniestros de agua en el seguro de hogar</w:t>
            </w:r>
          </w:p>
          <w:p>
            <w:pPr>
              <w:spacing w:after="40" w:line="260"/>
            </w:pPr>
            <w:r>
              <w:rPr>
                <w:rFonts w:ascii="Archivo" w:cs="Archivo" w:eastAsia="Archivo" w:hAnsi="Archivo"/>
                <w:sz w:val="18"/>
                <w:szCs w:val="18"/>
              </w:rPr>
              <w:t xml:space="preserve">8.3. La causa del daño como campo de batalla: vicio, desgaste y falta de mantenimiento</w:t>
            </w:r>
          </w:p>
          <w:p>
            <w:pPr>
              <w:spacing w:after="40" w:line="260"/>
            </w:pPr>
            <w:r>
              <w:rPr>
                <w:rFonts w:ascii="Archivo" w:cs="Archivo" w:eastAsia="Archivo" w:hAnsi="Archivo"/>
                <w:sz w:val="18"/>
                <w:szCs w:val="18"/>
              </w:rPr>
              <w:t xml:space="preserve">8.3.1. La confirmación de las Audiencias Provinciales: exclusión clara y no sorpresiva</w:t>
            </w:r>
          </w:p>
          <w:p>
            <w:pPr>
              <w:spacing w:after="40" w:line="260"/>
            </w:pPr>
            <w:r>
              <w:rPr>
                <w:rFonts w:ascii="Archivo" w:cs="Archivo" w:eastAsia="Archivo" w:hAnsi="Archivo"/>
                <w:sz w:val="18"/>
                <w:szCs w:val="18"/>
              </w:rPr>
              <w:t xml:space="preserve">8.4. Daños entre vecinos y comunidades de propietarios: elementos privativos y comunes</w:t>
            </w:r>
          </w:p>
          <w:p>
            <w:pPr>
              <w:spacing w:after="40" w:line="260"/>
            </w:pPr>
            <w:r>
              <w:rPr>
                <w:rFonts w:ascii="Archivo" w:cs="Archivo" w:eastAsia="Archivo" w:hAnsi="Archivo"/>
                <w:sz w:val="18"/>
                <w:szCs w:val="18"/>
              </w:rPr>
              <w:t xml:space="preserve">8.5. Concurrencia de seguros en el ámbito del arrendamiento y la propiedad horizontal</w:t>
            </w:r>
          </w:p>
          <w:p>
            <w:pPr>
              <w:spacing w:after="40" w:line="260"/>
            </w:pPr>
            <w:r>
              <w:rPr>
                <w:rFonts w:ascii="Archivo" w:cs="Archivo" w:eastAsia="Archivo" w:hAnsi="Archivo"/>
                <w:sz w:val="18"/>
                <w:szCs w:val="18"/>
              </w:rPr>
              <w:t xml:space="preserve">8.6. Daños continuados y determinación del dies a quo</w:t>
            </w:r>
          </w:p>
          <w:p>
            <w:pPr>
              <w:spacing w:after="40" w:line="260"/>
            </w:pPr>
            <w:r>
              <w:rPr>
                <w:rFonts w:ascii="Archivo" w:cs="Archivo" w:eastAsia="Archivo" w:hAnsi="Archivo"/>
                <w:sz w:val="18"/>
                <w:szCs w:val="18"/>
              </w:rPr>
              <w:t xml:space="preserve">8.7. Ficha para el profesional</w:t>
            </w:r>
          </w:p>
          <w:p>
            <w:pPr>
              <w:spacing w:after="40" w:line="260"/>
            </w:pPr>
            <w:r>
              <w:rPr>
                <w:rFonts w:ascii="Archivo" w:cs="Archivo" w:eastAsia="Archivo" w:hAnsi="Archivo"/>
                <w:sz w:val="18"/>
                <w:szCs w:val="18"/>
              </w:rPr>
              <w:t xml:space="preserve">8.8. Ficha para el asegurado</w:t>
            </w:r>
          </w:p>
          <w:p>
            <w:pPr>
              <w:spacing w:after="40" w:line="260"/>
            </w:pPr>
            <w:r>
              <w:rPr>
                <w:rFonts w:ascii="Archivo" w:cs="Archivo" w:eastAsia="Archivo" w:hAnsi="Archivo"/>
                <w:sz w:val="18"/>
                <w:szCs w:val="18"/>
              </w:rPr>
              <w:t xml:space="preserve">8.9. Checklist: gestión de un siniestro de daños por agua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Los daños por agua constituyen, en volumen de siniestros, la primera causa de reclamación en el seguro de hogar español, pese a carecer de régimen legal propio en la LCS: su tratamiento jurídico se construye enteramente sobre el clausulado contractual, el régimen general del seguro de daños y la jurisprudencia sobre concurrencia de seguros y responsabilidad civil en la propiedad horizontal. El capítulo sistematiza los criterios aplicados por la Sala Primera del Tribunal Supremo a la atribución de causas, a la concurrencia de pólizas entre propietario y arrendatario, y a la determinación del dies a quo en los daños de producción continuada.</w:t>
            </w:r>
          </w:p>
          <w:p>
            <w:pPr>
              <w:spacing w:after="160"/>
            </w:pPr>
            <w:r>
              <w:rPr>
                <w:rFonts w:ascii="Archivo" w:cs="Archivo" w:eastAsia="Archivo" w:hAnsi="Archivo"/>
                <w:b/>
                <w:bCs/>
                <w:sz w:val="17"/>
                <w:szCs w:val="17"/>
              </w:rPr>
              <w:t xml:space="preserve">Palabras clave: daños por agua, propiedad horizontal, concurrencia de seguros, art. 32 LCS, daño continuado, prescripción.</w:t>
            </w:r>
          </w:p>
          <w:p>
            <w:pPr>
              <w:spacing w:after="100"/>
              <w:jc w:val="both"/>
            </w:pPr>
            <w:r>
              <w:rPr>
                <w:rFonts w:ascii="Archivo" w:cs="Archivo" w:eastAsia="Archivo" w:hAnsi="Archivo"/>
                <w:i/>
                <w:iCs/>
                <w:sz w:val="18"/>
                <w:szCs w:val="18"/>
              </w:rPr>
              <w:t xml:space="preserve">Water damage claims are, by volume, the leading cause of homeowners' insurance claims in Spain, despite lacking a dedicated statutory regime under the Insurance Contract Act: their legal treatment rests entirely on policy wording, the general rules on indemnity insurance, and case law on concurrent insurance and condominium liability. This chapter systematises the criteria applied by the Supreme Court to causation disputes, to the concurrence of landlord and tenant policies, and to the starting point for limitation in cases of continuing damage.</w:t>
            </w:r>
          </w:p>
          <w:p>
            <w:pPr>
              <w:spacing w:after="0"/>
            </w:pPr>
            <w:r>
              <w:rPr>
                <w:rFonts w:ascii="Archivo" w:cs="Archivo" w:eastAsia="Archivo" w:hAnsi="Archivo"/>
                <w:b/>
                <w:bCs/>
                <w:sz w:val="17"/>
                <w:szCs w:val="17"/>
              </w:rPr>
              <w:t xml:space="preserve">Keywords: water damage, condominium liability, concurrent insurance, continuing damage, limitation period.</w:t>
            </w:r>
          </w:p>
        </w:tc>
      </w:tr>
    </w:tbl>
    <w:p>
      <w:pPr>
        <w:spacing w:after="200"/>
      </w:pPr>
    </w:p>
    <w:p>
      <w:pPr>
        <w:pStyle w:val="Heading2"/>
        <w:spacing w:after="160" w:before="400"/>
      </w:pPr>
      <w:r>
        <w:rPr>
          <w:rFonts w:ascii="Fraunces" w:cs="Fraunces" w:eastAsia="Fraunces" w:hAnsi="Fraunces"/>
          <w:b/>
          <w:bCs/>
          <w:color w:val="0A2540"/>
          <w:sz w:val="24"/>
          <w:szCs w:val="24"/>
        </w:rPr>
        <w:t xml:space="preserve">8.1. Una cobertura sin régimen legal propio: la remisión al clausulado</w:t>
      </w:r>
    </w:p>
    <w:p>
      <w:pPr>
        <w:spacing w:after="180" w:line="300"/>
        <w:jc w:val="both"/>
      </w:pPr>
      <w:r>
        <w:rPr>
          <w:rFonts w:ascii="Archivo" w:cs="Archivo" w:eastAsia="Archivo" w:hAnsi="Archivo"/>
          <w:sz w:val="21"/>
          <w:szCs w:val="21"/>
        </w:rPr>
        <w:t xml:space="preserve">A diferencia del incendio y del robo, la LCS no dedica un régimen específico a los daños por agua: se trata de una garantía de creación puramente contractual, nacida de la práctica aseguradora y hoy universalmente incorporada a las pólizas de hogar como una de sus coberturas troncales</w:t>
      </w:r>
      <w:r>
        <w:rPr>
          <w:rStyle w:val="FootnoteReference"/>
        </w:rPr>
        <w:footnoteReference w:id="20"/>
      </w:r>
      <w:r>
        <w:rPr>
          <w:rFonts w:ascii="Archivo" w:cs="Archivo" w:eastAsia="Archivo" w:hAnsi="Archivo"/>
          <w:sz w:val="21"/>
          <w:szCs w:val="21"/>
        </w:rPr>
        <w:t xml:space="preserve">. Esta circunstancia tiene una consecuencia metodológica de primer orden: el alcance exacto de la cobertura de daños por agua debe reconstruirse, en cada caso, a partir de las condiciones generales y particulares de la póliza concreta, sometidas al régimen general de los arts. 1 a 44 LCS y, en particular, a la distinción entre cláusulas delimitadoras y limitativas estudiada en los capítulos 1 y 5.</w:t>
      </w:r>
    </w:p>
    <w:p>
      <w:pPr>
        <w:spacing w:after="180" w:line="300"/>
        <w:jc w:val="both"/>
      </w:pPr>
      <w:r>
        <w:rPr>
          <w:rFonts w:ascii="Archivo" w:cs="Archivo" w:eastAsia="Archivo" w:hAnsi="Archivo"/>
          <w:sz w:val="21"/>
          <w:szCs w:val="21"/>
        </w:rPr>
        <w:t xml:space="preserve">La práctica aseguradora española distingue, dentro de esta garantía genérica, varias submodalidades que conviene identificar al leer una póliza: daños por agua propiamente dichos (rotura, fuga o desbordamiento de instalaciones fijas de suministro, calefacción o evacuación), daños estéticos derivados de humedades, búsqueda y reparación de la avería causante (garantía frecuentemente sujeta a sublímite propio) y responsabilidad civil frente a terceros por daños de agua causados desde la vivienda asegurada.</w:t>
      </w:r>
    </w:p>
    <w:p>
      <w:pPr>
        <w:pStyle w:val="Heading2"/>
        <w:spacing w:after="160" w:before="400"/>
      </w:pPr>
      <w:r>
        <w:rPr>
          <w:rFonts w:ascii="Fraunces" w:cs="Fraunces" w:eastAsia="Fraunces" w:hAnsi="Fraunces"/>
          <w:b/>
          <w:bCs/>
          <w:color w:val="0A2540"/>
          <w:sz w:val="24"/>
          <w:szCs w:val="24"/>
        </w:rPr>
        <w:t xml:space="preserve">8.2. Tipología de siniestros de agua en el seguro de hogar</w:t>
      </w:r>
    </w:p>
    <w:p>
      <w:pPr>
        <w:pStyle w:val="ListParagraph"/>
        <w:numPr>
          <w:ilvl w:val="0"/>
          <w:numId w:val="2"/>
        </w:numPr>
        <w:spacing w:after="100" w:line="290"/>
      </w:pPr>
      <w:r>
        <w:rPr>
          <w:rFonts w:ascii="Archivo" w:cs="Archivo" w:eastAsia="Archivo" w:hAnsi="Archivo"/>
          <w:b/>
          <w:bCs/>
          <w:sz w:val="21"/>
          <w:szCs w:val="21"/>
        </w:rPr>
        <w:t xml:space="preserve">Rotura de tuberías y accesorios: </w:t>
      </w:r>
      <w:r>
        <w:rPr>
          <w:rFonts w:ascii="Archivo" w:cs="Archivo" w:eastAsia="Archivo" w:hAnsi="Archivo"/>
          <w:sz w:val="21"/>
          <w:szCs w:val="21"/>
        </w:rPr>
        <w:t xml:space="preserve">la causa más frecuente; puede afectar a instalaciones propias (privativas) o comunes, con las consecuencias sobre legitimación pasiva que se estudian en el epígrafe 8.4.</w:t>
      </w:r>
    </w:p>
    <w:p>
      <w:pPr>
        <w:pStyle w:val="ListParagraph"/>
        <w:numPr>
          <w:ilvl w:val="0"/>
          <w:numId w:val="2"/>
        </w:numPr>
        <w:spacing w:after="100" w:line="290"/>
      </w:pPr>
      <w:r>
        <w:rPr>
          <w:rFonts w:ascii="Archivo" w:cs="Archivo" w:eastAsia="Archivo" w:hAnsi="Archivo"/>
          <w:b/>
          <w:bCs/>
          <w:sz w:val="21"/>
          <w:szCs w:val="21"/>
        </w:rPr>
        <w:t xml:space="preserve">Filtraciones por cubierta o fachada: </w:t>
      </w:r>
      <w:r>
        <w:rPr>
          <w:rFonts w:ascii="Archivo" w:cs="Archivo" w:eastAsia="Archivo" w:hAnsi="Archivo"/>
          <w:sz w:val="21"/>
          <w:szCs w:val="21"/>
        </w:rPr>
        <w:t xml:space="preserve">frecuentemente calificadas contractualmente como «humedades» y sometidas a exclusiones específicas, distintas de la rotura súbita y accidental de una instalación (capítulo 16).</w:t>
      </w:r>
    </w:p>
    <w:p>
      <w:pPr>
        <w:pStyle w:val="ListParagraph"/>
        <w:numPr>
          <w:ilvl w:val="0"/>
          <w:numId w:val="2"/>
        </w:numPr>
        <w:spacing w:after="100" w:line="290"/>
      </w:pPr>
      <w:r>
        <w:rPr>
          <w:rFonts w:ascii="Archivo" w:cs="Archivo" w:eastAsia="Archivo" w:hAnsi="Archivo"/>
          <w:b/>
          <w:bCs/>
          <w:sz w:val="21"/>
          <w:szCs w:val="21"/>
        </w:rPr>
        <w:t xml:space="preserve">Desbordamiento de electrodomésticos: </w:t>
      </w:r>
      <w:r>
        <w:rPr>
          <w:rFonts w:ascii="Archivo" w:cs="Archivo" w:eastAsia="Archivo" w:hAnsi="Archivo"/>
          <w:sz w:val="21"/>
          <w:szCs w:val="21"/>
        </w:rPr>
        <w:t xml:space="preserve">lavadoras, lavavajillas y calentadores, generalmente cubiertos como supuesto asimilado al daño por agua propiamente dicho.</w:t>
      </w:r>
    </w:p>
    <w:p>
      <w:pPr>
        <w:pStyle w:val="ListParagraph"/>
        <w:numPr>
          <w:ilvl w:val="0"/>
          <w:numId w:val="2"/>
        </w:numPr>
        <w:spacing w:after="100" w:line="290"/>
      </w:pPr>
      <w:r>
        <w:rPr>
          <w:rFonts w:ascii="Archivo" w:cs="Archivo" w:eastAsia="Archivo" w:hAnsi="Archivo"/>
          <w:b/>
          <w:bCs/>
          <w:sz w:val="21"/>
          <w:szCs w:val="21"/>
        </w:rPr>
        <w:t xml:space="preserve">Daños causados a terceros (a la vivienda inferior o colindante): </w:t>
      </w:r>
      <w:r>
        <w:rPr>
          <w:rFonts w:ascii="Archivo" w:cs="Archivo" w:eastAsia="Archivo" w:hAnsi="Archivo"/>
          <w:sz w:val="21"/>
          <w:szCs w:val="21"/>
        </w:rPr>
        <w:t xml:space="preserve">activan, simultáneamente, la cobertura de daños propios del causante (si la tiene) y su cobertura de responsabilidad civil de cabeza de familia (capítulo 13), lo que exige coordinar dos garantías de la misma póliza.</w:t>
      </w:r>
    </w:p>
    <w:p>
      <w:pPr>
        <w:pStyle w:val="Heading2"/>
        <w:spacing w:after="160" w:before="400"/>
      </w:pPr>
      <w:r>
        <w:rPr>
          <w:rFonts w:ascii="Fraunces" w:cs="Fraunces" w:eastAsia="Fraunces" w:hAnsi="Fraunces"/>
          <w:b/>
          <w:bCs/>
          <w:color w:val="0A2540"/>
          <w:sz w:val="24"/>
          <w:szCs w:val="24"/>
        </w:rPr>
        <w:t xml:space="preserve">8.3. La causa del daño como campo de batalla: vicio, desgaste y falta de mantenimiento</w:t>
      </w:r>
    </w:p>
    <w:p>
      <w:pPr>
        <w:spacing w:after="180" w:line="300"/>
        <w:jc w:val="both"/>
      </w:pPr>
      <w:r>
        <w:rPr>
          <w:rFonts w:ascii="Archivo" w:cs="Archivo" w:eastAsia="Archivo" w:hAnsi="Archivo"/>
          <w:sz w:val="21"/>
          <w:szCs w:val="21"/>
        </w:rPr>
        <w:t xml:space="preserve">La práctica totalidad de la litigiosidad en materia de daños por agua gira en torno a la causa del siniestro, porque las condiciones generales excluyen de forma prácticamente universal los daños derivados del simple desgaste, la falta de mantenimiento o el vicio propio de las instalaciones, reservando la cobertura a la rotura súbita y accidental. La correcta calificación de esta exclusión —delimitadora en su formulación típica, potencialmente limitativa si se aplica de forma extensiva y sorpresiva— exige aplicar sistemáticamente la metodología fijada en el capítulo 5: verificar si la cláusula de exclusión fue destacada y, en caso de duda razonable sobre si el daño obedece a una rotura súbita o a un desgaste progresivo, proyectar la regla contra proferentem del art. 1288 CC a favor del asegurado.</w:t>
      </w:r>
    </w:p>
    <w:p>
      <w:pPr>
        <w:spacing w:after="180" w:line="300"/>
        <w:jc w:val="both"/>
      </w:pPr>
      <w:r>
        <w:rPr>
          <w:rFonts w:ascii="Archivo" w:cs="Archivo" w:eastAsia="Archivo" w:hAnsi="Archivo"/>
          <w:sz w:val="21"/>
          <w:szCs w:val="21"/>
        </w:rPr>
        <w:t xml:space="preserve">En la práctica pericial, esta distinción exige normalmente un informe técnico que determine si la causa generadora fue un evento puntual (por ejemplo, la rotura de una junta o de un latiguillo de conexión) o un proceso de deterioro prolongado (por ejemplo, la corrosión generalizada de una red de fontanería envejecida), correspondiendo a la aseguradora, cuando invoca la exclusión, acreditar cumplidamente que el segundo supuesto es el que concurre.</w:t>
      </w:r>
    </w:p>
    <w:p>
      <w:pPr>
        <w:pStyle w:val="Heading3"/>
        <w:spacing w:after="120" w:before="280"/>
      </w:pPr>
      <w:r>
        <w:rPr>
          <w:rFonts w:ascii="Archivo" w:cs="Archivo" w:eastAsia="Archivo" w:hAnsi="Archivo"/>
          <w:b/>
          <w:bCs/>
          <w:color w:val="1B6DF0"/>
          <w:sz w:val="21"/>
          <w:szCs w:val="21"/>
        </w:rPr>
        <w:t xml:space="preserve">8.3.1. La confirmación de las Audiencias Provinciales: exclusión clara y no sorpresiva</w:t>
      </w:r>
    </w:p>
    <w:p>
      <w:pPr>
        <w:spacing w:after="180" w:line="300"/>
        <w:jc w:val="both"/>
      </w:pPr>
      <w:r>
        <w:rPr>
          <w:rFonts w:ascii="Archivo" w:cs="Archivo" w:eastAsia="Archivo" w:hAnsi="Archivo"/>
          <w:sz w:val="21"/>
          <w:szCs w:val="21"/>
        </w:rPr>
        <w:t xml:space="preserve">La jurisprudencia menor confirma, de forma reiterada, la calificación de esta exclusión como delimitadora —no limitativa— cuando está redactada con claridad y no se aparta del contenido típico del ramo, lo que la libera de los estrictos requisitos formales del art. 3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Valencia (Sección 5.ª), de 30 de junio de 2021 (ROJ: SAP V 2845/2021; ECLI:ES:APV:2021:2845; MP: Viguer Soler)</w:t>
            </w:r>
          </w:p>
          <w:p>
            <w:pPr>
              <w:spacing w:after="0" w:line="280"/>
              <w:jc w:val="both"/>
            </w:pPr>
            <w:r>
              <w:rPr>
                <w:rFonts w:ascii="Archivo" w:cs="Archivo" w:eastAsia="Archivo" w:hAnsi="Archivo"/>
                <w:color w:val="0A2540"/>
                <w:sz w:val="19"/>
                <w:szCs w:val="19"/>
              </w:rPr>
              <w:t xml:space="preserve">«La cláusula contenida en las condiciones generales y particulares por la que excluye los daños por filtraciones debidas a falta de mantenimiento o desgastes notorios del inmueble, es una cláusula delimitadora del riesgo pues establece una ‘exclusión objetiva’ de la póliza [...], cláusula que además es clara en su redacción, está exenta de oscuridad alguna y figura resaltada en la póliza, por lo que en absoluto puede considerarse sorpresiva o inusual sino al contrario es habitual en este tipo de seguros multirriesgo [...], ya que responde a un propósito de eliminar ambigüedades y concretar la naturaleza del riesgo en coherencia con el objeto del contrato, por lo que era o debía ser razonablemente esperada por el asegurado.»</w:t>
            </w:r>
          </w:p>
        </w:tc>
      </w:tr>
    </w:tbl>
    <w:p>
      <w:pPr>
        <w:spacing w:after="180" w:line="300"/>
        <w:jc w:val="both"/>
      </w:pPr>
      <w:r>
        <w:rPr>
          <w:rFonts w:ascii="Archivo" w:cs="Archivo" w:eastAsia="Archivo" w:hAnsi="Archivo"/>
          <w:sz w:val="21"/>
          <w:szCs w:val="21"/>
        </w:rPr>
        <w:t xml:space="preserve">La Audiencia Provincial de Barcelona, por su parte, matiza el alcance de esta misma exclusión cuando la causa real del daño no es el desgaste sino un defecto de origen de la construcción, distinción de gran relevancia práctica y de conexión directa con el régimen de la Ley de Ordenación de la Edificación</w:t>
      </w:r>
      <w:r>
        <w:rPr>
          <w:rStyle w:val="FootnoteReference"/>
        </w:rPr>
        <w:footnoteReference w:id="21"/>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1.ª), de 29 de junio de 2018 (ROJ: SAP B 6782/2018; ECLI:ES:APB:2018:6782; MP: Holgado Madruga)</w:t>
            </w:r>
          </w:p>
          <w:p>
            <w:pPr>
              <w:spacing w:after="0" w:line="280"/>
              <w:jc w:val="both"/>
            </w:pPr>
            <w:r>
              <w:rPr>
                <w:rFonts w:ascii="Archivo" w:cs="Archivo" w:eastAsia="Archivo" w:hAnsi="Archivo"/>
                <w:color w:val="0A2540"/>
                <w:sz w:val="19"/>
                <w:szCs w:val="19"/>
              </w:rPr>
              <w:t xml:space="preserve">«La viabilidad de aquella alegación exige, como premisa inexcusable [...], la acreditación de que el siniestro aconteció por alguna de aquellas circunstancias enunciadas en la póliza, pero [...] no puede estimarse demostrado que los daños se relacionasen directamente con una falta de mantenimiento o conservación [...] toda la normativa de seguros está enfocada a su protección, [habiéndose] de resolver a su favor las dudas interpretativas derivadas de una redacción del contrato o sus cláusulas oscuras o confusas [...]. Se insiste en que las cláusulas que se analizan, por su naturaleza limitativa y por no constar que fueran conocidas y consentidas [...]», no resultan oponibles a la asegurada.</w:t>
            </w:r>
          </w:p>
        </w:tc>
      </w:tr>
    </w:tbl>
    <w:p>
      <w:pPr>
        <w:spacing w:after="180" w:line="300"/>
        <w:jc w:val="both"/>
      </w:pPr>
      <w:r>
        <w:rPr>
          <w:rFonts w:ascii="Archivo" w:cs="Archivo" w:eastAsia="Archivo" w:hAnsi="Archivo"/>
          <w:sz w:val="21"/>
          <w:szCs w:val="21"/>
        </w:rPr>
        <w:t xml:space="preserve">La combinación de ambos criterios ofrece al profesional una pauta de trabajo clara: la exclusión por falta de mantenimiento, en su formulación estándar y destacada, es plenamente oponible al asegurado (doctrina de la SAP de Valencia); pero decae, por falta de acreditación de su presupuesto fáctico, cuando la causa real del daño es un defecto constructivo de origen ajeno a cualquier negligencia conservativa del asegurado (doctrina de la SAP de Barcelona), lo que sitúa de nuevo el centro de gravedad del litigio en la prueba pericial sobre la causa técnica exacta del daño.</w:t>
      </w:r>
    </w:p>
    <w:p>
      <w:pPr>
        <w:pStyle w:val="Heading2"/>
        <w:spacing w:after="160" w:before="400"/>
      </w:pPr>
      <w:r>
        <w:rPr>
          <w:rFonts w:ascii="Fraunces" w:cs="Fraunces" w:eastAsia="Fraunces" w:hAnsi="Fraunces"/>
          <w:b/>
          <w:bCs/>
          <w:color w:val="0A2540"/>
          <w:sz w:val="24"/>
          <w:szCs w:val="24"/>
        </w:rPr>
        <w:t xml:space="preserve">8.4. Daños entre vecinos y comunidades de propietarios: elementos privativos y comunes</w:t>
      </w:r>
    </w:p>
    <w:p>
      <w:pPr>
        <w:spacing w:after="180" w:line="300"/>
        <w:jc w:val="both"/>
      </w:pPr>
      <w:r>
        <w:rPr>
          <w:rFonts w:ascii="Archivo" w:cs="Archivo" w:eastAsia="Archivo" w:hAnsi="Archivo"/>
          <w:sz w:val="21"/>
          <w:szCs w:val="21"/>
        </w:rPr>
        <w:t xml:space="preserve">Cuando el daño por agua se origina en un elemento común del edificio (bajantes, columnas generales, cubierta) y afecta a una vivienda privativa, se plantea la cuestión de la responsabilidad de la comunidad de propietarios, regida por el art. 10 LPH (deber de conservación de elementos comunes) en conexión con el art. 1902 CC. La jurisprudencia reconoce en estos supuestos la posibilidad de daños de producción continuada, cuya trascendencia sobre el cómputo de la prescripción es notable</w:t>
      </w:r>
      <w:r>
        <w:rPr>
          <w:rStyle w:val="FootnoteReference"/>
        </w:rPr>
        <w:footnoteReference w:id="22"/>
      </w:r>
      <w:r>
        <w:rPr>
          <w:rFonts w:ascii="Archivo" w:cs="Archivo" w:eastAsia="Archivo" w:hAnsi="Archivo"/>
          <w:sz w:val="21"/>
          <w:szCs w:val="21"/>
        </w:rPr>
        <w:t xml:space="preserve">, como ilustra la STS, Sala de lo Civil, de 20 de febrero de 2019 (ROJ: STS 511/2019; ECLI:ES:TS:2019:511; MP: Salas Carceller), referida a filtraciones desde elementos comunes de un edificio a una vivienda privativa: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febrero de 2019 (ROJ: STS 511/2019; ECLI:ES:TS:2019:511; MP: Salas Carceller)</w:t>
            </w:r>
          </w:p>
          <w:p>
            <w:pPr>
              <w:spacing w:after="0" w:line="280"/>
              <w:jc w:val="both"/>
            </w:pPr>
            <w:r>
              <w:rPr>
                <w:rFonts w:ascii="Archivo" w:cs="Archivo" w:eastAsia="Archivo" w:hAnsi="Archivo"/>
                <w:color w:val="0A2540"/>
                <w:sz w:val="19"/>
                <w:szCs w:val="19"/>
              </w:rPr>
              <w:t xml:space="preserve">«En los casos de daños continuados o de producción sucesiva no se inicia el cómputo del plazo de prescripción hasta la consolidación del definitivo resultado [...]. El artículo 1969 CC establece que el comienzo del plazo de la prescripción coincide con el momento en que la acción ‘pudo ejercitarse’, para lo que no basta el conocimiento del daño sino que es necesario, además, que se conozca la identidad del responsable del mismo a efectos de poder ejercer adecuadamente la acción.»</w:t>
            </w:r>
          </w:p>
        </w:tc>
      </w:tr>
    </w:tbl>
    <w:p>
      <w:pPr>
        <w:spacing w:after="180" w:line="300"/>
        <w:jc w:val="both"/>
      </w:pPr>
      <w:r>
        <w:rPr>
          <w:rFonts w:ascii="Archivo" w:cs="Archivo" w:eastAsia="Archivo" w:hAnsi="Archivo"/>
          <w:sz w:val="21"/>
          <w:szCs w:val="21"/>
        </w:rPr>
        <w:t xml:space="preserve">Aunque esta sentencia resuelve una acción de responsabilidad civil contra la comunidad —no una reclamación frente a la aseguradora—, su doctrina es directamente relevante para el profesional del seguro de hogar por una doble vía: de un lado, orienta el ejercicio de la acción de subrogación que la aseguradora del propietario afectado puede dirigir contra la comunidad o contra el propietario del elemento causante tras indemnizar a su asegurado (art. 43 LCS); de otro, ilustra la importancia de fijar con precisión, mediante prueba pericial, el momento de consolidación del daño cuando este se prolonga en el tiempo, cuestión que se retoma en el capítulo 22 al tratar la prescripción de la acción derivada del propio contrato de seguro.</w:t>
      </w:r>
    </w:p>
    <w:p>
      <w:pPr>
        <w:pStyle w:val="Heading2"/>
        <w:spacing w:after="160" w:before="400"/>
      </w:pPr>
      <w:r>
        <w:rPr>
          <w:rFonts w:ascii="Fraunces" w:cs="Fraunces" w:eastAsia="Fraunces" w:hAnsi="Fraunces"/>
          <w:b/>
          <w:bCs/>
          <w:color w:val="0A2540"/>
          <w:sz w:val="24"/>
          <w:szCs w:val="24"/>
        </w:rPr>
        <w:t xml:space="preserve">8.5. Concurrencia de seguros en el ámbito del arrendamiento y la propiedad horizontal</w:t>
      </w:r>
    </w:p>
    <w:p>
      <w:pPr>
        <w:spacing w:after="180" w:line="300"/>
        <w:jc w:val="both"/>
      </w:pPr>
      <w:r>
        <w:rPr>
          <w:rFonts w:ascii="Archivo" w:cs="Archivo" w:eastAsia="Archivo" w:hAnsi="Archivo"/>
          <w:sz w:val="21"/>
          <w:szCs w:val="21"/>
        </w:rPr>
        <w:t xml:space="preserve">Es habitual que sobre un mismo inmueble arrendado concurran dos pólizas de daños: la del propietario-arrendador (que asegura el continente) y la del arrendatario (que asegura el contenido y, en ocasiones, su responsabilidad civil como ocupante). Un supuesto similar se produce entre el seguro individual del propietario y el seguro de la comunidad en régimen de propiedad horizontal. El artículo 32 LCS, que regula la concurrencia de seguros, exige identidad de tomador, lo que en rigor excluiría su aplicación literal a estos casos; sin embargo, el Tribunal Supremo ha extendido el principio indemnizatorio subyacente —la prohibición de enriquecimiento mediante el seguro— a estos supuestos de pluralidad de aseguradores con distintos tomadores</w:t>
      </w:r>
      <w:r>
        <w:rPr>
          <w:rStyle w:val="FootnoteReference"/>
        </w:rPr>
        <w:footnoteReference w:id="23"/>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32 LCS (extracto)</w:t>
            </w:r>
          </w:p>
          <w:p>
            <w:pPr>
              <w:spacing w:after="0" w:line="280"/>
              <w:jc w:val="both"/>
            </w:pPr>
            <w:r>
              <w:rPr>
                <w:rFonts w:ascii="IBM Plex Mono" w:cs="IBM Plex Mono" w:eastAsia="IBM Plex Mono" w:hAnsi="IBM Plex Mono"/>
                <w:i/>
                <w:iCs/>
                <w:color w:val="0A2540"/>
                <w:sz w:val="18"/>
                <w:szCs w:val="18"/>
              </w:rPr>
              <w:t xml:space="preserve">Cuando en dos o más contratos estipulados por el mismo tomador con distintos aseguradores se cubran los efectos que un mismo riesgo puede producir sobre el mismo interés y durante idéntico período de tiempo [...] los aseguradores contribuirán al abono de la indemnización en proporción a la propia suma asegurada, sin que pueda superarse la cuantía del daño.</w:t>
            </w:r>
          </w:p>
        </w:tc>
      </w:tr>
    </w:tbl>
    <w:p>
      <w:pPr>
        <w:spacing w:after="180" w:line="300"/>
        <w:jc w:val="both"/>
      </w:pPr>
      <w:r>
        <w:rPr>
          <w:rFonts w:ascii="Archivo" w:cs="Archivo" w:eastAsia="Archivo" w:hAnsi="Archivo"/>
          <w:sz w:val="21"/>
          <w:szCs w:val="21"/>
        </w:rPr>
        <w:t xml:space="preserve">La STS, Sala de lo Civil, de 25 de marzo de 2025 (ROJ: STS 1227/2025; ECLI:ES:TS:2025:1227; MP: Vela Torres), referida precisamente a la concurrencia entre el seguro del propietario-arrendador y el del arrendatario sobre un mismo inmueble, fija un criterio de gran utilidad práctica: la mera coincidencia física del bien asegurado no basta para apreciar concurrencia de seguros; es necesario, además, que exista coincidencia de riesgo y de interés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25 de marzo de 2025 (ROJ: STS 1227/2025; ECLI:ES:TS:2025:1227; MP: Vela Torres)</w:t>
            </w:r>
          </w:p>
          <w:p>
            <w:pPr>
              <w:spacing w:after="0" w:line="280"/>
              <w:jc w:val="both"/>
            </w:pPr>
            <w:r>
              <w:rPr>
                <w:rFonts w:ascii="Archivo" w:cs="Archivo" w:eastAsia="Archivo" w:hAnsi="Archivo"/>
                <w:color w:val="0A2540"/>
                <w:sz w:val="19"/>
                <w:szCs w:val="19"/>
              </w:rPr>
              <w:t xml:space="preserve">«Identidad o unicidad de tomador que, de por sí, excluye situaciones como la presente en la que sobre un mismo inmueble arrendado se conciertan dos pólizas de seguros de daños, una por parte del propietario arrendador y otra por el arrendatario [...]. Habrá que ver en cada caso qué es lo que estaba asegurado para determinar si existía tal coincidencia de riesgo, interés y simultaneidad temporal [...]. En determinados casos, generalmente coberturas concurrentes de elementos privativos de inmuebles en propiedad horizontal [...], es más fácil apreciar la identidad del riesgo y del interés asegurado. Pero en los casos de arrendamiento de inmuebles [...] el interés asegurado puede ser distinto [...]. Por ello, no cabe la distribución de la indemnización entre las dos compañías por no existir coincidencia de intereses asegurados.»</w:t>
            </w:r>
          </w:p>
        </w:tc>
      </w:tr>
    </w:tbl>
    <w:p>
      <w:pPr>
        <w:spacing w:after="180" w:line="300"/>
        <w:jc w:val="both"/>
      </w:pPr>
      <w:r>
        <w:rPr>
          <w:rFonts w:ascii="Archivo" w:cs="Archivo" w:eastAsia="Archivo" w:hAnsi="Archivo"/>
          <w:sz w:val="21"/>
          <w:szCs w:val="21"/>
        </w:rPr>
        <w:t xml:space="preserve">La regla práctica que se extrae es clara: ante un siniestro de agua que afecta a un inmueble con dos pólizas potencialmente concurrentes, el profesional debe comparar el objeto exacto de cada cobertura —qué asegura cada póliza y sobre qué interés— antes de asumir, sin más, que existe concurrencia de seguros y la consiguiente distribución proporcional del art. 32 LCS; en el caso de las coberturas de elementos privativos en régimen de propiedad horizontal, por el contrario, la identidad de riesgo e interés es normalmente más fácil de apreciar, con la consiguiente aplicación de la regla de contribución proporcional.</w:t>
      </w:r>
    </w:p>
    <w:p>
      <w:pPr>
        <w:pStyle w:val="Heading2"/>
        <w:spacing w:after="160" w:before="400"/>
      </w:pPr>
      <w:r>
        <w:rPr>
          <w:rFonts w:ascii="Fraunces" w:cs="Fraunces" w:eastAsia="Fraunces" w:hAnsi="Fraunces"/>
          <w:b/>
          <w:bCs/>
          <w:color w:val="0A2540"/>
          <w:sz w:val="24"/>
          <w:szCs w:val="24"/>
        </w:rPr>
        <w:t xml:space="preserve">8.6. Daños continuados y determinación del dies a quo</w:t>
      </w:r>
    </w:p>
    <w:p>
      <w:pPr>
        <w:spacing w:after="180" w:line="300"/>
        <w:jc w:val="both"/>
      </w:pPr>
      <w:r>
        <w:rPr>
          <w:rFonts w:ascii="Archivo" w:cs="Archivo" w:eastAsia="Archivo" w:hAnsi="Archivo"/>
          <w:sz w:val="21"/>
          <w:szCs w:val="21"/>
        </w:rPr>
        <w:t xml:space="preserve">La distinción entre daño permanente (de producción instantánea, aunque sus efectos se proyecten en el tiempo) y daño continuado (de producción sucesiva, sin consolidación hasta que cesa la causa generadora) resulta decisiva no solo para la prescripción de la acción de responsabilidad civil frente a terceros, sino también, de forma indirecta, para la correcta fijación de la fecha del siniestro a efectos del propio contrato de seguro: la determinación de qué póliza estaba en vigor cuando el daño se «produjo» —a efectos del art. 1 LCS— exige, en los siniestros de filtración lenta o de humedad progresiva, la misma prueba pericial sobre el momento de consolidación del resultado que exige la jurisprudencia sobre prescripción, por lo que ambas cuestiones deben abordarse conjuntamente desde el inicio del expediente.</w:t>
      </w:r>
    </w:p>
    <w:p>
      <w:pPr>
        <w:pStyle w:val="Heading2"/>
        <w:spacing w:after="160" w:before="400"/>
      </w:pPr>
      <w:r>
        <w:rPr>
          <w:rFonts w:ascii="Fraunces" w:cs="Fraunces" w:eastAsia="Fraunces" w:hAnsi="Fraunces"/>
          <w:b/>
          <w:bCs/>
          <w:color w:val="0A2540"/>
          <w:sz w:val="24"/>
          <w:szCs w:val="24"/>
        </w:rPr>
        <w:t xml:space="preserve">8.7.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daños por agua</w:t>
            </w:r>
          </w:p>
          <w:p>
            <w:pPr>
              <w:pStyle w:val="ListParagraph"/>
              <w:numPr>
                <w:ilvl w:val="0"/>
                <w:numId w:val="2"/>
              </w:numPr>
              <w:spacing w:after="80" w:line="280"/>
            </w:pPr>
            <w:r>
              <w:rPr>
                <w:rFonts w:ascii="Archivo" w:cs="Archivo" w:eastAsia="Archivo" w:hAnsi="Archivo"/>
                <w:sz w:val="19"/>
                <w:szCs w:val="19"/>
              </w:rPr>
              <w:t xml:space="preserve">Determinar, mediante prueba pericial, si la causa es una rotura súbita y accidental (cubierta) o un desgaste/falta de mantenimiento (frecuentemente excluido), y exigir a la aseguradora la acreditación cumplida de la exclusión que invoque.</w:t>
            </w:r>
          </w:p>
          <w:p>
            <w:pPr>
              <w:pStyle w:val="ListParagraph"/>
              <w:numPr>
                <w:ilvl w:val="0"/>
                <w:numId w:val="2"/>
              </w:numPr>
              <w:spacing w:after="80" w:line="280"/>
            </w:pPr>
            <w:r>
              <w:rPr>
                <w:rFonts w:ascii="Archivo" w:cs="Archivo" w:eastAsia="Archivo" w:hAnsi="Archivo"/>
                <w:sz w:val="19"/>
                <w:szCs w:val="19"/>
              </w:rPr>
              <w:t xml:space="preserve">Identificar si el origen está en un elemento privativo o común, para dirigir correctamente la reclamación (aseguradora propia, aseguradora de la comunidad, o ambas mediante subrogación posterior).</w:t>
            </w:r>
          </w:p>
          <w:p>
            <w:pPr>
              <w:pStyle w:val="ListParagraph"/>
              <w:numPr>
                <w:ilvl w:val="0"/>
                <w:numId w:val="2"/>
              </w:numPr>
              <w:spacing w:after="80" w:line="280"/>
            </w:pPr>
            <w:r>
              <w:rPr>
                <w:rFonts w:ascii="Archivo" w:cs="Archivo" w:eastAsia="Archivo" w:hAnsi="Archivo"/>
                <w:sz w:val="19"/>
                <w:szCs w:val="19"/>
              </w:rPr>
              <w:t xml:space="preserve">Ante una posible concurrencia de seguros (propietario/arrendatario o propietario/comunidad), verificar la identidad de riesgo e interés asegurado conforme a la doctrina de la STS 1227/2025 (ROJ: STS 1227/2025) antes de aplicar automáticamente la regla de contribución proporcional del art. 32 LCS.</w:t>
            </w:r>
          </w:p>
          <w:p>
            <w:pPr>
              <w:pStyle w:val="ListParagraph"/>
              <w:numPr>
                <w:ilvl w:val="0"/>
                <w:numId w:val="2"/>
              </w:numPr>
              <w:spacing w:after="80" w:line="280"/>
            </w:pPr>
            <w:r>
              <w:rPr>
                <w:rFonts w:ascii="Archivo" w:cs="Archivo" w:eastAsia="Archivo" w:hAnsi="Archivo"/>
                <w:sz w:val="19"/>
                <w:szCs w:val="19"/>
              </w:rPr>
              <w:t xml:space="preserve">En daños de filtración lenta o humedad progresiva, fijar con prueba pericial el momento de consolidación del resultado dañoso, relevante tanto para la vigencia de la póliza aplicable como para el cómputo de plazos de prescripción (capítulo 22).</w:t>
            </w:r>
          </w:p>
        </w:tc>
      </w:tr>
    </w:tbl>
    <w:p>
      <w:pPr>
        <w:pStyle w:val="Heading2"/>
        <w:spacing w:after="160" w:before="400"/>
      </w:pPr>
      <w:r>
        <w:rPr>
          <w:rFonts w:ascii="Fraunces" w:cs="Fraunces" w:eastAsia="Fraunces" w:hAnsi="Fraunces"/>
          <w:b/>
          <w:bCs/>
          <w:color w:val="0A2540"/>
          <w:sz w:val="24"/>
          <w:szCs w:val="24"/>
        </w:rPr>
        <w:t xml:space="preserve">8.8.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ante una gotera o filtración en su vivienda</w:t>
            </w:r>
          </w:p>
          <w:p>
            <w:pPr>
              <w:pStyle w:val="ListParagraph"/>
              <w:numPr>
                <w:ilvl w:val="0"/>
                <w:numId w:val="2"/>
              </w:numPr>
              <w:spacing w:after="80" w:line="280"/>
            </w:pPr>
            <w:r>
              <w:rPr>
                <w:rFonts w:ascii="Archivo" w:cs="Archivo" w:eastAsia="Archivo" w:hAnsi="Archivo"/>
                <w:sz w:val="19"/>
                <w:szCs w:val="19"/>
              </w:rPr>
              <w:t xml:space="preserve">Corte el suministro de agua en la zona afectada si es posible, para minimizar el daño, y fotografíe el estado inicial antes de cualquier reparación.</w:t>
            </w:r>
          </w:p>
          <w:p>
            <w:pPr>
              <w:pStyle w:val="ListParagraph"/>
              <w:numPr>
                <w:ilvl w:val="0"/>
                <w:numId w:val="2"/>
              </w:numPr>
              <w:spacing w:after="80" w:line="280"/>
            </w:pPr>
            <w:r>
              <w:rPr>
                <w:rFonts w:ascii="Archivo" w:cs="Archivo" w:eastAsia="Archivo" w:hAnsi="Archivo"/>
                <w:sz w:val="19"/>
                <w:szCs w:val="19"/>
              </w:rPr>
              <w:t xml:space="preserve">Comunique el siniestro a su aseguradora y, si sospecha que el origen está en la vivienda de un vecino o en un elemento común, comuníqueselo también a la comunidad de propietarios.</w:t>
            </w:r>
          </w:p>
          <w:p>
            <w:pPr>
              <w:pStyle w:val="ListParagraph"/>
              <w:numPr>
                <w:ilvl w:val="0"/>
                <w:numId w:val="2"/>
              </w:numPr>
              <w:spacing w:after="80" w:line="280"/>
            </w:pPr>
            <w:r>
              <w:rPr>
                <w:rFonts w:ascii="Archivo" w:cs="Archivo" w:eastAsia="Archivo" w:hAnsi="Archivo"/>
                <w:sz w:val="19"/>
                <w:szCs w:val="19"/>
              </w:rPr>
              <w:t xml:space="preserve">No repare de forma definitiva la avería antes de que el perito de la aseguradora la examine, salvo urgencia para evitar daños mayores, en cuyo caso documente todo con fotografías y, si es posible, informe técnico previo.</w:t>
            </w:r>
          </w:p>
          <w:p>
            <w:pPr>
              <w:pStyle w:val="ListParagraph"/>
              <w:numPr>
                <w:ilvl w:val="0"/>
                <w:numId w:val="2"/>
              </w:numPr>
              <w:spacing w:after="80" w:line="280"/>
            </w:pPr>
            <w:r>
              <w:rPr>
                <w:rFonts w:ascii="Archivo" w:cs="Archivo" w:eastAsia="Archivo" w:hAnsi="Archivo"/>
                <w:sz w:val="19"/>
                <w:szCs w:val="19"/>
              </w:rPr>
              <w:t xml:space="preserve">Si le indican que el daño no está cubierto por «falta de mantenimiento», pida que se lo motiven por escrito y con base en un informe pericial: usted tiene derecho a conocer los motivos concretos de la denegación.</w:t>
            </w:r>
          </w:p>
        </w:tc>
      </w:tr>
    </w:tbl>
    <w:p>
      <w:pPr>
        <w:pStyle w:val="Heading2"/>
        <w:spacing w:after="160" w:before="400"/>
      </w:pPr>
      <w:r>
        <w:rPr>
          <w:rFonts w:ascii="Fraunces" w:cs="Fraunces" w:eastAsia="Fraunces" w:hAnsi="Fraunces"/>
          <w:b/>
          <w:bCs/>
          <w:color w:val="0A2540"/>
          <w:sz w:val="24"/>
          <w:szCs w:val="24"/>
        </w:rPr>
        <w:t xml:space="preserve">8.9. Checklist: gestión de un siniestro de daños por agua</w:t>
      </w:r>
    </w:p>
    <w:p>
      <w:pPr>
        <w:pStyle w:val="ListParagraph"/>
        <w:numPr>
          <w:ilvl w:val="0"/>
          <w:numId w:val="2"/>
        </w:numPr>
        <w:spacing w:after="100" w:line="290"/>
      </w:pPr>
      <w:r>
        <w:rPr>
          <w:rFonts w:ascii="Archivo" w:cs="Archivo" w:eastAsia="Archivo" w:hAnsi="Archivo"/>
          <w:sz w:val="21"/>
          <w:szCs w:val="21"/>
        </w:rPr>
        <w:t xml:space="preserve">1. ¿Cuál es la causa técnica identificada por el perito: rotura súbita o desgaste/falta de mantenimiento?</w:t>
      </w:r>
    </w:p>
    <w:p>
      <w:pPr>
        <w:pStyle w:val="ListParagraph"/>
        <w:numPr>
          <w:ilvl w:val="0"/>
          <w:numId w:val="2"/>
        </w:numPr>
        <w:spacing w:after="100" w:line="290"/>
      </w:pPr>
      <w:r>
        <w:rPr>
          <w:rFonts w:ascii="Archivo" w:cs="Archivo" w:eastAsia="Archivo" w:hAnsi="Archivo"/>
          <w:sz w:val="21"/>
          <w:szCs w:val="21"/>
        </w:rPr>
        <w:t xml:space="preserve">2. ¿El origen está en un elemento privativo o en un elemento común del edificio?</w:t>
      </w:r>
    </w:p>
    <w:p>
      <w:pPr>
        <w:pStyle w:val="ListParagraph"/>
        <w:numPr>
          <w:ilvl w:val="0"/>
          <w:numId w:val="2"/>
        </w:numPr>
        <w:spacing w:after="100" w:line="290"/>
      </w:pPr>
      <w:r>
        <w:rPr>
          <w:rFonts w:ascii="Archivo" w:cs="Archivo" w:eastAsia="Archivo" w:hAnsi="Archivo"/>
          <w:sz w:val="21"/>
          <w:szCs w:val="21"/>
        </w:rPr>
        <w:t xml:space="preserve">3. ¿Existen otras pólizas potencialmente concurrentes (arrendatario, comunidad)?</w:t>
      </w:r>
    </w:p>
    <w:p>
      <w:pPr>
        <w:pStyle w:val="ListParagraph"/>
        <w:numPr>
          <w:ilvl w:val="0"/>
          <w:numId w:val="2"/>
        </w:numPr>
        <w:spacing w:after="100" w:line="290"/>
      </w:pPr>
      <w:r>
        <w:rPr>
          <w:rFonts w:ascii="Archivo" w:cs="Archivo" w:eastAsia="Archivo" w:hAnsi="Archivo"/>
          <w:sz w:val="21"/>
          <w:szCs w:val="21"/>
        </w:rPr>
        <w:t xml:space="preserve">4. En caso de concurrencia, ¿existe identidad de riesgo e interés asegurado entre las pólizas?</w:t>
      </w:r>
    </w:p>
    <w:p>
      <w:pPr>
        <w:pStyle w:val="ListParagraph"/>
        <w:numPr>
          <w:ilvl w:val="0"/>
          <w:numId w:val="2"/>
        </w:numPr>
        <w:spacing w:after="100" w:line="290"/>
      </w:pPr>
      <w:r>
        <w:rPr>
          <w:rFonts w:ascii="Archivo" w:cs="Archivo" w:eastAsia="Archivo" w:hAnsi="Archivo"/>
          <w:sz w:val="21"/>
          <w:szCs w:val="21"/>
        </w:rPr>
        <w:t xml:space="preserve">5. ¿Se trata de un daño instantáneo o de un proceso de filtración/humedad progresiva?</w:t>
      </w:r>
    </w:p>
    <w:p>
      <w:pPr>
        <w:pStyle w:val="ListParagraph"/>
        <w:numPr>
          <w:ilvl w:val="0"/>
          <w:numId w:val="2"/>
        </w:numPr>
        <w:spacing w:after="100" w:line="290"/>
      </w:pPr>
      <w:r>
        <w:rPr>
          <w:rFonts w:ascii="Archivo" w:cs="Archivo" w:eastAsia="Archivo" w:hAnsi="Archivo"/>
          <w:sz w:val="21"/>
          <w:szCs w:val="21"/>
        </w:rPr>
        <w:t xml:space="preserve">6. ¿Está cubierta la garantía de localización y reparación de la avería, y con qué sublímite?</w:t>
      </w:r>
    </w:p>
    <w:p>
      <w:pPr>
        <w:pStyle w:val="ListParagraph"/>
        <w:numPr>
          <w:ilvl w:val="0"/>
          <w:numId w:val="2"/>
        </w:numPr>
        <w:spacing w:after="100" w:line="290"/>
      </w:pPr>
      <w:r>
        <w:rPr>
          <w:rFonts w:ascii="Archivo" w:cs="Archivo" w:eastAsia="Archivo" w:hAnsi="Archivo"/>
          <w:sz w:val="21"/>
          <w:szCs w:val="21"/>
        </w:rPr>
        <w:t xml:space="preserve">7. ¿Se ha comunicado el siniestro tanto a la propia aseguradora como, en su caso, a la comunidad de propietarios?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GARCÍA PALACIOS, N., «La concurrencia de seguros en los ramos de multirriesgos», Revista de la Asociación Española de Abogados Especializados en Responsabilidad Civil y Seguro, núm. 43, 2012.</w:t>
      </w:r>
    </w:p>
    <w:p>
      <w:pPr>
        <w:spacing w:after="180" w:line="3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9. </w:t>
      </w:r>
      <w:r>
        <w:rPr>
          <w:rFonts w:ascii="Fraunces" w:cs="Fraunces" w:eastAsia="Fraunces" w:hAnsi="Fraunces"/>
          <w:b/>
          <w:bCs/>
          <w:color w:val="0A2540"/>
          <w:sz w:val="30"/>
          <w:szCs w:val="30"/>
        </w:rPr>
        <w:t xml:space="preserve">Robo, expoliación y hurto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9.1. El concepto legal de robo a efectos aseguraticios (art. 50 LCS)</w:t>
            </w:r>
          </w:p>
          <w:p>
            <w:pPr>
              <w:spacing w:after="40" w:line="260"/>
            </w:pPr>
            <w:r>
              <w:rPr>
                <w:rFonts w:ascii="Archivo" w:cs="Archivo" w:eastAsia="Archivo" w:hAnsi="Archivo"/>
                <w:sz w:val="18"/>
                <w:szCs w:val="18"/>
              </w:rPr>
              <w:t xml:space="preserve">9.2. Alcance de la indemnización (art. 51 LCS)</w:t>
            </w:r>
          </w:p>
          <w:p>
            <w:pPr>
              <w:spacing w:after="40" w:line="260"/>
            </w:pPr>
            <w:r>
              <w:rPr>
                <w:rFonts w:ascii="Archivo" w:cs="Archivo" w:eastAsia="Archivo" w:hAnsi="Archivo"/>
                <w:sz w:val="18"/>
                <w:szCs w:val="18"/>
              </w:rPr>
              <w:t xml:space="preserve">9.3. Causas legales de exoneración (art. 52 LCS)</w:t>
            </w:r>
          </w:p>
          <w:p>
            <w:pPr>
              <w:spacing w:after="40" w:line="260"/>
            </w:pPr>
            <w:r>
              <w:rPr>
                <w:rFonts w:ascii="Archivo" w:cs="Archivo" w:eastAsia="Archivo" w:hAnsi="Archivo"/>
                <w:sz w:val="18"/>
                <w:szCs w:val="18"/>
              </w:rPr>
              <w:t xml:space="preserve">9.4. La recuperación del objeto sustraído (art. 53 LCS)</w:t>
            </w:r>
          </w:p>
          <w:p>
            <w:pPr>
              <w:spacing w:after="40" w:line="260"/>
            </w:pPr>
            <w:r>
              <w:rPr>
                <w:rFonts w:ascii="Archivo" w:cs="Archivo" w:eastAsia="Archivo" w:hAnsi="Archivo"/>
                <w:sz w:val="18"/>
                <w:szCs w:val="18"/>
              </w:rPr>
              <w:t xml:space="preserve">9.5. Hurto y expoliación: la frontera con el robo en sentido técnico</w:t>
            </w:r>
          </w:p>
          <w:p>
            <w:pPr>
              <w:spacing w:after="40" w:line="260"/>
            </w:pPr>
            <w:r>
              <w:rPr>
                <w:rFonts w:ascii="Archivo" w:cs="Archivo" w:eastAsia="Archivo" w:hAnsi="Archivo"/>
                <w:sz w:val="18"/>
                <w:szCs w:val="18"/>
              </w:rPr>
              <w:t xml:space="preserve">9.6. La prueba del siniestro de robo</w:t>
            </w:r>
          </w:p>
          <w:p>
            <w:pPr>
              <w:spacing w:after="40" w:line="260"/>
            </w:pPr>
            <w:r>
              <w:rPr>
                <w:rFonts w:ascii="Archivo" w:cs="Archivo" w:eastAsia="Archivo" w:hAnsi="Archivo"/>
                <w:sz w:val="18"/>
                <w:szCs w:val="18"/>
              </w:rPr>
              <w:t xml:space="preserve">9.7. Ficha para el profesional</w:t>
            </w:r>
          </w:p>
          <w:p>
            <w:pPr>
              <w:spacing w:after="40" w:line="260"/>
            </w:pPr>
            <w:r>
              <w:rPr>
                <w:rFonts w:ascii="Archivo" w:cs="Archivo" w:eastAsia="Archivo" w:hAnsi="Archivo"/>
                <w:sz w:val="18"/>
                <w:szCs w:val="18"/>
              </w:rPr>
              <w:t xml:space="preserve">9.8. Ficha para el asegurado</w:t>
            </w:r>
          </w:p>
          <w:p>
            <w:pPr>
              <w:spacing w:after="40" w:line="260"/>
            </w:pPr>
            <w:r>
              <w:rPr>
                <w:rFonts w:ascii="Archivo" w:cs="Archivo" w:eastAsia="Archivo" w:hAnsi="Archivo"/>
                <w:sz w:val="18"/>
                <w:szCs w:val="18"/>
              </w:rPr>
              <w:t xml:space="preserve">9.9. Checklist: acreditación de un siniestro de robo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legal del seguro contra robo (arts. 50 a 53 LCS), de aplicación supletoria a la garantía homónima del seguro multirriesgo de hogar, con atención especial a las causas legales de exoneración del art. 52 LCS —negligencia grave del asegurado, sustracción fuera del lugar asegurado y sustracción con ocasión de riesgos extraordinarios— y a la problemática probatoria que domina la litigiosidad de esta cobertura, estructuralmente más compleja que la de incendio por la dificultad de acreditar la preexistencia y sustracción de los bienes reclamados.</w:t>
            </w:r>
          </w:p>
          <w:p>
            <w:pPr>
              <w:spacing w:after="160"/>
            </w:pPr>
            <w:r>
              <w:rPr>
                <w:rFonts w:ascii="Archivo" w:cs="Archivo" w:eastAsia="Archivo" w:hAnsi="Archivo"/>
                <w:b/>
                <w:bCs/>
                <w:sz w:val="17"/>
                <w:szCs w:val="17"/>
              </w:rPr>
              <w:t xml:space="preserve">Palabras clave: seguro de robo, art. 50 LCS, art. 52 LCS, hurto, expoliación, carga de la prueba, preexistencia.</w:t>
            </w:r>
          </w:p>
          <w:p>
            <w:pPr>
              <w:spacing w:after="100"/>
              <w:jc w:val="both"/>
            </w:pPr>
            <w:r>
              <w:rPr>
                <w:rFonts w:ascii="Archivo" w:cs="Archivo" w:eastAsia="Archivo" w:hAnsi="Archivo"/>
                <w:i/>
                <w:iCs/>
                <w:sz w:val="18"/>
                <w:szCs w:val="18"/>
              </w:rPr>
              <w:t xml:space="preserve">This chapter examines the statutory theft insurance regime under Articles 50 to 53 of the Spanish Insurance Contract Act, suppletorily applicable to the theft cover of homeowners' multi-risk policies, focusing on the exoneration grounds of Article 52 —the insured's gross negligence, theft occurring outside the insured location, and theft arising from extraordinary risks— and on the evidentiary difficulties that dominate litigation in this line, structurally more complex than fire claims given the burden of proving the pre-existence and theft of the claimed items.</w:t>
            </w:r>
          </w:p>
          <w:p>
            <w:pPr>
              <w:spacing w:after="0"/>
            </w:pPr>
            <w:r>
              <w:rPr>
                <w:rFonts w:ascii="Archivo" w:cs="Archivo" w:eastAsia="Archivo" w:hAnsi="Archivo"/>
                <w:b/>
                <w:bCs/>
                <w:sz w:val="17"/>
                <w:szCs w:val="17"/>
              </w:rPr>
              <w:t xml:space="preserve">Keywords: theft insurance, burglary, gross negligence, burden of proof, pre-existence of goods.</w:t>
            </w:r>
          </w:p>
        </w:tc>
      </w:tr>
    </w:tbl>
    <w:p>
      <w:pPr>
        <w:spacing w:after="200"/>
      </w:pPr>
    </w:p>
    <w:p>
      <w:pPr>
        <w:pStyle w:val="Heading2"/>
        <w:spacing w:after="160" w:before="400"/>
      </w:pPr>
      <w:r>
        <w:rPr>
          <w:rFonts w:ascii="Fraunces" w:cs="Fraunces" w:eastAsia="Fraunces" w:hAnsi="Fraunces"/>
          <w:b/>
          <w:bCs/>
          <w:color w:val="0A2540"/>
          <w:sz w:val="24"/>
          <w:szCs w:val="24"/>
        </w:rPr>
        <w:t xml:space="preserve">9.1. El concepto legal de robo a efectos aseguraticios</w:t>
      </w:r>
    </w:p>
    <w:p>
      <w:pPr>
        <w:spacing w:after="180" w:line="300"/>
        <w:jc w:val="both"/>
      </w:pPr>
      <w:r>
        <w:rPr>
          <w:rFonts w:ascii="Archivo" w:cs="Archivo" w:eastAsia="Archivo" w:hAnsi="Archivo"/>
          <w:sz w:val="21"/>
          <w:szCs w:val="21"/>
        </w:rPr>
        <w:t xml:space="preserve">El seguro de robo cuenta, al igual que el de incendio, con un régimen legal propio en los arts. 50 a 53 LCS, de aplicación supletoria a la garantía de robo del seguro multirriesgo de hogar. El concepto legal de robo a efectos aseguraticios es, significativamente, más amplio que el concepto técnico-penal</w:t>
      </w:r>
      <w:r>
        <w:rPr>
          <w:rStyle w:val="FootnoteReference"/>
        </w:rPr>
        <w:footnoteReference w:id="2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50 LCS</w:t>
            </w:r>
          </w:p>
          <w:p>
            <w:pPr>
              <w:spacing w:after="0" w:line="280"/>
              <w:jc w:val="both"/>
            </w:pPr>
            <w:r>
              <w:rPr>
                <w:rFonts w:ascii="IBM Plex Mono" w:cs="IBM Plex Mono" w:eastAsia="IBM Plex Mono" w:hAnsi="IBM Plex Mono"/>
                <w:i/>
                <w:iCs/>
                <w:color w:val="0A2540"/>
                <w:sz w:val="18"/>
                <w:szCs w:val="18"/>
              </w:rPr>
              <w:t xml:space="preserve">Por el seguro contra robo, el asegurador se obliga, dentro de los límites establecidos en la Ley y en el contrato a indemnizar los daños derivados de la sustracción ilegítima por parte de terceros de las cosas aseguradas. La cobertura comprende el daño causado por la comisión del delito en cualquiera de sus formas.</w:t>
            </w:r>
          </w:p>
        </w:tc>
      </w:tr>
    </w:tbl>
    <w:p>
      <w:pPr>
        <w:spacing w:after="180" w:line="300"/>
        <w:jc w:val="both"/>
      </w:pPr>
      <w:r>
        <w:rPr>
          <w:rFonts w:ascii="Archivo" w:cs="Archivo" w:eastAsia="Archivo" w:hAnsi="Archivo"/>
          <w:sz w:val="21"/>
          <w:szCs w:val="21"/>
        </w:rPr>
        <w:t xml:space="preserve">La remisión a «cualquiera de sus formas» de comisión del delito permite entender cubiertos, salvo exclusión expresa, tanto el robo con fuerza en las cosas (la modalidad más habitual en el ámbito doméstico: fractura de puerta, ventana o cerradura) como el robo con violencia o intimidación en las personas, mientras que el hurto (sustracción sin fuerza ni violencia) y la apropiación indebida quedan, en la práctica de las pólizas de hogar, sujetos a régimen contractual específico, según se analiza en el epígrafe 9.5.</w:t>
      </w:r>
    </w:p>
    <w:p>
      <w:pPr>
        <w:pStyle w:val="Heading2"/>
        <w:spacing w:after="160" w:before="400"/>
      </w:pPr>
      <w:r>
        <w:rPr>
          <w:rFonts w:ascii="Fraunces" w:cs="Fraunces" w:eastAsia="Fraunces" w:hAnsi="Fraunces"/>
          <w:b/>
          <w:bCs/>
          <w:color w:val="0A2540"/>
          <w:sz w:val="24"/>
          <w:szCs w:val="24"/>
        </w:rPr>
        <w:t xml:space="preserve">9.2. Alcance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51 LCS</w:t>
            </w:r>
          </w:p>
          <w:p>
            <w:pPr>
              <w:spacing w:after="0" w:line="280"/>
              <w:jc w:val="both"/>
            </w:pPr>
            <w:r>
              <w:rPr>
                <w:rFonts w:ascii="IBM Plex Mono" w:cs="IBM Plex Mono" w:eastAsia="IBM Plex Mono" w:hAnsi="IBM Plex Mono"/>
                <w:i/>
                <w:iCs/>
                <w:color w:val="0A2540"/>
                <w:sz w:val="18"/>
                <w:szCs w:val="18"/>
              </w:rPr>
              <w:t xml:space="preserve">La indemnización del asegurador comprenderá necesariamente, de acuerdo con lo dispuesto en el artículo veintisiete: 1.º El valor del interés asegurado cuando el objeto asegurado, efectivamente sea sustraído y no fuera hallado en el plazo señalado en el contrato. 2.º El daño que la comisión del delito, en cualquiera de sus formas, causare en el objeto asegurado.</w:t>
            </w:r>
          </w:p>
        </w:tc>
      </w:tr>
    </w:tbl>
    <w:p>
      <w:pPr>
        <w:spacing w:after="180" w:line="300"/>
        <w:jc w:val="both"/>
      </w:pPr>
      <w:r>
        <w:rPr>
          <w:rFonts w:ascii="Archivo" w:cs="Archivo" w:eastAsia="Archivo" w:hAnsi="Archivo"/>
          <w:sz w:val="21"/>
          <w:szCs w:val="21"/>
        </w:rPr>
        <w:t xml:space="preserve">La norma diferencia, con ello, dos partidas indemnizables que en la práctica pericial conviene documentar por separado: el valor de los bienes efectivamente sustraídos y no recuperados, de un lado, y los daños materiales causados en el proceso de comisión del delito (por ejemplo, la puerta forzada, la cerradura dañada o el mobiliario destrozado durante el registro de la vivienda), de otro, partida esta última que con frecuencia se indemniza incluso cuando la sustracción resulta frustrada o de escasa entidad.</w:t>
      </w:r>
    </w:p>
    <w:p>
      <w:pPr>
        <w:pStyle w:val="Heading2"/>
        <w:spacing w:after="160" w:before="400"/>
      </w:pPr>
      <w:r>
        <w:rPr>
          <w:rFonts w:ascii="Fraunces" w:cs="Fraunces" w:eastAsia="Fraunces" w:hAnsi="Fraunces"/>
          <w:b/>
          <w:bCs/>
          <w:color w:val="0A2540"/>
          <w:sz w:val="24"/>
          <w:szCs w:val="24"/>
        </w:rPr>
        <w:t xml:space="preserve">9.3. Causas legales de exoneración</w:t>
      </w:r>
    </w:p>
    <w:p>
      <w:pPr>
        <w:spacing w:after="180" w:line="300"/>
        <w:jc w:val="both"/>
      </w:pPr>
      <w:r>
        <w:rPr>
          <w:rFonts w:ascii="Archivo" w:cs="Archivo" w:eastAsia="Archivo" w:hAnsi="Archivo"/>
          <w:sz w:val="21"/>
          <w:szCs w:val="21"/>
        </w:rPr>
        <w:t xml:space="preserve">El artículo 52 LCS, a diferencia del amplio régimen de cobertura del incendio, restringe la obligación del asegurador en tres supuestos legales, aplicables salvo pacto en contrario: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 LCS</w:t>
            </w:r>
          </w:p>
          <w:p>
            <w:pPr>
              <w:spacing w:after="0" w:line="280"/>
              <w:jc w:val="both"/>
            </w:pPr>
            <w:r>
              <w:rPr>
                <w:rFonts w:ascii="IBM Plex Mono" w:cs="IBM Plex Mono" w:eastAsia="IBM Plex Mono" w:hAnsi="IBM Plex Mono"/>
                <w:i/>
                <w:iCs/>
                <w:color w:val="0A2540"/>
                <w:sz w:val="18"/>
                <w:szCs w:val="18"/>
              </w:rPr>
              <w:t xml:space="preserve">El asegurador, salvo pacto en contrario, no vendrá obligado a reparar los efectos del siniestro cuando éste se haya producido por cualquiera de las siguientes causas: 1.ª Por negligencia grave del asegurado, del tomador del seguro o de las personas que de ellos dependan o con ellos convivan. 2.ª Cuando el objeto asegurado sea sustraído fuera del lugar descrito en la póliza o con ocasión de su transporte, a no ser que una u otras circunstancias hubieran sido expresamente consentidas por el asegurador. 3.ª Cuando la sustracción se produzca con ocasión de siniestros derivados de riesgos extraordinarios.</w:t>
            </w:r>
          </w:p>
        </w:tc>
      </w:tr>
    </w:tbl>
    <w:p>
      <w:pPr>
        <w:spacing w:after="180" w:line="300"/>
        <w:jc w:val="both"/>
      </w:pPr>
      <w:r>
        <w:rPr>
          <w:rFonts w:ascii="Archivo" w:cs="Archivo" w:eastAsia="Archivo" w:hAnsi="Archivo"/>
          <w:sz w:val="21"/>
          <w:szCs w:val="21"/>
        </w:rPr>
        <w:t xml:space="preserve">A diferencia del régimen del incendio (donde solo el dolo o la culpa grave exoneran, y la negligencia leve del propio asegurado está cubierta), en el seguro de robo la negligencia grave —no solo el dolo— exonera al asegurador, umbral de diligencia sensiblemente más exigente para el asegurado. En la práctica del hogar, esta causa se invoca con frecuencia en supuestos de puertas o ventanas dejadas abiertas, ausencia de activación de sistemas de alarma contratados como condición de la cobertura, o entrega de llaves a terceros sin la diligencia debida, correspondiendo en todo caso a la aseguradora la prueba de que el estándar de negligencia grave —y no meramente leve— resulta superado.</w:t>
      </w:r>
    </w:p>
    <w:p>
      <w:pPr>
        <w:spacing w:after="180" w:line="300"/>
        <w:jc w:val="both"/>
      </w:pPr>
      <w:r>
        <w:rPr>
          <w:rFonts w:ascii="Archivo" w:cs="Archivo" w:eastAsia="Archivo" w:hAnsi="Archivo"/>
          <w:sz w:val="21"/>
          <w:szCs w:val="21"/>
        </w:rPr>
        <w:t xml:space="preserve">La tercera causa legal de exoneración —sustracción con ocasión de riesgos extraordinarios, como los disturbios o tumultos populares— conecta directamente con el régimen del Consorcio de Compensación de Seguros estudiado en el capítulo 10, al que corresponde, en su caso, la cobertura de estos supuestos excluidos del seguro privado.</w:t>
      </w:r>
    </w:p>
    <w:p>
      <w:pPr>
        <w:spacing w:after="180" w:line="300"/>
        <w:jc w:val="both"/>
      </w:pPr>
      <w:r>
        <w:rPr>
          <w:rFonts w:ascii="Archivo" w:cs="Archivo" w:eastAsia="Archivo" w:hAnsi="Archivo"/>
          <w:sz w:val="21"/>
          <w:szCs w:val="21"/>
        </w:rPr>
        <w:t xml:space="preserve">La aplicación práctica del umbral de negligencia grave por las Audiencias Provinciales exige algo más que un simple descuido: la jurisprudencia menor reserva la exoneración a supuestos de auténtico abandono o dejación en la custodia del bien, como ilustra un caso en el que el objeto sustraído —una embarcación— se hallaba amarrada de forma manifiestamente precaria e insegura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16.ª), de 11 de enero de 2017 (ROJ: SAP B 5946/2017; ECLI:ES:APB:2017:5946; MP: Martín de la Sierra García-Fogeda)</w:t>
            </w:r>
          </w:p>
          <w:p>
            <w:pPr>
              <w:spacing w:after="0" w:line="280"/>
              <w:jc w:val="both"/>
            </w:pPr>
            <w:r>
              <w:rPr>
                <w:rFonts w:ascii="Archivo" w:cs="Archivo" w:eastAsia="Archivo" w:hAnsi="Archivo"/>
                <w:color w:val="0A2540"/>
                <w:sz w:val="19"/>
                <w:szCs w:val="19"/>
              </w:rPr>
              <w:t xml:space="preserve">«De conformidad con lo dispuesto en el artículo 52.1 de la LCS [...], la aseguradora demandada estaría exonerada de abonar cantidad de tipo alguna, dada la situación de abandono y precariedad en que tenía el objeto asegurado.»</w:t>
            </w:r>
          </w:p>
        </w:tc>
      </w:tr>
    </w:tbl>
    <w:p>
      <w:pPr>
        <w:spacing w:after="180" w:line="300"/>
        <w:jc w:val="both"/>
      </w:pPr>
      <w:r>
        <w:rPr>
          <w:rFonts w:ascii="Archivo" w:cs="Archivo" w:eastAsia="Archivo" w:hAnsi="Archivo"/>
          <w:sz w:val="21"/>
          <w:szCs w:val="21"/>
        </w:rPr>
        <w:t xml:space="preserve">La sentencia recuerda, además, un matiz conceptual importante sobre el propio concepto de robo a efectos civiles: el art. 50 LCS, al emplear la expresión «sustracción ilegítima por parte de terceros», elude deliberadamente la calificación técnico-penal definitiva del hecho, lo que permite calificar el siniestro como «robo» a efectos de la póliza aunque las diligencias penales se archiven por no haberse identificado al autor, sin que ello prive al asegurado de la cobertura contratada.</w:t>
      </w:r>
    </w:p>
    <w:p>
      <w:pPr>
        <w:pStyle w:val="Heading2"/>
        <w:spacing w:after="160" w:before="400"/>
      </w:pPr>
      <w:r>
        <w:rPr>
          <w:rFonts w:ascii="Fraunces" w:cs="Fraunces" w:eastAsia="Fraunces" w:hAnsi="Fraunces"/>
          <w:b/>
          <w:bCs/>
          <w:color w:val="0A2540"/>
          <w:sz w:val="24"/>
          <w:szCs w:val="24"/>
        </w:rPr>
        <w:t xml:space="preserve">9.4. La recuperación del objeto sustraído</w:t>
      </w:r>
    </w:p>
    <w:p>
      <w:pPr>
        <w:spacing w:after="180" w:line="300"/>
        <w:jc w:val="both"/>
      </w:pPr>
      <w:r>
        <w:rPr>
          <w:rFonts w:ascii="Archivo" w:cs="Archivo" w:eastAsia="Archivo" w:hAnsi="Archivo"/>
          <w:sz w:val="21"/>
          <w:szCs w:val="21"/>
        </w:rPr>
        <w:t xml:space="preserve">El artículo 53 LCS regula un supuesto de frecuente aparición práctica: la recuperación del bien sustraído, ya sea antes o después del pago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53 LCS</w:t>
            </w:r>
          </w:p>
          <w:p>
            <w:pPr>
              <w:spacing w:after="0" w:line="280"/>
              <w:jc w:val="both"/>
            </w:pPr>
            <w:r>
              <w:rPr>
                <w:rFonts w:ascii="IBM Plex Mono" w:cs="IBM Plex Mono" w:eastAsia="IBM Plex Mono" w:hAnsi="IBM Plex Mono"/>
                <w:i/>
                <w:iCs/>
                <w:color w:val="0A2540"/>
                <w:sz w:val="18"/>
                <w:szCs w:val="18"/>
              </w:rPr>
              <w:t xml:space="preserve">Producido y debidamente comunicado el siniestro al asegurador, se observarán las reglas siguientes: 1.ª Si el objeto asegurado es recuperado antes del transcurso del plazo señalado en la póliza, el asegurado deberá recibirlo, a menos que en ella le hubiera reconocido expresamente la facultad de su abandono al asegurador. 2.ª Si el objeto asegurado es recuperado transcurrido el plazo pactado, y una vez pagada la indemnización, el asegurado podrá retener la indemnización percibida abandonando al asegurador la propiedad del objeto asegurado, o readquirirlo, restituyendo, en este caso, la indemnización percibida por la cosa o cosas restituidas.</w:t>
            </w:r>
          </w:p>
        </w:tc>
      </w:tr>
    </w:tbl>
    <w:p>
      <w:pPr>
        <w:spacing w:after="180" w:line="300"/>
        <w:jc w:val="both"/>
      </w:pPr>
      <w:r>
        <w:rPr>
          <w:rFonts w:ascii="Archivo" w:cs="Archivo" w:eastAsia="Archivo" w:hAnsi="Archivo"/>
          <w:sz w:val="21"/>
          <w:szCs w:val="21"/>
        </w:rPr>
        <w:t xml:space="preserve">La regla articula un mecanismo de opción a favor del asegurado en el segundo supuesto —recuperación tras el pago— que conviene explicar con claridad al cliente: puede quedarse con el dinero y renunciar al bien recuperado (que pasa a ser propiedad de la aseguradora), o recuperar el bien devolviendo la indemnización percibida por él.</w:t>
      </w:r>
    </w:p>
    <w:p>
      <w:pPr>
        <w:pStyle w:val="Heading2"/>
        <w:spacing w:after="160" w:before="400"/>
      </w:pPr>
      <w:r>
        <w:rPr>
          <w:rFonts w:ascii="Fraunces" w:cs="Fraunces" w:eastAsia="Fraunces" w:hAnsi="Fraunces"/>
          <w:b/>
          <w:bCs/>
          <w:color w:val="0A2540"/>
          <w:sz w:val="24"/>
          <w:szCs w:val="24"/>
        </w:rPr>
        <w:t xml:space="preserve">9.5. Hurto y expoliación: la frontera con el robo en sentido técnico</w:t>
      </w:r>
    </w:p>
    <w:p>
      <w:pPr>
        <w:spacing w:after="180" w:line="300"/>
        <w:jc w:val="both"/>
      </w:pPr>
      <w:r>
        <w:rPr>
          <w:rFonts w:ascii="Archivo" w:cs="Archivo" w:eastAsia="Archivo" w:hAnsi="Archivo"/>
          <w:sz w:val="21"/>
          <w:szCs w:val="21"/>
        </w:rPr>
        <w:t xml:space="preserve">La práctica aseguradora distingue, dentro de la cobertura genérica de «robo» de las pólizas de hogar, entre el robo en sentido estricto (con fuerza en las cosas o violencia/intimidación en las personas) y otras figuras afines cuyo tratamiento contractual conviene verificar en cada póliza:</w:t>
      </w:r>
    </w:p>
    <w:p>
      <w:pPr>
        <w:pStyle w:val="ListParagraph"/>
        <w:numPr>
          <w:ilvl w:val="0"/>
          <w:numId w:val="2"/>
        </w:numPr>
        <w:spacing w:after="100" w:line="290"/>
      </w:pPr>
      <w:r>
        <w:rPr>
          <w:rFonts w:ascii="Archivo" w:cs="Archivo" w:eastAsia="Archivo" w:hAnsi="Archivo"/>
          <w:b/>
          <w:bCs/>
          <w:sz w:val="21"/>
          <w:szCs w:val="21"/>
        </w:rPr>
        <w:t xml:space="preserve">Hurto: </w:t>
      </w:r>
      <w:r>
        <w:rPr>
          <w:rFonts w:ascii="Archivo" w:cs="Archivo" w:eastAsia="Archivo" w:hAnsi="Archivo"/>
          <w:sz w:val="21"/>
          <w:szCs w:val="21"/>
        </w:rPr>
        <w:t xml:space="preserve">sustracción sin fuerza ni violencia (por ejemplo, el descuido de un bolso en una terraza); frecuentemente excluido de la cobertura estándar de robo en el hogar, salvo pacto expreso o garantía específica de «expoliación» fuera del domicilio.</w:t>
      </w:r>
    </w:p>
    <w:p>
      <w:pPr>
        <w:pStyle w:val="ListParagraph"/>
        <w:numPr>
          <w:ilvl w:val="0"/>
          <w:numId w:val="2"/>
        </w:numPr>
        <w:spacing w:after="100" w:line="290"/>
      </w:pPr>
      <w:r>
        <w:rPr>
          <w:rFonts w:ascii="Archivo" w:cs="Archivo" w:eastAsia="Archivo" w:hAnsi="Archivo"/>
          <w:b/>
          <w:bCs/>
          <w:sz w:val="21"/>
          <w:szCs w:val="21"/>
        </w:rPr>
        <w:t xml:space="preserve">Expoliación o robo con violencia o intimidación en las personas (atraco): </w:t>
      </w:r>
      <w:r>
        <w:rPr>
          <w:rFonts w:ascii="Archivo" w:cs="Archivo" w:eastAsia="Archivo" w:hAnsi="Archivo"/>
          <w:sz w:val="21"/>
          <w:szCs w:val="21"/>
        </w:rPr>
        <w:t xml:space="preserve">generalmente cubierta como submodalidad agravada, con posible sublímite propio para el dinero en efectivo y objetos personales sustraídos fuera del domicilio (por ejemplo, en el trayecto al banco).</w:t>
      </w:r>
    </w:p>
    <w:p>
      <w:pPr>
        <w:pStyle w:val="ListParagraph"/>
        <w:numPr>
          <w:ilvl w:val="0"/>
          <w:numId w:val="2"/>
        </w:numPr>
        <w:spacing w:after="100" w:line="290"/>
      </w:pPr>
      <w:r>
        <w:rPr>
          <w:rFonts w:ascii="Archivo" w:cs="Archivo" w:eastAsia="Archivo" w:hAnsi="Archivo"/>
          <w:b/>
          <w:bCs/>
          <w:sz w:val="21"/>
          <w:szCs w:val="21"/>
        </w:rPr>
        <w:t xml:space="preserve">Apropiación indebida por personal doméstico o de confianza: </w:t>
      </w:r>
      <w:r>
        <w:rPr>
          <w:rFonts w:ascii="Archivo" w:cs="Archivo" w:eastAsia="Archivo" w:hAnsi="Archivo"/>
          <w:sz w:val="21"/>
          <w:szCs w:val="21"/>
        </w:rPr>
        <w:t xml:space="preserve">sujeta, en la mayoría de las pólizas, a exclusión expresa o a condiciones particulares específicas, por no encajar con naturalidad en el concepto de «sustracción ilegítima por parte de terceros» del art. 50 LCS cuando el autor tenía acceso lícito a los bienes.</w:t>
      </w:r>
    </w:p>
    <w:p>
      <w:pPr>
        <w:pStyle w:val="Heading2"/>
        <w:spacing w:after="160" w:before="400"/>
      </w:pPr>
      <w:r>
        <w:rPr>
          <w:rFonts w:ascii="Fraunces" w:cs="Fraunces" w:eastAsia="Fraunces" w:hAnsi="Fraunces"/>
          <w:b/>
          <w:bCs/>
          <w:color w:val="0A2540"/>
          <w:sz w:val="24"/>
          <w:szCs w:val="24"/>
        </w:rPr>
        <w:t xml:space="preserve">9.6. La prueba del siniestro de robo</w:t>
      </w:r>
    </w:p>
    <w:p>
      <w:pPr>
        <w:spacing w:after="180" w:line="300"/>
        <w:jc w:val="both"/>
      </w:pPr>
      <w:r>
        <w:rPr>
          <w:rFonts w:ascii="Archivo" w:cs="Archivo" w:eastAsia="Archivo" w:hAnsi="Archivo"/>
          <w:sz w:val="21"/>
          <w:szCs w:val="21"/>
        </w:rPr>
        <w:t xml:space="preserve">La cobertura de robo plantea, con mayor intensidad que la de incendio, un problema probatorio estructural: el asegurado debe acreditar tanto la preexistencia de los bienes sustraídos como su sustracción efectiva, sin que exista, a diferencia del art. 49.4.º LCS para el incendio, una presunción legal equivalente que invierta la carga de la prueba de la preexistencia. La práctica pericial y judicial admite, no obstante, prueba indiciaria suficiente (fotografías, facturas de compra, tasaciones previas, testificales, denuncia policial coetánea con descripción de los efectos sustraídos), correspondiendo a los tribunales ponderar el conjunto de la prueba indiciaria aportada conforme a las reglas generales de la sana crítica.</w:t>
      </w:r>
    </w:p>
    <w:p>
      <w:pPr>
        <w:pStyle w:val="Heading2"/>
        <w:spacing w:after="160" w:before="400"/>
      </w:pPr>
      <w:r>
        <w:rPr>
          <w:rFonts w:ascii="Fraunces" w:cs="Fraunces" w:eastAsia="Fraunces" w:hAnsi="Fraunces"/>
          <w:b/>
          <w:bCs/>
          <w:color w:val="0A2540"/>
          <w:sz w:val="24"/>
          <w:szCs w:val="24"/>
        </w:rPr>
        <w:t xml:space="preserve">9.7.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robo</w:t>
            </w:r>
          </w:p>
          <w:p>
            <w:pPr>
              <w:pStyle w:val="ListParagraph"/>
              <w:numPr>
                <w:ilvl w:val="0"/>
                <w:numId w:val="2"/>
              </w:numPr>
              <w:spacing w:after="80" w:line="280"/>
            </w:pPr>
            <w:r>
              <w:rPr>
                <w:rFonts w:ascii="Archivo" w:cs="Archivo" w:eastAsia="Archivo" w:hAnsi="Archivo"/>
                <w:sz w:val="19"/>
                <w:szCs w:val="19"/>
              </w:rPr>
              <w:t xml:space="preserve">Verificar si la denuncia penal describe con suficiente detalle los objetos sustraídos: es el primer documento de prueba indiciaria y conviene que el asegurado la presente con la mayor precisión posible.</w:t>
            </w:r>
          </w:p>
          <w:p>
            <w:pPr>
              <w:pStyle w:val="ListParagraph"/>
              <w:numPr>
                <w:ilvl w:val="0"/>
                <w:numId w:val="2"/>
              </w:numPr>
              <w:spacing w:after="80" w:line="280"/>
            </w:pPr>
            <w:r>
              <w:rPr>
                <w:rFonts w:ascii="Archivo" w:cs="Archivo" w:eastAsia="Archivo" w:hAnsi="Archivo"/>
                <w:sz w:val="19"/>
                <w:szCs w:val="19"/>
              </w:rPr>
              <w:t xml:space="preserve">Reunir toda la prueba disponible sobre la preexistencia de los bienes (facturas, fotografías, tasaciones, garantías, capturas de compra online).</w:t>
            </w:r>
          </w:p>
          <w:p>
            <w:pPr>
              <w:pStyle w:val="ListParagraph"/>
              <w:numPr>
                <w:ilvl w:val="0"/>
                <w:numId w:val="2"/>
              </w:numPr>
              <w:spacing w:after="80" w:line="280"/>
            </w:pPr>
            <w:r>
              <w:rPr>
                <w:rFonts w:ascii="Archivo" w:cs="Archivo" w:eastAsia="Archivo" w:hAnsi="Archivo"/>
                <w:sz w:val="19"/>
                <w:szCs w:val="19"/>
              </w:rPr>
              <w:t xml:space="preserve">Ante la invocación de negligencia grave (art. 52.1.ª LCS), exigir a la aseguradora la prueba cumplida de que el estándar de diligencia superado es el grave, no el leve.</w:t>
            </w:r>
          </w:p>
          <w:p>
            <w:pPr>
              <w:pStyle w:val="ListParagraph"/>
              <w:numPr>
                <w:ilvl w:val="0"/>
                <w:numId w:val="2"/>
              </w:numPr>
              <w:spacing w:after="80" w:line="280"/>
            </w:pPr>
            <w:r>
              <w:rPr>
                <w:rFonts w:ascii="Archivo" w:cs="Archivo" w:eastAsia="Archivo" w:hAnsi="Archivo"/>
                <w:sz w:val="19"/>
                <w:szCs w:val="19"/>
              </w:rPr>
              <w:t xml:space="preserve">Verificar si existían medidas de seguridad pactadas como condición de la cobertura (alarma conectada, cerraduras de seguridad) y si su falta de activación es realmente imputable al asegurado.</w:t>
            </w:r>
          </w:p>
          <w:p>
            <w:pPr>
              <w:pStyle w:val="ListParagraph"/>
              <w:numPr>
                <w:ilvl w:val="0"/>
                <w:numId w:val="2"/>
              </w:numPr>
              <w:spacing w:after="80" w:line="280"/>
            </w:pPr>
            <w:r>
              <w:rPr>
                <w:rFonts w:ascii="Archivo" w:cs="Archivo" w:eastAsia="Archivo" w:hAnsi="Archivo"/>
                <w:sz w:val="19"/>
                <w:szCs w:val="19"/>
              </w:rPr>
              <w:t xml:space="preserve">Distinguir con precisión, según la póliza concreta, la cobertura de robo en sentido estricto, hurto, expoliación y apropiación indebida por personal doméstico, cada una con su propio régimen contractual.</w:t>
            </w:r>
          </w:p>
        </w:tc>
      </w:tr>
    </w:tbl>
    <w:p>
      <w:pPr>
        <w:pStyle w:val="Heading2"/>
        <w:spacing w:after="160" w:before="400"/>
      </w:pPr>
      <w:r>
        <w:rPr>
          <w:rFonts w:ascii="Fraunces" w:cs="Fraunces" w:eastAsia="Fraunces" w:hAnsi="Fraunces"/>
          <w:b/>
          <w:bCs/>
          <w:color w:val="0A2540"/>
          <w:sz w:val="24"/>
          <w:szCs w:val="24"/>
        </w:rPr>
        <w:t xml:space="preserve">9.8.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tras un robo en su vivienda</w:t>
            </w:r>
          </w:p>
          <w:p>
            <w:pPr>
              <w:pStyle w:val="ListParagraph"/>
              <w:numPr>
                <w:ilvl w:val="0"/>
                <w:numId w:val="2"/>
              </w:numPr>
              <w:spacing w:after="80" w:line="280"/>
            </w:pPr>
            <w:r>
              <w:rPr>
                <w:rFonts w:ascii="Archivo" w:cs="Archivo" w:eastAsia="Archivo" w:hAnsi="Archivo"/>
                <w:sz w:val="19"/>
                <w:szCs w:val="19"/>
              </w:rPr>
              <w:t xml:space="preserve">Denuncie el robo ante la Policía o la Guardia Civil lo antes posible, describiendo con el mayor detalle posible los objetos sustraídos.</w:t>
            </w:r>
          </w:p>
          <w:p>
            <w:pPr>
              <w:pStyle w:val="ListParagraph"/>
              <w:numPr>
                <w:ilvl w:val="0"/>
                <w:numId w:val="2"/>
              </w:numPr>
              <w:spacing w:after="80" w:line="280"/>
            </w:pPr>
            <w:r>
              <w:rPr>
                <w:rFonts w:ascii="Archivo" w:cs="Archivo" w:eastAsia="Archivo" w:hAnsi="Archivo"/>
                <w:sz w:val="19"/>
                <w:szCs w:val="19"/>
              </w:rPr>
              <w:t xml:space="preserve">No toque ni limpie las zonas de acceso forzado hasta que la Policía Científica o el perito de la aseguradora las hayan examinado, si es razonablemente posible.</w:t>
            </w:r>
          </w:p>
          <w:p>
            <w:pPr>
              <w:pStyle w:val="ListParagraph"/>
              <w:numPr>
                <w:ilvl w:val="0"/>
                <w:numId w:val="2"/>
              </w:numPr>
              <w:spacing w:after="80" w:line="280"/>
            </w:pPr>
            <w:r>
              <w:rPr>
                <w:rFonts w:ascii="Archivo" w:cs="Archivo" w:eastAsia="Archivo" w:hAnsi="Archivo"/>
                <w:sz w:val="19"/>
                <w:szCs w:val="19"/>
              </w:rPr>
              <w:t xml:space="preserve">Reúna toda la documentación que acredite que tenía esos bienes antes del robo: facturas, fotografías, tasaciones, capturas de pantalla de compras.</w:t>
            </w:r>
          </w:p>
          <w:p>
            <w:pPr>
              <w:pStyle w:val="ListParagraph"/>
              <w:numPr>
                <w:ilvl w:val="0"/>
                <w:numId w:val="2"/>
              </w:numPr>
              <w:spacing w:after="80" w:line="280"/>
            </w:pPr>
            <w:r>
              <w:rPr>
                <w:rFonts w:ascii="Archivo" w:cs="Archivo" w:eastAsia="Archivo" w:hAnsi="Archivo"/>
                <w:sz w:val="19"/>
                <w:szCs w:val="19"/>
              </w:rPr>
              <w:t xml:space="preserve">Revise si su póliza cubre el robo fuera de casa (expoliación, hurto en la calle) y si tiene sublímite propio, distinto del aplicable dentro de la vivienda.</w:t>
            </w:r>
          </w:p>
        </w:tc>
      </w:tr>
    </w:tbl>
    <w:p>
      <w:pPr>
        <w:pStyle w:val="Heading2"/>
        <w:spacing w:after="160" w:before="400"/>
      </w:pPr>
      <w:r>
        <w:rPr>
          <w:rFonts w:ascii="Fraunces" w:cs="Fraunces" w:eastAsia="Fraunces" w:hAnsi="Fraunces"/>
          <w:b/>
          <w:bCs/>
          <w:color w:val="0A2540"/>
          <w:sz w:val="24"/>
          <w:szCs w:val="24"/>
        </w:rPr>
        <w:t xml:space="preserve">9.9. Checklist: acreditación de un siniestro de robo</w:t>
      </w:r>
    </w:p>
    <w:p>
      <w:pPr>
        <w:pStyle w:val="ListParagraph"/>
        <w:numPr>
          <w:ilvl w:val="0"/>
          <w:numId w:val="2"/>
        </w:numPr>
        <w:spacing w:after="100" w:line="290"/>
      </w:pPr>
      <w:r>
        <w:rPr>
          <w:rFonts w:ascii="Archivo" w:cs="Archivo" w:eastAsia="Archivo" w:hAnsi="Archivo"/>
          <w:sz w:val="21"/>
          <w:szCs w:val="21"/>
        </w:rPr>
        <w:t xml:space="preserve">1. ¿Existe denuncia penal presentada y con qué grado de detalle describe los objetos sustraídos?</w:t>
      </w:r>
    </w:p>
    <w:p>
      <w:pPr>
        <w:pStyle w:val="ListParagraph"/>
        <w:numPr>
          <w:ilvl w:val="0"/>
          <w:numId w:val="2"/>
        </w:numPr>
        <w:spacing w:after="100" w:line="290"/>
      </w:pPr>
      <w:r>
        <w:rPr>
          <w:rFonts w:ascii="Archivo" w:cs="Archivo" w:eastAsia="Archivo" w:hAnsi="Archivo"/>
          <w:sz w:val="21"/>
          <w:szCs w:val="21"/>
        </w:rPr>
        <w:t xml:space="preserve">2. ¿Hay indicios de fuerza en las cosas o violencia/intimidación, o se trata de un hurto sin fuerza?</w:t>
      </w:r>
    </w:p>
    <w:p>
      <w:pPr>
        <w:pStyle w:val="ListParagraph"/>
        <w:numPr>
          <w:ilvl w:val="0"/>
          <w:numId w:val="2"/>
        </w:numPr>
        <w:spacing w:after="100" w:line="290"/>
      </w:pPr>
      <w:r>
        <w:rPr>
          <w:rFonts w:ascii="Archivo" w:cs="Archivo" w:eastAsia="Archivo" w:hAnsi="Archivo"/>
          <w:sz w:val="21"/>
          <w:szCs w:val="21"/>
        </w:rPr>
        <w:t xml:space="preserve">3. ¿Qué prueba de preexistencia se puede aportar respecto de cada bien reclamado?</w:t>
      </w:r>
    </w:p>
    <w:p>
      <w:pPr>
        <w:pStyle w:val="ListParagraph"/>
        <w:numPr>
          <w:ilvl w:val="0"/>
          <w:numId w:val="2"/>
        </w:numPr>
        <w:spacing w:after="100" w:line="290"/>
      </w:pPr>
      <w:r>
        <w:rPr>
          <w:rFonts w:ascii="Archivo" w:cs="Archivo" w:eastAsia="Archivo" w:hAnsi="Archivo"/>
          <w:sz w:val="21"/>
          <w:szCs w:val="21"/>
        </w:rPr>
        <w:t xml:space="preserve">4. ¿Existían medidas de seguridad pactadas como condición de la cobertura? ¿Estaban activas?</w:t>
      </w:r>
    </w:p>
    <w:p>
      <w:pPr>
        <w:pStyle w:val="ListParagraph"/>
        <w:numPr>
          <w:ilvl w:val="0"/>
          <w:numId w:val="2"/>
        </w:numPr>
        <w:spacing w:after="100" w:line="290"/>
      </w:pPr>
      <w:r>
        <w:rPr>
          <w:rFonts w:ascii="Archivo" w:cs="Archivo" w:eastAsia="Archivo" w:hAnsi="Archivo"/>
          <w:sz w:val="21"/>
          <w:szCs w:val="21"/>
        </w:rPr>
        <w:t xml:space="preserve">5. ¿La sustracción se produjo dentro o fuera del lugar descrito en la póliza?</w:t>
      </w:r>
    </w:p>
    <w:p>
      <w:pPr>
        <w:pStyle w:val="ListParagraph"/>
        <w:numPr>
          <w:ilvl w:val="0"/>
          <w:numId w:val="2"/>
        </w:numPr>
        <w:spacing w:after="100" w:line="290"/>
      </w:pPr>
      <w:r>
        <w:rPr>
          <w:rFonts w:ascii="Archivo" w:cs="Archivo" w:eastAsia="Archivo" w:hAnsi="Archivo"/>
          <w:sz w:val="21"/>
          <w:szCs w:val="21"/>
        </w:rPr>
        <w:t xml:space="preserve">6. ¿Se han producido, además de la sustracción, daños materiales por la comisión del delito (puertas, cerraduras)?</w:t>
      </w:r>
    </w:p>
    <w:p>
      <w:pPr>
        <w:pStyle w:val="ListParagraph"/>
        <w:numPr>
          <w:ilvl w:val="0"/>
          <w:numId w:val="2"/>
        </w:numPr>
        <w:spacing w:after="100" w:line="290"/>
      </w:pPr>
      <w:r>
        <w:rPr>
          <w:rFonts w:ascii="Archivo" w:cs="Archivo" w:eastAsia="Archivo" w:hAnsi="Archivo"/>
          <w:sz w:val="21"/>
          <w:szCs w:val="21"/>
        </w:rPr>
        <w:t xml:space="preserve">7. ¿Existe posibilidad de recuperación posterior de los bienes? ¿Qué opción del art. 53 LCS interesa al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10. </w:t>
      </w:r>
      <w:r>
        <w:rPr>
          <w:rFonts w:ascii="Fraunces" w:cs="Fraunces" w:eastAsia="Fraunces" w:hAnsi="Fraunces"/>
          <w:b/>
          <w:bCs/>
          <w:color w:val="0A2540"/>
          <w:sz w:val="30"/>
          <w:szCs w:val="30"/>
        </w:rPr>
        <w:t xml:space="preserve">Fenómenos atmosféricos y riesgos extraordinarios: el Consorcio de Compensación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10.1. Riesgos ordinarios y riesgos extraordinarios: dos regímenes distintos</w:t>
            </w:r>
          </w:p>
          <w:p>
            <w:pPr>
              <w:spacing w:after="40" w:line="260"/>
            </w:pPr>
            <w:r>
              <w:rPr>
                <w:rFonts w:ascii="Archivo" w:cs="Archivo" w:eastAsia="Archivo" w:hAnsi="Archivo"/>
                <w:sz w:val="18"/>
                <w:szCs w:val="18"/>
              </w:rPr>
              <w:t xml:space="preserve">10.2. Fenómenos atmosféricos ordinarios en el clausulado privado</w:t>
            </w:r>
          </w:p>
          <w:p>
            <w:pPr>
              <w:spacing w:after="40" w:line="260"/>
            </w:pPr>
            <w:r>
              <w:rPr>
                <w:rFonts w:ascii="Archivo" w:cs="Archivo" w:eastAsia="Archivo" w:hAnsi="Archivo"/>
                <w:sz w:val="18"/>
                <w:szCs w:val="18"/>
              </w:rPr>
              <w:t xml:space="preserve">10.3. El Consorcio de Compensación de Seguros: naturaleza y ámbito</w:t>
            </w:r>
          </w:p>
          <w:p>
            <w:pPr>
              <w:spacing w:after="40" w:line="260"/>
            </w:pPr>
            <w:r>
              <w:rPr>
                <w:rFonts w:ascii="Archivo" w:cs="Archivo" w:eastAsia="Archivo" w:hAnsi="Archivo"/>
                <w:sz w:val="18"/>
                <w:szCs w:val="18"/>
              </w:rPr>
              <w:t xml:space="preserve">10.4. Los acontecimientos extraordinarios legalmente tipificados</w:t>
            </w:r>
          </w:p>
          <w:p>
            <w:pPr>
              <w:spacing w:after="40" w:line="260"/>
            </w:pPr>
            <w:r>
              <w:rPr>
                <w:rFonts w:ascii="Archivo" w:cs="Archivo" w:eastAsia="Archivo" w:hAnsi="Archivo"/>
                <w:sz w:val="18"/>
                <w:szCs w:val="18"/>
              </w:rPr>
              <w:t xml:space="preserve">10.4.1. La definición reglamentaria de inundación extraordinaria y su frontera con el seguro privado</w:t>
            </w:r>
          </w:p>
          <w:p>
            <w:pPr>
              <w:spacing w:after="40" w:line="260"/>
            </w:pPr>
            <w:r>
              <w:rPr>
                <w:rFonts w:ascii="Archivo" w:cs="Archivo" w:eastAsia="Archivo" w:hAnsi="Archivo"/>
                <w:sz w:val="18"/>
                <w:szCs w:val="18"/>
              </w:rPr>
              <w:t xml:space="preserve">10.4.2. El control judicial de la calificación del evento</w:t>
            </w:r>
          </w:p>
          <w:p>
            <w:pPr>
              <w:spacing w:after="40" w:line="260"/>
            </w:pPr>
            <w:r>
              <w:rPr>
                <w:rFonts w:ascii="Archivo" w:cs="Archivo" w:eastAsia="Archivo" w:hAnsi="Archivo"/>
                <w:sz w:val="18"/>
                <w:szCs w:val="18"/>
              </w:rPr>
              <w:t xml:space="preserve">10.5. Presupuestos y límites de la cobertura del Consorcio</w:t>
            </w:r>
          </w:p>
          <w:p>
            <w:pPr>
              <w:spacing w:after="40" w:line="260"/>
            </w:pPr>
            <w:r>
              <w:rPr>
                <w:rFonts w:ascii="Archivo" w:cs="Archivo" w:eastAsia="Archivo" w:hAnsi="Archivo"/>
                <w:sz w:val="18"/>
                <w:szCs w:val="18"/>
              </w:rPr>
              <w:t xml:space="preserve">10.6. Riesgos expresamente excluidos de la cobertura del Consorcio</w:t>
            </w:r>
          </w:p>
          <w:p>
            <w:pPr>
              <w:spacing w:after="40" w:line="260"/>
            </w:pPr>
            <w:r>
              <w:rPr>
                <w:rFonts w:ascii="Archivo" w:cs="Archivo" w:eastAsia="Archivo" w:hAnsi="Archivo"/>
                <w:sz w:val="18"/>
                <w:szCs w:val="18"/>
              </w:rPr>
              <w:t xml:space="preserve">10.7. Procedimiento de reclamación ante el Consorcio</w:t>
            </w:r>
          </w:p>
          <w:p>
            <w:pPr>
              <w:spacing w:after="40" w:line="260"/>
            </w:pPr>
            <w:r>
              <w:rPr>
                <w:rFonts w:ascii="Archivo" w:cs="Archivo" w:eastAsia="Archivo" w:hAnsi="Archivo"/>
                <w:sz w:val="18"/>
                <w:szCs w:val="18"/>
              </w:rPr>
              <w:t xml:space="preserve">10.7.1. Los umbrales de intensidad importados al clausulado privado: la cláusula de los 40 litros</w:t>
            </w:r>
          </w:p>
          <w:p>
            <w:pPr>
              <w:spacing w:after="40" w:line="260"/>
            </w:pPr>
            <w:r>
              <w:rPr>
                <w:rFonts w:ascii="Archivo" w:cs="Archivo" w:eastAsia="Archivo" w:hAnsi="Archivo"/>
                <w:sz w:val="18"/>
                <w:szCs w:val="18"/>
              </w:rPr>
              <w:t xml:space="preserve">10.8. Ficha para el profesional</w:t>
            </w:r>
          </w:p>
          <w:p>
            <w:pPr>
              <w:spacing w:after="40" w:line="260"/>
            </w:pPr>
            <w:r>
              <w:rPr>
                <w:rFonts w:ascii="Archivo" w:cs="Archivo" w:eastAsia="Archivo" w:hAnsi="Archivo"/>
                <w:sz w:val="18"/>
                <w:szCs w:val="18"/>
              </w:rPr>
              <w:t xml:space="preserve">10.9. Ficha para el asegurado</w:t>
            </w:r>
          </w:p>
          <w:p>
            <w:pPr>
              <w:spacing w:after="40" w:line="260"/>
            </w:pPr>
            <w:r>
              <w:rPr>
                <w:rFonts w:ascii="Archivo" w:cs="Archivo" w:eastAsia="Archivo" w:hAnsi="Archivo"/>
                <w:sz w:val="18"/>
                <w:szCs w:val="18"/>
              </w:rPr>
              <w:t xml:space="preserve">10.10. Checklist: seguro privado o Consorcio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delimita la frontera, con frecuencia mal comprendida por el asegurado medio, entre los fenómenos atmosféricos cubiertos por el clausulado ordinario de la póliza de hogar y los acontecimientos extraordinarios cuya cobertura corresponde, por mandato legal, al Consorcio de Compensación de Seguros (RDL 7/2004 y RD 300/2004). Se examina con detalle la definición reglamentaria de inundación extraordinaria y sus exclusiones —determinantes del deslinde práctico entre Consorcio y aseguradora privada—, el control judicial de la calificación del evento como concepto jurídico indeterminado, y la práctica, censurada por la Sala Primera, de importar al clausulado privado los umbrales de intensidad propios de lo catastrófico.</w:t>
            </w:r>
          </w:p>
          <w:p>
            <w:pPr>
              <w:spacing w:after="160"/>
            </w:pPr>
            <w:r>
              <w:rPr>
                <w:rFonts w:ascii="Archivo" w:cs="Archivo" w:eastAsia="Archivo" w:hAnsi="Archivo"/>
                <w:b/>
                <w:bCs/>
                <w:sz w:val="17"/>
                <w:szCs w:val="17"/>
              </w:rPr>
              <w:t xml:space="preserve">Palabras clave: Consorcio de Compensación de Seguros, riesgos extraordinarios, inundación extraordinaria, tempestad ciclónica atípica, recargo obligatorio, concepto jurídico indeterminado.</w:t>
            </w:r>
          </w:p>
          <w:p>
            <w:pPr>
              <w:spacing w:after="100"/>
              <w:jc w:val="both"/>
            </w:pPr>
            <w:r>
              <w:rPr>
                <w:rFonts w:ascii="Archivo" w:cs="Archivo" w:eastAsia="Archivo" w:hAnsi="Archivo"/>
                <w:i/>
                <w:iCs/>
                <w:sz w:val="18"/>
                <w:szCs w:val="18"/>
              </w:rPr>
              <w:t xml:space="preserve">This chapter draws the often misunderstood line between ordinary weather perils covered by standard homeowners' policy wording and extraordinary events whose coverage is, by statutory mandate, assumed by the Spanish Insurance Compensation Consortium. It examines in detail the regulatory definition of extraordinary flooding and its exclusions —which determine the practical boundary between the Consortium and the private insurer—, the judicial review of the event's classification as an indeterminate legal concept, and the practice, censured by the Supreme Court, of importing catastrophe-level intensity thresholds into private policy wording.</w:t>
            </w:r>
          </w:p>
          <w:p>
            <w:pPr>
              <w:spacing w:after="0"/>
            </w:pPr>
            <w:r>
              <w:rPr>
                <w:rFonts w:ascii="Archivo" w:cs="Archivo" w:eastAsia="Archivo" w:hAnsi="Archivo"/>
                <w:b/>
                <w:bCs/>
                <w:sz w:val="17"/>
                <w:szCs w:val="17"/>
              </w:rPr>
              <w:t xml:space="preserve">Keywords: Insurance Compensation Consortium, extraordinary risks, extraordinary flooding, atypical cyclonic storm, mandatory surcharge, indeterminate legal concept.</w:t>
            </w:r>
          </w:p>
        </w:tc>
      </w:tr>
    </w:tbl>
    <w:p>
      <w:pPr>
        <w:spacing w:after="200"/>
      </w:pPr>
    </w:p>
    <w:p>
      <w:pPr>
        <w:pStyle w:val="Heading2"/>
        <w:spacing w:after="160" w:before="400"/>
      </w:pPr>
      <w:r>
        <w:rPr>
          <w:rFonts w:ascii="Fraunces" w:cs="Fraunces" w:eastAsia="Fraunces" w:hAnsi="Fraunces"/>
          <w:b/>
          <w:bCs/>
          <w:color w:val="0A2540"/>
          <w:sz w:val="24"/>
          <w:szCs w:val="24"/>
        </w:rPr>
        <w:t xml:space="preserve">10.1. Riesgos ordinarios y riesgos extraordinarios: dos regímenes distintos</w:t>
      </w:r>
    </w:p>
    <w:p>
      <w:pPr>
        <w:spacing w:after="180" w:line="300"/>
        <w:jc w:val="both"/>
      </w:pPr>
      <w:r>
        <w:rPr>
          <w:rFonts w:ascii="Archivo" w:cs="Archivo" w:eastAsia="Archivo" w:hAnsi="Archivo"/>
          <w:sz w:val="21"/>
          <w:szCs w:val="21"/>
        </w:rPr>
        <w:t xml:space="preserve">El sistema español de cobertura de catástrofes se articula sobre una summa divisio esencial que el profesional debe explicar con claridad a cualquier asegurado: los fenómenos atmosféricos ordinarios (viento, lluvia y pedrisco de intensidad habitual) se cubren, cuando la póliza lo prevea, por la propia aseguradora privada conforme a sus condiciones generales; los acontecimientos extraordinarios legalmente tipificados —inundación extraordinaria, terremoto, tempestad ciclónica atípica, entre otros— quedan excluidos, con carácter general, del seguro privado y son asumidos, en régimen de compensación, por el Consorcio de Compensación de Seguros (CCS), entidad pública empresarial adscrita al Ministerio de Economía</w:t>
      </w:r>
      <w:r>
        <w:rPr>
          <w:rStyle w:val="FootnoteReference"/>
        </w:rPr>
        <w:footnoteReference w:id="25"/>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10.2. Fenómenos atmosféricos ordinarios en el clausulado privado</w:t>
      </w:r>
    </w:p>
    <w:p>
      <w:pPr>
        <w:spacing w:after="180" w:line="300"/>
        <w:jc w:val="both"/>
      </w:pPr>
      <w:r>
        <w:rPr>
          <w:rFonts w:ascii="Archivo" w:cs="Archivo" w:eastAsia="Archivo" w:hAnsi="Archivo"/>
          <w:sz w:val="21"/>
          <w:szCs w:val="21"/>
        </w:rPr>
        <w:t xml:space="preserve">Las condiciones generales de las pólizas de hogar suelen incorporar una garantía de «fenómenos atmosféricos» que cubre daños causados por viento, lluvia, pedrisco o nieve de intensidad ordinaria, normalmente sujeta a umbrales técnicos de intensidad (por ejemplo, viento con rachas superiores a un determinado número de kilómetros por hora, medido por estaciones meteorológicas de referencia) por debajo de los cuales el daño se reconduce a la garantía general de daños al continente y por encima de los cuales, si alcanza la calificación de «extraordinario» conforme al RDL 7/2004, la cobertura corresponde al Consorcio y no a la aseguradora privada.</w:t>
      </w:r>
    </w:p>
    <w:p>
      <w:pPr>
        <w:pStyle w:val="Heading2"/>
        <w:spacing w:after="160" w:before="400"/>
      </w:pPr>
      <w:r>
        <w:rPr>
          <w:rFonts w:ascii="Fraunces" w:cs="Fraunces" w:eastAsia="Fraunces" w:hAnsi="Fraunces"/>
          <w:b/>
          <w:bCs/>
          <w:color w:val="0A2540"/>
          <w:sz w:val="24"/>
          <w:szCs w:val="24"/>
        </w:rPr>
        <w:t xml:space="preserve">10.3. El Consorcio de Compensación de Seguros: naturaleza y ámbito</w:t>
      </w:r>
    </w:p>
    <w:p>
      <w:pPr>
        <w:spacing w:after="180" w:line="300"/>
        <w:jc w:val="both"/>
      </w:pPr>
      <w:r>
        <w:rPr>
          <w:rFonts w:ascii="Archivo" w:cs="Archivo" w:eastAsia="Archivo" w:hAnsi="Archivo"/>
          <w:sz w:val="21"/>
          <w:szCs w:val="21"/>
        </w:rPr>
        <w:t xml:space="preserve">El régimen legal del Consorcio se contiene en el Real Decreto Legislativo 7/2004, de 29 de octubre, por el que se aprueba el texto refundido del Estatuto Legal del Consorcio de Compensación de Seguros, desarrollado reglamentariamente por el Real Decreto 300/2004. Su función, en materia de riesgos extraordinarios sobre bienes, es indemnizar, en régimen de compensación (no de seguro en sentido estricto), las pérdidas derivadas de acontecimientos extraordinarios: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en materia de riesgos extraordinarios, tendrá por objeto indemnizar, en la forma establecida en este Estatuto Legal, en régimen de compensación, las pérdidas derivadas de acontecimientos extraordinarios acaecidos en España y que afecten a riesgos en ella situados. [...] A estos efectos, serán pérdidas los daños directos en las personas y en los bienes, así como [...] las pérdidas pecuniarias como consecuencia de aquéllos.</w:t>
            </w:r>
          </w:p>
        </w:tc>
      </w:tr>
    </w:tbl>
    <w:p>
      <w:pPr>
        <w:spacing w:after="180" w:line="300"/>
        <w:jc w:val="both"/>
      </w:pPr>
      <w:r>
        <w:rPr>
          <w:rFonts w:ascii="Archivo" w:cs="Archivo" w:eastAsia="Archivo" w:hAnsi="Archivo"/>
          <w:sz w:val="21"/>
          <w:szCs w:val="21"/>
        </w:rPr>
        <w:t xml:space="preserve">La cobertura del Consorcio no es, técnicamente, un seguro adicional que el asegurado contrate de forma independiente, sino un régimen de compensación financiado mediante un recargo obligatorio que se aplica automáticamente a determinadas pólizas de seguro de daños —entre ellas, las de hogar— y cuya gestión corresponde íntegramente al propio Consorcio, al margen de la aseguradora privada.</w:t>
      </w:r>
    </w:p>
    <w:p>
      <w:pPr>
        <w:pStyle w:val="Heading2"/>
        <w:spacing w:after="160" w:before="400"/>
      </w:pPr>
      <w:r>
        <w:rPr>
          <w:rFonts w:ascii="Fraunces" w:cs="Fraunces" w:eastAsia="Fraunces" w:hAnsi="Fraunces"/>
          <w:b/>
          <w:bCs/>
          <w:color w:val="0A2540"/>
          <w:sz w:val="24"/>
          <w:szCs w:val="24"/>
        </w:rPr>
        <w:t xml:space="preserve">10.4. Los acontecimientos extraordinarios legalmente tipificados</w:t>
      </w:r>
    </w:p>
    <w:p>
      <w:pPr>
        <w:spacing w:after="180" w:line="300"/>
        <w:jc w:val="both"/>
      </w:pPr>
      <w:r>
        <w:rPr>
          <w:rFonts w:ascii="Archivo" w:cs="Archivo" w:eastAsia="Archivo" w:hAnsi="Archivo"/>
          <w:sz w:val="21"/>
          <w:szCs w:val="21"/>
        </w:rPr>
        <w:t xml:space="preserve">El artículo 6.1 del Estatuto Legal enumera con carácter tasado los acontecimientos que reciben la calificación de «extraordinarios» a efectos de esta cobertura: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6.1.a)-c) del Estatuto Legal del CCS (RDL 7/2004)</w:t>
            </w:r>
          </w:p>
          <w:p>
            <w:pPr>
              <w:spacing w:after="0" w:line="280"/>
              <w:jc w:val="both"/>
            </w:pPr>
            <w:r>
              <w:rPr>
                <w:rFonts w:ascii="IBM Plex Mono" w:cs="IBM Plex Mono" w:eastAsia="IBM Plex Mono" w:hAnsi="IBM Plex Mono"/>
                <w:i/>
                <w:iCs/>
                <w:color w:val="0A2540"/>
                <w:sz w:val="18"/>
                <w:szCs w:val="18"/>
              </w:rPr>
              <w:t xml:space="preserve">Se entenderán [...] por acontecimientos extraordinarios: a) Los siguientes fenómenos de la naturaleza: terremotos y maremotos, las inundaciones extraordinarias, las erupciones volcánicas, la tempestad ciclónica atípica y las caídas de cuerpos siderales y aerolitos. b) Los ocasionados violentamente como consecuencia de terrorismo, rebelión, sedición, motín y tumulto popular. c) Hechos o actuaciones de las Fuerzas Armadas o de las Fuerzas y Cuerpos de Seguridad en tiempo de paz.</w:t>
            </w:r>
          </w:p>
        </w:tc>
      </w:tr>
    </w:tbl>
    <w:p>
      <w:pPr>
        <w:spacing w:after="180" w:line="300"/>
        <w:jc w:val="both"/>
      </w:pPr>
      <w:r>
        <w:rPr>
          <w:rFonts w:ascii="Archivo" w:cs="Archivo" w:eastAsia="Archivo" w:hAnsi="Archivo"/>
          <w:sz w:val="21"/>
          <w:szCs w:val="21"/>
        </w:rPr>
        <w:t xml:space="preserve">La calificación técnica de un episodio concreto como «inundación extraordinaria» o «tempestad ciclónica atípica» —a diferencia de una lluvia o un viento intensos pero ordinarios— corresponde en primera instancia al propio Consorcio, con arreglo a criterios técnicos e hidrológicos o meteorológicos objetivos, lo que en la práctica exige al profesional verificar, ante cada episodio de fuertes lluvias o viento, si el Consorcio ha calificado el evento como extraordinario para la zona y fecha del siniestro, dato habitualmente publicado por el propio organismo. Ahora bien, esa calificación administrativa ni agota el concepto legal ni resulta inmune al control de los tribunales, según se expone en los dos apartados siguientes.</w:t>
      </w:r>
    </w:p>
    <w:p>
      <w:pPr>
        <w:pStyle w:val="Heading3"/>
        <w:spacing w:after="120" w:before="280"/>
      </w:pPr>
      <w:r>
        <w:rPr>
          <w:rFonts w:ascii="Archivo" w:cs="Archivo" w:eastAsia="Archivo" w:hAnsi="Archivo"/>
          <w:b/>
          <w:bCs/>
          <w:color w:val="1B6DF0"/>
          <w:sz w:val="21"/>
          <w:szCs w:val="21"/>
        </w:rPr>
        <w:t xml:space="preserve">10.4.1. La definición reglamentaria de inundación extraordinaria y su frontera con el seguro privado</w:t>
      </w:r>
    </w:p>
    <w:p>
      <w:pPr>
        <w:spacing w:after="180" w:line="300"/>
        <w:jc w:val="both"/>
      </w:pPr>
      <w:r>
        <w:rPr>
          <w:rFonts w:ascii="Archivo" w:cs="Archivo" w:eastAsia="Archivo" w:hAnsi="Archivo"/>
          <w:sz w:val="21"/>
          <w:szCs w:val="21"/>
        </w:rPr>
        <w:t xml:space="preserve">El desarrollo reglamentario del Estatuto Legal precisa qué debe entenderse por cada uno de los acontecimientos extraordinarios. La definición de «inundación extraordinaria» es, con diferencia, la de mayor trascendencia práctica en el ramo de hogar, y merece transcripción literal por la precisión de sus exclusiones finales: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2.1.c) del Reglamento del seguro de riesgos extraordinarios (RD 300/2004)</w:t>
            </w:r>
          </w:p>
          <w:p>
            <w:pPr>
              <w:spacing w:after="0" w:line="280"/>
              <w:jc w:val="both"/>
            </w:pPr>
            <w:r>
              <w:rPr>
                <w:rFonts w:ascii="IBM Plex Mono" w:cs="IBM Plex Mono" w:eastAsia="IBM Plex Mono" w:hAnsi="IBM Plex Mono"/>
                <w:i/>
                <w:iCs/>
                <w:color w:val="0A2540"/>
                <w:sz w:val="18"/>
                <w:szCs w:val="18"/>
              </w:rPr>
              <w:t xml:space="preserve">Inundación extraordinaria: el anegamiento del terreno producido por la acción directa de las aguas de lluvia, las procedentes de deshielo o las de los lagos que tengan salida natural, de los ríos o rías o de cursos naturales de agua en superficie, cuando éstos se desbordan de sus cauces normales, así como los embates de mar en las costas. No se entenderá por tal la producida por aguas procedentes de presas, canales, alcantarillas, colectores y otros cauces subterráneos, construidos por el hombre, al reventarse, romperse o averiarse por hechos que no correspondan a riesgos de carácter extraordinario amparados por el Consorcio de Compensación de Seguros, ni la lluvia caída directamente sobre el riesgo asegurado, o la recogida por su cubierta o azotea, su red de desagüe o sus patios.</w:t>
            </w:r>
          </w:p>
        </w:tc>
      </w:tr>
    </w:tbl>
    <w:p>
      <w:pPr>
        <w:spacing w:after="180" w:line="300"/>
        <w:jc w:val="both"/>
      </w:pPr>
      <w:r>
        <w:rPr>
          <w:rFonts w:ascii="Archivo" w:cs="Archivo" w:eastAsia="Archivo" w:hAnsi="Archivo"/>
          <w:sz w:val="21"/>
          <w:szCs w:val="21"/>
        </w:rPr>
        <w:t xml:space="preserve">La lectura atenta de este precepto suministra el criterio de deslinde más útil de todo el capítulo, y conviene retenerlo con precisión porque decide, en la inmensa mayoría de los siniestros de lluvias intensas, a quién debe dirigirse la reclamación</w:t>
      </w:r>
      <w:r>
        <w:rPr>
          <w:rStyle w:val="FootnoteReference"/>
        </w:rPr>
        <w:footnoteReference w:id="26"/>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Corresponde al Consorcio: </w:t>
      </w:r>
      <w:r>
        <w:rPr>
          <w:rFonts w:ascii="Archivo" w:cs="Archivo" w:eastAsia="Archivo" w:hAnsi="Archivo"/>
          <w:sz w:val="21"/>
          <w:szCs w:val="21"/>
        </w:rPr>
        <w:t xml:space="preserve">el anegamiento del terreno por acción directa de las aguas de lluvia, deshielo o lagos con salida natural; el desbordamiento de ríos, rías y cursos naturales de agua en superficie; y los embates de mar en las costas.</w:t>
      </w:r>
    </w:p>
    <w:p>
      <w:pPr>
        <w:pStyle w:val="ListParagraph"/>
        <w:numPr>
          <w:ilvl w:val="0"/>
          <w:numId w:val="2"/>
        </w:numPr>
        <w:spacing w:after="100" w:line="290"/>
      </w:pPr>
      <w:r>
        <w:rPr>
          <w:rFonts w:ascii="Archivo" w:cs="Archivo" w:eastAsia="Archivo" w:hAnsi="Archivo"/>
          <w:b/>
          <w:bCs/>
          <w:sz w:val="21"/>
          <w:szCs w:val="21"/>
        </w:rPr>
        <w:t xml:space="preserve">Queda fuera del Consorcio (y, por tanto, se reconduce al seguro privado si este lo cubre): </w:t>
      </w:r>
      <w:r>
        <w:rPr>
          <w:rFonts w:ascii="Archivo" w:cs="Archivo" w:eastAsia="Archivo" w:hAnsi="Archivo"/>
          <w:sz w:val="21"/>
          <w:szCs w:val="21"/>
        </w:rPr>
        <w:t xml:space="preserve">la lluvia caída directamente sobre el riesgo asegurado o recogida por su cubierta, azotea, red de desagüe o patios; y el agua procedente de presas, canales, alcantarillas, colectores y demás cauces construidos por el hombre que revienten, se rompan o se averíen por causas no extraordinarias.</w:t>
      </w:r>
    </w:p>
    <w:p>
      <w:pPr>
        <w:spacing w:after="180" w:line="300"/>
        <w:jc w:val="both"/>
      </w:pPr>
      <w:r>
        <w:rPr>
          <w:rFonts w:ascii="Archivo" w:cs="Archivo" w:eastAsia="Archivo" w:hAnsi="Archivo"/>
          <w:sz w:val="21"/>
          <w:szCs w:val="21"/>
        </w:rPr>
        <w:t xml:space="preserve">La consecuencia práctica es de primer orden y con frecuencia se pasa por alto: en un episodio de lluvias torrenciales, los daños causados por el agua que anegó la planta baja desde la calle son cuestión del Consorcio, mientras que los daños causados en la misma vivienda por las filtraciones a través de la cubierta o por el desbordamiento del sumidero de un patio interior son cuestión de la aseguradora privada —y se reconducen, en su caso, al régimen de la garantía de daños por agua estudiada en el capítulo 8, con toda su casuística sobre vicio, desgaste y falta de mantenimiento—. Un mismo siniestro puede exigir, por tanto, dos reclamaciones simultáneas ante interlocutores distintos, y el error en la elección del destinatario es una causa frecuente de pérdida de tiempo cuando no de prescripción.</w:t>
      </w:r>
    </w:p>
    <w:p>
      <w:pPr>
        <w:pStyle w:val="Heading3"/>
        <w:spacing w:after="120" w:before="280"/>
      </w:pPr>
      <w:r>
        <w:rPr>
          <w:rFonts w:ascii="Archivo" w:cs="Archivo" w:eastAsia="Archivo" w:hAnsi="Archivo"/>
          <w:b/>
          <w:bCs/>
          <w:color w:val="1B6DF0"/>
          <w:sz w:val="21"/>
          <w:szCs w:val="21"/>
        </w:rPr>
        <w:t xml:space="preserve">10.4.2. El control judicial de la calificación del evento</w:t>
      </w:r>
    </w:p>
    <w:p>
      <w:pPr>
        <w:spacing w:after="180" w:line="300"/>
        <w:jc w:val="both"/>
      </w:pPr>
      <w:r>
        <w:rPr>
          <w:rFonts w:ascii="Archivo" w:cs="Archivo" w:eastAsia="Archivo" w:hAnsi="Archivo"/>
          <w:sz w:val="21"/>
          <w:szCs w:val="21"/>
        </w:rPr>
        <w:t xml:space="preserve">Aunque la calificación técnica inicial corresponda al Consorcio, la determinación de si un concreto episodio encaja o no en el concepto legal de acontecimiento extraordinario constituye la interpretación de un concepto jurídico indeterminado y, como tal, queda sometida al control pleno de los tribunales, que no están vinculados por el criterio administrativo. Así lo declaró la Sala Primera en un supuesto de lluvias torrenciales en el que el Consorcio negaba la existencia de «inundación» por tratarse de un inmueble situado en ladera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31 de octubre de 2007 (ROJ: STS 6939/2007; ECLI:ES:TS:2007:6939; MP: García Varela)</w:t>
            </w:r>
          </w:p>
          <w:p>
            <w:pPr>
              <w:spacing w:after="0" w:line="280"/>
              <w:jc w:val="both"/>
            </w:pPr>
            <w:r>
              <w:rPr>
                <w:rFonts w:ascii="Archivo" w:cs="Archivo" w:eastAsia="Archivo" w:hAnsi="Archivo"/>
                <w:color w:val="0A2540"/>
                <w:sz w:val="19"/>
                <w:szCs w:val="19"/>
              </w:rPr>
              <w:t xml:space="preserve">«[R]espetando la potestad reglamentaria estatal, han de ser siempre los Tribunales, ejerciendo la exclusiva potestad de juzgar, los que han de decidir si la interpretación dada por la Administración al concepto jurídico indeterminado empleado por la norma con rango de ley, se adapta a ésta y agota su contenido o, por el contrario, la contradice por limitar expresamente su ámbito, excluyendo una parcela de la realidad a través del Reglamento, cuando dicha realidad está abarcada por la Ley.»</w:t>
            </w:r>
          </w:p>
        </w:tc>
      </w:tr>
    </w:tbl>
    <w:p>
      <w:pPr>
        <w:spacing w:after="180" w:line="300"/>
        <w:jc w:val="both"/>
      </w:pPr>
      <w:r>
        <w:rPr>
          <w:rFonts w:ascii="Archivo" w:cs="Archivo" w:eastAsia="Archivo" w:hAnsi="Archivo"/>
          <w:sz w:val="21"/>
          <w:szCs w:val="21"/>
        </w:rPr>
        <w:t xml:space="preserve">La sentencia rechazó, en el caso concreto, la distinción entre «inundación» y «saturación» del terreno que se había empleado para denegar la cobertura, por su «nimiedad conceptual» y por apoyarse en una diferencia semántica no apropiada. Conviene precisar, no obstante, que la resolución aplicó la normativa entonces vigente —la Ley de 16 de diciembre de 1954, de creación del Consorcio, y el Reglamento aprobado por Real Decreto 2022/1986—, hoy sustituidas por el RDL 7/2004 y el RD 300/2004 transcrito en el apartado anterior</w:t>
      </w:r>
      <w:r>
        <w:rPr>
          <w:rStyle w:val="FootnoteReference"/>
        </w:rPr>
        <w:footnoteReference w:id="27"/>
      </w:r>
      <w:r>
        <w:rPr>
          <w:rFonts w:ascii="Archivo" w:cs="Archivo" w:eastAsia="Archivo" w:hAnsi="Archivo"/>
          <w:sz w:val="21"/>
          <w:szCs w:val="21"/>
        </w:rPr>
        <w:t xml:space="preserve">. Lo que conserva plena vigencia es la regla de fondo: el asegurado a quien se deniega la cobertura por una calificación técnica desfavorable del episodio no se enfrenta a una decisión inatacable, sino a un criterio administrativo revisable en sede judicial.</w:t>
      </w:r>
    </w:p>
    <w:p>
      <w:pPr>
        <w:pStyle w:val="Heading2"/>
        <w:spacing w:after="160" w:before="400"/>
      </w:pPr>
      <w:r>
        <w:rPr>
          <w:rFonts w:ascii="Fraunces" w:cs="Fraunces" w:eastAsia="Fraunces" w:hAnsi="Fraunces"/>
          <w:b/>
          <w:bCs/>
          <w:color w:val="0A2540"/>
          <w:sz w:val="24"/>
          <w:szCs w:val="24"/>
        </w:rPr>
        <w:t xml:space="preserve">10.5. Presupuestos y límites de la cobertura del Consorcio</w:t>
      </w:r>
    </w:p>
    <w:p>
      <w:pPr>
        <w:spacing w:after="180" w:line="300"/>
        <w:jc w:val="both"/>
      </w:pPr>
      <w:r>
        <w:rPr>
          <w:rFonts w:ascii="Archivo" w:cs="Archivo" w:eastAsia="Archivo" w:hAnsi="Archivo"/>
          <w:sz w:val="21"/>
          <w:szCs w:val="21"/>
        </w:rPr>
        <w:t xml:space="preserve">La obligación del Consorcio de indemnizar un siniestro derivado de un acontecimiento extraordinario está sujeta a presupuestos precisos que conviene verificar sistemáticamente: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8.1 y 8.2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estará obligado a satisfacer las indemnizaciones derivadas de siniestros producidos por acontecimientos extraordinarios a los asegurados que hayan satisfecho los correspondientes recargos en favor de aquel y se encuentren en alguna de las situaciones siguientes: a) Que el riesgo extraordinario cubierto por el Consorcio no esté amparado por póliza de seguro. b) Que, aun estando amparado por póliza de seguro, las obligaciones de la entidad aseguradora no pudieran ser cumplidas por haber sido declarada judicialmente en concurso [...]. La obligación del Consorcio amparará necesaria y exclusivamente a las mismas personas o bienes y por las mismas sumas aseguradas que se hayan establecido en las pólizas de seguro [...]. Esta obligación se limitará a las indemnizaciones que proceda abonar conforme a la ley española de contrato de seguro.</w:t>
            </w:r>
          </w:p>
        </w:tc>
      </w:tr>
    </w:tbl>
    <w:p>
      <w:pPr>
        <w:pStyle w:val="ListParagraph"/>
        <w:numPr>
          <w:ilvl w:val="0"/>
          <w:numId w:val="2"/>
        </w:numPr>
        <w:spacing w:after="100" w:line="290"/>
      </w:pPr>
      <w:r>
        <w:rPr>
          <w:rFonts w:ascii="Archivo" w:cs="Archivo" w:eastAsia="Archivo" w:hAnsi="Archivo"/>
          <w:b/>
          <w:bCs/>
          <w:sz w:val="21"/>
          <w:szCs w:val="21"/>
        </w:rPr>
        <w:t xml:space="preserve">Existencia de póliza de seguro de daños vigente: </w:t>
      </w:r>
      <w:r>
        <w:rPr>
          <w:rFonts w:ascii="Archivo" w:cs="Archivo" w:eastAsia="Archivo" w:hAnsi="Archivo"/>
          <w:sz w:val="21"/>
          <w:szCs w:val="21"/>
        </w:rPr>
        <w:t xml:space="preserve">el Consorcio actúa, con carácter general, como complemento de una póliza privada de daños que incluya el recargo obligatorio; un inmueble sin ningún seguro de daños contratado no queda, con carácter general, amparado por el Consorcio para riesgos extraordinarios sobre bienes.</w:t>
      </w:r>
    </w:p>
    <w:p>
      <w:pPr>
        <w:pStyle w:val="ListParagraph"/>
        <w:numPr>
          <w:ilvl w:val="0"/>
          <w:numId w:val="2"/>
        </w:numPr>
        <w:spacing w:after="100" w:line="290"/>
      </w:pPr>
      <w:r>
        <w:rPr>
          <w:rFonts w:ascii="Archivo" w:cs="Archivo" w:eastAsia="Archivo" w:hAnsi="Archivo"/>
          <w:b/>
          <w:bCs/>
          <w:sz w:val="21"/>
          <w:szCs w:val="21"/>
        </w:rPr>
        <w:t xml:space="preserve">Pago del recargo: </w:t>
      </w:r>
      <w:r>
        <w:rPr>
          <w:rFonts w:ascii="Archivo" w:cs="Archivo" w:eastAsia="Archivo" w:hAnsi="Archivo"/>
          <w:sz w:val="21"/>
          <w:szCs w:val="21"/>
        </w:rPr>
        <w:t xml:space="preserve">el recargo se incorpora automáticamente al recibo de la póliza privada por mandato legal, sin que el tomador pueda, en la práctica, excluirlo respecto de los riesgos y bienes amparados por la póliza.</w:t>
      </w:r>
    </w:p>
    <w:p>
      <w:pPr>
        <w:pStyle w:val="ListParagraph"/>
        <w:numPr>
          <w:ilvl w:val="0"/>
          <w:numId w:val="2"/>
        </w:numPr>
        <w:spacing w:after="100" w:line="290"/>
      </w:pPr>
      <w:r>
        <w:rPr>
          <w:rFonts w:ascii="Archivo" w:cs="Archivo" w:eastAsia="Archivo" w:hAnsi="Archivo"/>
          <w:b/>
          <w:bCs/>
          <w:sz w:val="21"/>
          <w:szCs w:val="21"/>
        </w:rPr>
        <w:t xml:space="preserve">Límite cuantitativo: </w:t>
      </w:r>
      <w:r>
        <w:rPr>
          <w:rFonts w:ascii="Archivo" w:cs="Archivo" w:eastAsia="Archivo" w:hAnsi="Archivo"/>
          <w:sz w:val="21"/>
          <w:szCs w:val="21"/>
        </w:rPr>
        <w:t xml:space="preserve">la indemnización del Consorcio se limita a las mismas personas, bienes y sumas aseguradas que figuren en la póliza privada subyacente, sin que pueda exceder dichos límites.</w:t>
      </w:r>
    </w:p>
    <w:p>
      <w:pPr>
        <w:pStyle w:val="Heading2"/>
        <w:spacing w:after="160" w:before="400"/>
      </w:pPr>
      <w:r>
        <w:rPr>
          <w:rFonts w:ascii="Fraunces" w:cs="Fraunces" w:eastAsia="Fraunces" w:hAnsi="Fraunces"/>
          <w:b/>
          <w:bCs/>
          <w:color w:val="0A2540"/>
          <w:sz w:val="24"/>
          <w:szCs w:val="24"/>
        </w:rPr>
        <w:t xml:space="preserve">10.6. Riesgos expresamente excluidos de la cobertura del Consorcio</w:t>
      </w:r>
    </w:p>
    <w:p>
      <w:pPr>
        <w:spacing w:after="180" w:line="300"/>
        <w:jc w:val="both"/>
      </w:pPr>
      <w:r>
        <w:rPr>
          <w:rFonts w:ascii="Archivo" w:cs="Archivo" w:eastAsia="Archivo" w:hAnsi="Archivo"/>
          <w:sz w:val="21"/>
          <w:szCs w:val="21"/>
        </w:rPr>
        <w:t xml:space="preserve">El artículo 6.3 del Estatuto Legal excluye expresamente determinados supuestos, de particular relevancia práctica en el ramo de hogar:</w:t>
      </w:r>
    </w:p>
    <w:p>
      <w:pPr>
        <w:pStyle w:val="ListParagraph"/>
        <w:numPr>
          <w:ilvl w:val="0"/>
          <w:numId w:val="2"/>
        </w:numPr>
        <w:spacing w:after="100" w:line="290"/>
      </w:pPr>
      <w:r>
        <w:rPr>
          <w:rFonts w:ascii="Archivo" w:cs="Archivo" w:eastAsia="Archivo" w:hAnsi="Archivo"/>
          <w:b/>
          <w:bCs/>
          <w:sz w:val="21"/>
          <w:szCs w:val="21"/>
        </w:rPr>
        <w:t xml:space="preserve">Vicio o defecto propio de la cosa asegurada: </w:t>
      </w:r>
      <w:r>
        <w:rPr>
          <w:rFonts w:ascii="Archivo" w:cs="Archivo" w:eastAsia="Archivo" w:hAnsi="Archivo"/>
          <w:sz w:val="21"/>
          <w:szCs w:val="21"/>
        </w:rPr>
        <w:t xml:space="preserve">un daño causado por defectos constructivos previos, aunque coincida temporalmente con un episodio de lluvias intensas, no queda amparado por esta vía.</w:t>
      </w:r>
    </w:p>
    <w:p>
      <w:pPr>
        <w:pStyle w:val="ListParagraph"/>
        <w:numPr>
          <w:ilvl w:val="0"/>
          <w:numId w:val="2"/>
        </w:numPr>
        <w:spacing w:after="100" w:line="290"/>
      </w:pPr>
      <w:r>
        <w:rPr>
          <w:rFonts w:ascii="Archivo" w:cs="Archivo" w:eastAsia="Archivo" w:hAnsi="Archivo"/>
          <w:b/>
          <w:bCs/>
          <w:sz w:val="21"/>
          <w:szCs w:val="21"/>
        </w:rPr>
        <w:t xml:space="preserve">Mera acción del tiempo o agentes atmosféricos ordinarios: </w:t>
      </w:r>
      <w:r>
        <w:rPr>
          <w:rFonts w:ascii="Archivo" w:cs="Archivo" w:eastAsia="Archivo" w:hAnsi="Archivo"/>
          <w:sz w:val="21"/>
          <w:szCs w:val="21"/>
        </w:rPr>
        <w:t xml:space="preserve">distintos de los fenómenos de la naturaleza expresamente tipificados como extraordinarios, lo que reconduce estos daños a la cobertura ordinaria de la póliza privada, si existe.</w:t>
      </w:r>
    </w:p>
    <w:p>
      <w:pPr>
        <w:pStyle w:val="ListParagraph"/>
        <w:numPr>
          <w:ilvl w:val="0"/>
          <w:numId w:val="2"/>
        </w:numPr>
        <w:spacing w:after="100" w:line="290"/>
      </w:pPr>
      <w:r>
        <w:rPr>
          <w:rFonts w:ascii="Archivo" w:cs="Archivo" w:eastAsia="Archivo" w:hAnsi="Archivo"/>
          <w:b/>
          <w:bCs/>
          <w:sz w:val="21"/>
          <w:szCs w:val="21"/>
        </w:rPr>
        <w:t xml:space="preserve">Siniestros no indemnizables conforme a la LCS: </w:t>
      </w:r>
      <w:r>
        <w:rPr>
          <w:rFonts w:ascii="Archivo" w:cs="Archivo" w:eastAsia="Archivo" w:hAnsi="Archivo"/>
          <w:sz w:val="21"/>
          <w:szCs w:val="21"/>
        </w:rPr>
        <w:t xml:space="preserve">el Consorcio no amplía el régimen causal de la LCS; si un daño no sería indemnizable por un asegurador privado conforme a la Ley (por ejemplo, por dolo del asegurado), tampoco lo es por el Consorcio.</w:t>
      </w:r>
    </w:p>
    <w:p>
      <w:pPr>
        <w:pStyle w:val="Heading2"/>
        <w:spacing w:after="160" w:before="400"/>
      </w:pPr>
      <w:r>
        <w:rPr>
          <w:rFonts w:ascii="Fraunces" w:cs="Fraunces" w:eastAsia="Fraunces" w:hAnsi="Fraunces"/>
          <w:b/>
          <w:bCs/>
          <w:color w:val="0A2540"/>
          <w:sz w:val="24"/>
          <w:szCs w:val="24"/>
        </w:rPr>
        <w:t xml:space="preserve">10.7. Procedimiento de reclamación ante el Consorcio</w:t>
      </w:r>
    </w:p>
    <w:p>
      <w:pPr>
        <w:spacing w:after="180" w:line="300"/>
        <w:jc w:val="both"/>
      </w:pPr>
      <w:r>
        <w:rPr>
          <w:rFonts w:ascii="Archivo" w:cs="Archivo" w:eastAsia="Archivo" w:hAnsi="Archivo"/>
          <w:sz w:val="21"/>
          <w:szCs w:val="21"/>
        </w:rPr>
        <w:t xml:space="preserve">Cuando un siniestro se atribuye a un acontecimiento extraordinario, el asegurado debe dirigir su reclamación directamente al Consorcio de Compensación de Seguros, no a su aseguradora privada, sin perjuicio de que esta última pueda —y en la práctica suela— colaborar en la tramitación inicial del expediente. El Consorcio dispone de su propio cuerpo de peritos y de un procedimiento de valoración específico, regulado reglamentariamente, cuyos plazos y trámites, aunque inspirados en el régimen general de la LCS, presentan especialidades administrativas propias que exceden el objeto de esta obra y que conviene verificar en cada caso en la normativa reglamentaria y en la información oficial del propio organismo.</w:t>
      </w:r>
    </w:p>
    <w:p>
      <w:pPr>
        <w:pStyle w:val="Heading3"/>
        <w:spacing w:after="120" w:before="280"/>
      </w:pPr>
      <w:r>
        <w:rPr>
          <w:rFonts w:ascii="Archivo" w:cs="Archivo" w:eastAsia="Archivo" w:hAnsi="Archivo"/>
          <w:b/>
          <w:bCs/>
          <w:color w:val="1B6DF0"/>
          <w:sz w:val="21"/>
          <w:szCs w:val="21"/>
        </w:rPr>
        <w:t xml:space="preserve">10.7.1. Los umbrales de intensidad importados al clausulado privado: la cláusula de los 40 litros</w:t>
      </w:r>
    </w:p>
    <w:p>
      <w:pPr>
        <w:spacing w:after="180" w:line="300"/>
        <w:jc w:val="both"/>
      </w:pPr>
      <w:r>
        <w:rPr>
          <w:rFonts w:ascii="Archivo" w:cs="Archivo" w:eastAsia="Archivo" w:hAnsi="Archivo"/>
          <w:sz w:val="21"/>
          <w:szCs w:val="21"/>
        </w:rPr>
        <w:t xml:space="preserve">Existe una práctica de redacción, muy extendida en el ramo de hogar, que merece un tratamiento específico por su elevada litigiosidad: la aseguradora privada, al definir en sus condiciones generales qué considera «lluvia anormal» a efectos de su propia garantía de fenómenos atmosféricos, importa los umbrales técnicos de intensidad que el Reglamento del Consorcio emplea para definir la tempestad ciclónica atípica —señaladamente, los 40 litros por metro cuadrado y hora y los 84 kilómetros por hora de viento del art. 2.1.e) del RD 300/2004—. El efecto de esa importación es demoledor para el asegurado: si solo se cubre la lluvia que supere el umbral de lo extraordinario, y lo extraordinario corresponde por ley al Consorcio, la garantía privada de lluvia queda materialmente vacía de contenido, pues opera únicamente en un ámbito en el que quien responde es otro.</w:t>
      </w:r>
    </w:p>
    <w:p>
      <w:pPr>
        <w:spacing w:after="180" w:line="300"/>
        <w:jc w:val="both"/>
      </w:pPr>
      <w:r>
        <w:rPr>
          <w:rFonts w:ascii="Archivo" w:cs="Archivo" w:eastAsia="Archivo" w:hAnsi="Archivo"/>
          <w:sz w:val="21"/>
          <w:szCs w:val="21"/>
        </w:rPr>
        <w:t xml:space="preserve">La Sala Primera ha resuelto expresamente esta cuestión, y lo ha hecho en un supuesto de póliza multirriesgo familia-hogar, calificando la cláusula como limitativa e inoponible por no haber sido destacada ni específicamente aceptada: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22 de marzo de 2021 (ROJ: STS 1081/2021; ECLI:ES:TS:2021:1081; MP: Arroyo Fiestas)</w:t>
            </w:r>
          </w:p>
          <w:p>
            <w:pPr>
              <w:spacing w:after="0" w:line="280"/>
              <w:jc w:val="both"/>
            </w:pPr>
            <w:r>
              <w:rPr>
                <w:rFonts w:ascii="Archivo" w:cs="Archivo" w:eastAsia="Archivo" w:hAnsi="Archivo"/>
                <w:color w:val="0A2540"/>
                <w:sz w:val="19"/>
                <w:szCs w:val="19"/>
              </w:rPr>
              <w:t xml:space="preserve">«[N]os encontramos ante una cláusula limitativa en cuanto restringe o modifica el derecho del asegurado, generando confusión en el mismo, hasta el punto de que razonablemente podría creer que estaba acogido a la cobertura del riesgo por lluvia, cuando de forma poco transparente se incluía una condición especial en la página 14 de la póliza, que alteraba el contenido usual de este tipo de contratos, alterando las expectativas razonables del asegurado, confiado en el texto de las condiciones particulares de la póliza. Este tipo de cláusula que calificamos como limitativa, restringe de forma esencial, inesperada y exorbitante el objeto del seguro, la cual no respeta el dictado del art. 3 de la LCS, pues no fue destacada ni aceptada expresamente.»</w:t>
            </w:r>
          </w:p>
        </w:tc>
      </w:tr>
    </w:tbl>
    <w:p>
      <w:pPr>
        <w:spacing w:after="180" w:line="300"/>
        <w:jc w:val="both"/>
      </w:pPr>
      <w:r>
        <w:rPr>
          <w:rFonts w:ascii="Archivo" w:cs="Archivo" w:eastAsia="Archivo" w:hAnsi="Archivo"/>
          <w:sz w:val="21"/>
          <w:szCs w:val="21"/>
        </w:rPr>
        <w:t xml:space="preserve">El razonamiento de la sentencia es un ejemplo de manual de la metodología expuesta en los capítulos 1 y 5: las condiciones particulares anunciaban la cobertura de los daños por lluvia, viento, pedrisco y nieve con sumas aseguradas concretas y sin exclusión alguna, mientras que una condición especial situada en la página catorce del documento restringía esa cobertura a los episodios que superasen umbrales cuantitativos propios de lo catastrófico. La Sala aprecia el carácter sorpresivo por el contraste entre lo anunciado y lo efectivamente cubierto, y no por la mera ubicación de la cláusula</w:t>
      </w:r>
      <w:r>
        <w:rPr>
          <w:rStyle w:val="FootnoteReference"/>
        </w:rPr>
        <w:footnoteReference w:id="28"/>
      </w:r>
      <w:r>
        <w:rPr>
          <w:rFonts w:ascii="Archivo" w:cs="Archivo" w:eastAsia="Archivo" w:hAnsi="Archivo"/>
          <w:sz w:val="21"/>
          <w:szCs w:val="21"/>
        </w:rPr>
        <w:t xml:space="preserve">. Se trata, en definitiva, de una de las resoluciones de mayor rendimiento argumental de todo el ramo, y de cita obligada siempre que una aseguradora deniegue un siniestro de lluvia o viento invocando umbrales de intensidad no destacados ni firmados.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siniestro atmosférico de entidad</w:t>
            </w:r>
          </w:p>
          <w:p>
            <w:pPr>
              <w:pStyle w:val="ListParagraph"/>
              <w:numPr>
                <w:ilvl w:val="0"/>
                <w:numId w:val="2"/>
              </w:numPr>
              <w:spacing w:after="80" w:line="280"/>
            </w:pPr>
            <w:r>
              <w:rPr>
                <w:rFonts w:ascii="Archivo" w:cs="Archivo" w:eastAsia="Archivo" w:hAnsi="Archivo"/>
                <w:sz w:val="19"/>
                <w:szCs w:val="19"/>
              </w:rPr>
              <w:t xml:space="preserve">Verificar si el Consorcio ha calificado oficialmente el episodio como «acontecimiento extraordinario» para la zona y fecha del siniestro, antes de dirigir la reclamación a la aseguradora privada o al propio Consorcio.</w:t>
            </w:r>
          </w:p>
          <w:p>
            <w:pPr>
              <w:pStyle w:val="ListParagraph"/>
              <w:numPr>
                <w:ilvl w:val="0"/>
                <w:numId w:val="2"/>
              </w:numPr>
              <w:spacing w:after="80" w:line="280"/>
            </w:pPr>
            <w:r>
              <w:rPr>
                <w:rFonts w:ascii="Archivo" w:cs="Archivo" w:eastAsia="Archivo" w:hAnsi="Archivo"/>
                <w:sz w:val="19"/>
                <w:szCs w:val="19"/>
              </w:rPr>
              <w:t xml:space="preserve">Identificar el mecanismo físico del daño, y no solo la intensidad del episodio: anegamiento del terreno y desbordamiento de cauces naturales son cuestión del Consorcio; la lluvia recogida por cubierta, azotea, red de desagüe o patios queda fuera de su ámbito (art. 2.1.c) RD 300/2004) y se reconduce al seguro privado.</w:t>
            </w:r>
          </w:p>
          <w:p>
            <w:pPr>
              <w:pStyle w:val="ListParagraph"/>
              <w:numPr>
                <w:ilvl w:val="0"/>
                <w:numId w:val="2"/>
              </w:numPr>
              <w:spacing w:after="80" w:line="280"/>
            </w:pPr>
            <w:r>
              <w:rPr>
                <w:rFonts w:ascii="Archivo" w:cs="Archivo" w:eastAsia="Archivo" w:hAnsi="Archivo"/>
                <w:sz w:val="19"/>
                <w:szCs w:val="19"/>
              </w:rPr>
              <w:t xml:space="preserve">Valorar si un mismo episodio ha generado daños de ambas clases en el mismo inmueble, en cuyo caso procede una doble reclamación simultánea ante Consorcio y aseguradora privada.</w:t>
            </w:r>
          </w:p>
          <w:p>
            <w:pPr>
              <w:pStyle w:val="ListParagraph"/>
              <w:numPr>
                <w:ilvl w:val="0"/>
                <w:numId w:val="2"/>
              </w:numPr>
              <w:spacing w:after="80" w:line="280"/>
            </w:pPr>
            <w:r>
              <w:rPr>
                <w:rFonts w:ascii="Archivo" w:cs="Archivo" w:eastAsia="Archivo" w:hAnsi="Archivo"/>
                <w:sz w:val="19"/>
                <w:szCs w:val="19"/>
              </w:rPr>
              <w:t xml:space="preserve">Si la calificación técnica del Consorcio es desfavorable, recordar que se trata de la interpretación de un concepto jurídico indeterminado sometida al control pleno de los tribunales (STS 6939/2007, ROJ: STS 6939/2007), y no de una decisión inatacable.</w:t>
            </w:r>
          </w:p>
          <w:p>
            <w:pPr>
              <w:pStyle w:val="ListParagraph"/>
              <w:numPr>
                <w:ilvl w:val="0"/>
                <w:numId w:val="2"/>
              </w:numPr>
              <w:spacing w:after="80" w:line="280"/>
            </w:pPr>
            <w:r>
              <w:rPr>
                <w:rFonts w:ascii="Archivo" w:cs="Archivo" w:eastAsia="Archivo" w:hAnsi="Archivo"/>
                <w:sz w:val="19"/>
                <w:szCs w:val="19"/>
              </w:rPr>
              <w:t xml:space="preserve">Ante la denegación de un siniestro de lluvia o viento por no alcanzarse un umbral de intensidad fijado en condiciones generales, examinar si dicho umbral fue destacado y específicamente aceptado: de no serlo, es cláusula limitativa inoponible (STS 1081/2021, ROJ: STS 1081/2021).</w:t>
            </w:r>
          </w:p>
          <w:p>
            <w:pPr>
              <w:pStyle w:val="ListParagraph"/>
              <w:numPr>
                <w:ilvl w:val="0"/>
                <w:numId w:val="2"/>
              </w:numPr>
              <w:spacing w:after="80" w:line="280"/>
            </w:pPr>
            <w:r>
              <w:rPr>
                <w:rFonts w:ascii="Archivo" w:cs="Archivo" w:eastAsia="Archivo" w:hAnsi="Archivo"/>
                <w:sz w:val="19"/>
                <w:szCs w:val="19"/>
              </w:rPr>
              <w:t xml:space="preserve">Comprobar que la póliza de hogar del cliente está vigente y al corriente de pago (incluido el recargo del Consorcio) en la fecha del siniestro.</w:t>
            </w:r>
          </w:p>
          <w:p>
            <w:pPr>
              <w:pStyle w:val="ListParagraph"/>
              <w:numPr>
                <w:ilvl w:val="0"/>
                <w:numId w:val="2"/>
              </w:numPr>
              <w:spacing w:after="80" w:line="280"/>
            </w:pPr>
            <w:r>
              <w:rPr>
                <w:rFonts w:ascii="Archivo" w:cs="Archivo" w:eastAsia="Archivo" w:hAnsi="Archivo"/>
                <w:sz w:val="19"/>
                <w:szCs w:val="19"/>
              </w:rPr>
              <w:t xml:space="preserve">Distinguir con prueba pericial entre el daño atribuible al fenómeno extraordinario y el atribuible a un vicio o defecto constructivo preexistente, expresamente excluido de la cobertura del Consorcio.</w:t>
            </w:r>
          </w:p>
          <w:p>
            <w:pPr>
              <w:pStyle w:val="ListParagraph"/>
              <w:numPr>
                <w:ilvl w:val="0"/>
                <w:numId w:val="2"/>
              </w:numPr>
              <w:spacing w:after="80" w:line="280"/>
            </w:pPr>
            <w:r>
              <w:rPr>
                <w:rFonts w:ascii="Archivo" w:cs="Archivo" w:eastAsia="Archivo" w:hAnsi="Archivo"/>
                <w:sz w:val="19"/>
                <w:szCs w:val="19"/>
              </w:rPr>
              <w:t xml:space="preserve">Tener presente que la indemnización del Consorcio se limita a los mismos bienes y sumas aseguradas de la póliza privada subyacente: revisar la suficiencia de dichas sumas es tan relevante como en el seguro ordinario.</w:t>
            </w:r>
          </w:p>
        </w:tc>
      </w:tr>
    </w:tbl>
    <w:p>
      <w:pPr>
        <w:pStyle w:val="Heading2"/>
        <w:spacing w:after="160" w:before="400"/>
      </w:pPr>
      <w:r>
        <w:rPr>
          <w:rFonts w:ascii="Fraunces" w:cs="Fraunces" w:eastAsia="Fraunces" w:hAnsi="Fraunces"/>
          <w:b/>
          <w:bCs/>
          <w:color w:val="0A2540"/>
          <w:sz w:val="24"/>
          <w:szCs w:val="24"/>
        </w:rPr>
        <w:t xml:space="preserve">10.9.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cobertura de catástrofes</w:t>
            </w:r>
          </w:p>
          <w:p>
            <w:pPr>
              <w:pStyle w:val="ListParagraph"/>
              <w:numPr>
                <w:ilvl w:val="0"/>
                <w:numId w:val="2"/>
              </w:numPr>
              <w:spacing w:after="80" w:line="280"/>
            </w:pPr>
            <w:r>
              <w:rPr>
                <w:rFonts w:ascii="Archivo" w:cs="Archivo" w:eastAsia="Archivo" w:hAnsi="Archivo"/>
                <w:sz w:val="19"/>
                <w:szCs w:val="19"/>
              </w:rPr>
              <w:t xml:space="preserve">Si su vivienda sufre daños por una inundación, un terremoto o un temporal de gran intensidad, es posible que la reclamación deba dirigirse al Consorcio de Compensación de Seguros y no (solo) a su aseguradora habitual.</w:t>
            </w:r>
          </w:p>
          <w:p>
            <w:pPr>
              <w:pStyle w:val="ListParagraph"/>
              <w:numPr>
                <w:ilvl w:val="0"/>
                <w:numId w:val="2"/>
              </w:numPr>
              <w:spacing w:after="80" w:line="280"/>
            </w:pPr>
            <w:r>
              <w:rPr>
                <w:rFonts w:ascii="Archivo" w:cs="Archivo" w:eastAsia="Archivo" w:hAnsi="Archivo"/>
                <w:sz w:val="19"/>
                <w:szCs w:val="19"/>
              </w:rPr>
              <w:t xml:space="preserve">El recargo del Consorcio ya está incluido en el recibo de su seguro de hogar: no es una contratación adicional ni puede excluirla si su póliza cubre los bienes correspondientes.</w:t>
            </w:r>
          </w:p>
          <w:p>
            <w:pPr>
              <w:pStyle w:val="ListParagraph"/>
              <w:numPr>
                <w:ilvl w:val="0"/>
                <w:numId w:val="2"/>
              </w:numPr>
              <w:spacing w:after="80" w:line="280"/>
            </w:pPr>
            <w:r>
              <w:rPr>
                <w:rFonts w:ascii="Archivo" w:cs="Archivo" w:eastAsia="Archivo" w:hAnsi="Archivo"/>
                <w:sz w:val="19"/>
                <w:szCs w:val="19"/>
              </w:rPr>
              <w:t xml:space="preserve">Guarde el recibo de su póliza y compruebe que está al corriente de pago: es requisito para la cobertura del Consorcio.</w:t>
            </w:r>
          </w:p>
          <w:p>
            <w:pPr>
              <w:pStyle w:val="ListParagraph"/>
              <w:numPr>
                <w:ilvl w:val="0"/>
                <w:numId w:val="2"/>
              </w:numPr>
              <w:spacing w:after="80" w:line="280"/>
            </w:pPr>
            <w:r>
              <w:rPr>
                <w:rFonts w:ascii="Archivo" w:cs="Archivo" w:eastAsia="Archivo" w:hAnsi="Archivo"/>
                <w:sz w:val="19"/>
                <w:szCs w:val="19"/>
              </w:rPr>
              <w:t xml:space="preserve">La indemnización del Consorcio nunca superará la suma asegurada de su propia póliza: si su vivienda está infraasegurada, esa limitación también le afectará en un siniestro extraordinario.</w:t>
            </w:r>
          </w:p>
          <w:p>
            <w:pPr>
              <w:pStyle w:val="ListParagraph"/>
              <w:numPr>
                <w:ilvl w:val="0"/>
                <w:numId w:val="2"/>
              </w:numPr>
              <w:spacing w:after="80" w:line="280"/>
            </w:pPr>
            <w:r>
              <w:rPr>
                <w:rFonts w:ascii="Archivo" w:cs="Archivo" w:eastAsia="Archivo" w:hAnsi="Archivo"/>
                <w:sz w:val="19"/>
                <w:szCs w:val="19"/>
              </w:rPr>
              <w:t xml:space="preserve">No todo el daño de un mismo temporal corre a cargo del mismo pagador: el agua que entró desde la calle anegando el terreno suele ser cuestión del Consorcio, mientras que las filtraciones por el tejado o el desbordamiento del sumidero de un patio son cuestión de su aseguradora. Puede ser necesario reclamar a los dos.</w:t>
            </w:r>
          </w:p>
          <w:p>
            <w:pPr>
              <w:pStyle w:val="ListParagraph"/>
              <w:numPr>
                <w:ilvl w:val="0"/>
                <w:numId w:val="2"/>
              </w:numPr>
              <w:spacing w:after="80" w:line="280"/>
            </w:pPr>
            <w:r>
              <w:rPr>
                <w:rFonts w:ascii="Archivo" w:cs="Archivo" w:eastAsia="Archivo" w:hAnsi="Archivo"/>
                <w:sz w:val="19"/>
                <w:szCs w:val="19"/>
              </w:rPr>
              <w:t xml:space="preserve">Si su aseguradora le deniega un siniestro de lluvia o viento porque «no se alcanzaron los litros o los kilómetros por hora exigidos», compruebe si esa condición estaba destacada y firmada por usted: si no lo estaba, hay jurisprudencia del Tribunal Supremo que la considera inoponible.</w:t>
            </w:r>
          </w:p>
        </w:tc>
      </w:tr>
    </w:tbl>
    <w:p>
      <w:pPr>
        <w:pStyle w:val="Heading2"/>
        <w:spacing w:after="160" w:before="400"/>
      </w:pPr>
      <w:r>
        <w:rPr>
          <w:rFonts w:ascii="Fraunces" w:cs="Fraunces" w:eastAsia="Fraunces" w:hAnsi="Fraunces"/>
          <w:b/>
          <w:bCs/>
          <w:color w:val="0A2540"/>
          <w:sz w:val="24"/>
          <w:szCs w:val="24"/>
        </w:rPr>
        <w:t xml:space="preserve">10.10. Checklist: seguro privado o Consorcio</w:t>
      </w:r>
    </w:p>
    <w:p>
      <w:pPr>
        <w:pStyle w:val="ListParagraph"/>
        <w:numPr>
          <w:ilvl w:val="0"/>
          <w:numId w:val="2"/>
        </w:numPr>
        <w:spacing w:after="100" w:line="290"/>
      </w:pPr>
      <w:r>
        <w:rPr>
          <w:rFonts w:ascii="Archivo" w:cs="Archivo" w:eastAsia="Archivo" w:hAnsi="Archivo"/>
          <w:sz w:val="21"/>
          <w:szCs w:val="21"/>
        </w:rPr>
        <w:t xml:space="preserve">1. ¿El fenómeno ha sido calificado oficialmente como acontecimiento extraordinario?</w:t>
      </w:r>
    </w:p>
    <w:p>
      <w:pPr>
        <w:pStyle w:val="ListParagraph"/>
        <w:numPr>
          <w:ilvl w:val="0"/>
          <w:numId w:val="2"/>
        </w:numPr>
        <w:spacing w:after="100" w:line="290"/>
      </w:pPr>
      <w:r>
        <w:rPr>
          <w:rFonts w:ascii="Archivo" w:cs="Archivo" w:eastAsia="Archivo" w:hAnsi="Archivo"/>
          <w:sz w:val="21"/>
          <w:szCs w:val="21"/>
        </w:rPr>
        <w:t xml:space="preserve">2. ¿Cuál fue el mecanismo físico del daño: anegamiento del terreno y desbordamiento de cauce natural (Consorcio), o lluvia recogida por cubierta, azotea, desagües o patios (seguro privado)?</w:t>
      </w:r>
    </w:p>
    <w:p>
      <w:pPr>
        <w:pStyle w:val="ListParagraph"/>
        <w:numPr>
          <w:ilvl w:val="0"/>
          <w:numId w:val="2"/>
        </w:numPr>
        <w:spacing w:after="100" w:line="290"/>
      </w:pPr>
      <w:r>
        <w:rPr>
          <w:rFonts w:ascii="Archivo" w:cs="Archivo" w:eastAsia="Archivo" w:hAnsi="Archivo"/>
          <w:sz w:val="21"/>
          <w:szCs w:val="21"/>
        </w:rPr>
        <w:t xml:space="preserve">3. ¿Ha producido el mismo episodio daños de ambas clases, que exijan reclamación simultánea ante los dos interlocutores?</w:t>
      </w:r>
    </w:p>
    <w:p>
      <w:pPr>
        <w:pStyle w:val="ListParagraph"/>
        <w:numPr>
          <w:ilvl w:val="0"/>
          <w:numId w:val="2"/>
        </w:numPr>
        <w:spacing w:after="100" w:line="290"/>
      </w:pPr>
      <w:r>
        <w:rPr>
          <w:rFonts w:ascii="Archivo" w:cs="Archivo" w:eastAsia="Archivo" w:hAnsi="Archivo"/>
          <w:sz w:val="21"/>
          <w:szCs w:val="21"/>
        </w:rPr>
        <w:t xml:space="preserve">4. ¿La póliza de hogar estaba vigente y al corriente de pago del recargo en la fecha del siniestro?</w:t>
      </w:r>
    </w:p>
    <w:p>
      <w:pPr>
        <w:pStyle w:val="ListParagraph"/>
        <w:numPr>
          <w:ilvl w:val="0"/>
          <w:numId w:val="2"/>
        </w:numPr>
        <w:spacing w:after="100" w:line="290"/>
      </w:pPr>
      <w:r>
        <w:rPr>
          <w:rFonts w:ascii="Archivo" w:cs="Archivo" w:eastAsia="Archivo" w:hAnsi="Archivo"/>
          <w:sz w:val="21"/>
          <w:szCs w:val="21"/>
        </w:rPr>
        <w:t xml:space="preserve">5. ¿El daño obedece al fenómeno extraordinario o a un vicio/defecto constructivo preexistente?</w:t>
      </w:r>
    </w:p>
    <w:p>
      <w:pPr>
        <w:pStyle w:val="ListParagraph"/>
        <w:numPr>
          <w:ilvl w:val="0"/>
          <w:numId w:val="2"/>
        </w:numPr>
        <w:spacing w:after="100" w:line="290"/>
      </w:pPr>
      <w:r>
        <w:rPr>
          <w:rFonts w:ascii="Archivo" w:cs="Archivo" w:eastAsia="Archivo" w:hAnsi="Archivo"/>
          <w:sz w:val="21"/>
          <w:szCs w:val="21"/>
        </w:rPr>
        <w:t xml:space="preserve">6. Si la aseguradora invoca un umbral de intensidad (litros por metro cuadrado, kilómetros por hora), ¿figura destacado y específicamente aceptado por escrito?</w:t>
      </w:r>
    </w:p>
    <w:p>
      <w:pPr>
        <w:pStyle w:val="ListParagraph"/>
        <w:numPr>
          <w:ilvl w:val="0"/>
          <w:numId w:val="2"/>
        </w:numPr>
        <w:spacing w:after="100" w:line="290"/>
      </w:pPr>
      <w:r>
        <w:rPr>
          <w:rFonts w:ascii="Archivo" w:cs="Archivo" w:eastAsia="Archivo" w:hAnsi="Archivo"/>
          <w:sz w:val="21"/>
          <w:szCs w:val="21"/>
        </w:rPr>
        <w:t xml:space="preserve">7. ¿Las sumas aseguradas de la póliza privada son suficientes, dado que limitan también la cobertura del Consorcio?</w:t>
      </w:r>
    </w:p>
    <w:p>
      <w:pPr>
        <w:pStyle w:val="ListParagraph"/>
        <w:numPr>
          <w:ilvl w:val="0"/>
          <w:numId w:val="2"/>
        </w:numPr>
        <w:spacing w:after="100" w:line="290"/>
      </w:pPr>
      <w:r>
        <w:rPr>
          <w:rFonts w:ascii="Archivo" w:cs="Archivo" w:eastAsia="Archivo" w:hAnsi="Archivo"/>
          <w:sz w:val="21"/>
          <w:szCs w:val="21"/>
        </w:rPr>
        <w:t xml:space="preserve">8. ¿Se ha presentado la reclamación ante el organismo competente (Consorcio o aseguradora privada) según la calificación del riesgo?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11. </w:t>
      </w:r>
      <w:r>
        <w:rPr>
          <w:rFonts w:ascii="Fraunces" w:cs="Fraunces" w:eastAsia="Fraunces" w:hAnsi="Fraunces"/>
          <w:b/>
          <w:bCs/>
          <w:color w:val="0A2540"/>
          <w:sz w:val="30"/>
          <w:szCs w:val="30"/>
        </w:rPr>
        <w:t xml:space="preserve">Rotura de cristales, sanitarios y elementos fijos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Una garantía de origen exclusivamente contractual</w:t>
            </w:r>
          </w:p>
          <w:p>
            <w:pPr>
              <w:spacing w:after="40" w:line="260"/>
            </w:pPr>
            <w:r>
              <w:rPr>
                <w:rFonts w:ascii="Archivo" w:cs="Archivo" w:eastAsia="Archivo" w:hAnsi="Archivo"/>
                <w:sz w:val="18"/>
                <w:szCs w:val="18"/>
              </w:rPr>
              <w:t xml:space="preserve">11.2. Elementos típicamente cubiertos</w:t>
            </w:r>
          </w:p>
          <w:p>
            <w:pPr>
              <w:spacing w:after="40" w:line="260"/>
            </w:pPr>
            <w:r>
              <w:rPr>
                <w:rFonts w:ascii="Archivo" w:cs="Archivo" w:eastAsia="Archivo" w:hAnsi="Archivo"/>
                <w:sz w:val="18"/>
                <w:szCs w:val="18"/>
              </w:rPr>
              <w:t xml:space="preserve">11.3. Causas cubiertas y exclusiones habituales</w:t>
            </w:r>
          </w:p>
          <w:p>
            <w:pPr>
              <w:spacing w:after="40" w:line="260"/>
            </w:pPr>
            <w:r>
              <w:rPr>
                <w:rFonts w:ascii="Archivo" w:cs="Archivo" w:eastAsia="Archivo" w:hAnsi="Archivo"/>
                <w:sz w:val="18"/>
                <w:szCs w:val="18"/>
              </w:rPr>
              <w:t xml:space="preserve">11.4. La relación con la garantía de responsabilidad civil</w:t>
            </w:r>
          </w:p>
          <w:p>
            <w:pPr>
              <w:spacing w:after="40" w:line="260"/>
            </w:pPr>
            <w:r>
              <w:rPr>
                <w:rFonts w:ascii="Archivo" w:cs="Archivo" w:eastAsia="Archivo" w:hAnsi="Archivo"/>
                <w:sz w:val="18"/>
                <w:szCs w:val="18"/>
              </w:rPr>
              <w:t xml:space="preserve">11.5. Ficha para el profesional</w:t>
            </w:r>
          </w:p>
          <w:p>
            <w:pPr>
              <w:spacing w:after="40" w:line="260"/>
            </w:pPr>
            <w:r>
              <w:rPr>
                <w:rFonts w:ascii="Archivo" w:cs="Archivo" w:eastAsia="Archivo" w:hAnsi="Archivo"/>
                <w:sz w:val="18"/>
                <w:szCs w:val="18"/>
              </w:rPr>
              <w:t xml:space="preserve">11.6. Ficha para el asegurado</w:t>
            </w:r>
          </w:p>
          <w:p>
            <w:pPr>
              <w:spacing w:after="40" w:line="260"/>
            </w:pPr>
            <w:r>
              <w:rPr>
                <w:rFonts w:ascii="Archivo" w:cs="Archivo" w:eastAsia="Archivo" w:hAnsi="Archivo"/>
                <w:sz w:val="18"/>
                <w:szCs w:val="18"/>
              </w:rPr>
              <w:t xml:space="preserve">11.7. Checklist: acreditación de un siniestro de rotura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rotura de cristales, espejos, sanitarios, encimeras y demás elementos fijos frágiles de la vivienda, cobertura de origen puramente contractual —sin correlato en un régimen legal específico de la LCS— cuyo tratamiento jurídico debe reconstruirse íntegramente a partir del clausulado concreto de cada póliza y de los principios generales de calificación de cláusulas ya desarrollados en los capítulos 1 y 5.</w:t>
            </w:r>
          </w:p>
          <w:p>
            <w:pPr>
              <w:spacing w:after="160"/>
            </w:pPr>
            <w:r>
              <w:rPr>
                <w:rFonts w:ascii="Archivo" w:cs="Archivo" w:eastAsia="Archivo" w:hAnsi="Archivo"/>
                <w:b/>
                <w:bCs/>
                <w:sz w:val="17"/>
                <w:szCs w:val="17"/>
              </w:rPr>
              <w:t xml:space="preserve">Palabras clave: rotura de cristales, elementos fijos, sanitarios, encimeras, garantía contractual.</w:t>
            </w:r>
          </w:p>
          <w:p>
            <w:pPr>
              <w:spacing w:after="100"/>
              <w:jc w:val="both"/>
            </w:pPr>
            <w:r>
              <w:rPr>
                <w:rFonts w:ascii="Archivo" w:cs="Archivo" w:eastAsia="Archivo" w:hAnsi="Archivo"/>
                <w:i/>
                <w:iCs/>
                <w:sz w:val="18"/>
                <w:szCs w:val="18"/>
              </w:rPr>
              <w:t xml:space="preserve">This chapter examines the glass, mirror, sanitary ware, worktop and other fixed fragile element breakage cover, a cover of purely contractual origin —without a specific statutory counterpart in the Insurance Contract Act— whose legal treatment must be reconstructed entirely from the specific wording of each policy and the general clause-classification principles already developed in Chapters 1 and 5.</w:t>
            </w:r>
          </w:p>
          <w:p>
            <w:pPr>
              <w:spacing w:after="0"/>
            </w:pPr>
            <w:r>
              <w:rPr>
                <w:rFonts w:ascii="Archivo" w:cs="Archivo" w:eastAsia="Archivo" w:hAnsi="Archivo"/>
                <w:b/>
                <w:bCs/>
                <w:sz w:val="17"/>
                <w:szCs w:val="17"/>
              </w:rPr>
              <w:t xml:space="preserve">Keywords: glass breakage, fixed elements, sanitary ware, worktops, contractual cover.</w:t>
            </w:r>
          </w:p>
        </w:tc>
      </w:tr>
    </w:tbl>
    <w:p>
      <w:pPr>
        <w:spacing w:after="200"/>
      </w:pPr>
    </w:p>
    <w:p>
      <w:pPr>
        <w:pStyle w:val="Heading2"/>
        <w:spacing w:after="160" w:before="400"/>
      </w:pPr>
      <w:r>
        <w:rPr>
          <w:rFonts w:ascii="Fraunces" w:cs="Fraunces" w:eastAsia="Fraunces" w:hAnsi="Fraunces"/>
          <w:b/>
          <w:bCs/>
          <w:color w:val="0A2540"/>
          <w:sz w:val="24"/>
          <w:szCs w:val="24"/>
        </w:rPr>
        <w:t xml:space="preserve">11.1. Una garantía de origen exclusivamente contractual</w:t>
      </w:r>
    </w:p>
    <w:p>
      <w:pPr>
        <w:spacing w:after="180" w:line="300"/>
        <w:jc w:val="both"/>
      </w:pPr>
      <w:r>
        <w:rPr>
          <w:rFonts w:ascii="Archivo" w:cs="Archivo" w:eastAsia="Archivo" w:hAnsi="Archivo"/>
          <w:sz w:val="21"/>
          <w:szCs w:val="21"/>
        </w:rPr>
        <w:t xml:space="preserve">Al igual que ocurre con los daños por agua estudiados en el capítulo 8, la garantía de rotura de cristales y elementos fijos carece de régimen legal propio en la LCS: es una cobertura de creación puramente contractual, incorporada de forma prácticamente universal a las pólizas de hogar como garantía complementaria de las troncales de incendio, agua y robo</w:t>
      </w:r>
      <w:r>
        <w:rPr>
          <w:rStyle w:val="FootnoteReference"/>
        </w:rPr>
        <w:footnoteReference w:id="29"/>
      </w:r>
      <w:r>
        <w:rPr>
          <w:rFonts w:ascii="Archivo" w:cs="Archivo" w:eastAsia="Archivo" w:hAnsi="Archivo"/>
          <w:sz w:val="21"/>
          <w:szCs w:val="21"/>
        </w:rPr>
        <w:t xml:space="preserve">. Su alcance exacto —qué elementos cubre, con qué franquicia, con qué sublímite— debe reconstruirse en cada caso a partir de las condiciones generales y particulares de la póliza concreta.</w:t>
      </w:r>
    </w:p>
    <w:p>
      <w:pPr>
        <w:pStyle w:val="Heading2"/>
        <w:spacing w:after="160" w:before="400"/>
      </w:pPr>
      <w:r>
        <w:rPr>
          <w:rFonts w:ascii="Fraunces" w:cs="Fraunces" w:eastAsia="Fraunces" w:hAnsi="Fraunces"/>
          <w:b/>
          <w:bCs/>
          <w:color w:val="0A2540"/>
          <w:sz w:val="24"/>
          <w:szCs w:val="24"/>
        </w:rPr>
        <w:t xml:space="preserve">11.2. Elementos típicamente cubiertos</w:t>
      </w:r>
    </w:p>
    <w:p>
      <w:pPr>
        <w:spacing w:after="180" w:line="300"/>
        <w:jc w:val="both"/>
      </w:pPr>
      <w:r>
        <w:rPr>
          <w:rFonts w:ascii="Archivo" w:cs="Archivo" w:eastAsia="Archivo" w:hAnsi="Archivo"/>
          <w:sz w:val="21"/>
          <w:szCs w:val="21"/>
        </w:rPr>
        <w:t xml:space="preserve">La práctica aseguradora española incluye, con distinta amplitud según el producto contratado, los siguientes elementos dentro de esta garantía:</w:t>
      </w:r>
    </w:p>
    <w:p>
      <w:pPr>
        <w:pStyle w:val="ListParagraph"/>
        <w:numPr>
          <w:ilvl w:val="0"/>
          <w:numId w:val="2"/>
        </w:numPr>
        <w:spacing w:after="100" w:line="290"/>
      </w:pPr>
      <w:r>
        <w:rPr>
          <w:rFonts w:ascii="Archivo" w:cs="Archivo" w:eastAsia="Archivo" w:hAnsi="Archivo"/>
          <w:b/>
          <w:bCs/>
          <w:sz w:val="21"/>
          <w:szCs w:val="21"/>
        </w:rPr>
        <w:t xml:space="preserve">Cristales y vidrios: </w:t>
      </w:r>
      <w:r>
        <w:rPr>
          <w:rFonts w:ascii="Archivo" w:cs="Archivo" w:eastAsia="Archivo" w:hAnsi="Archivo"/>
          <w:sz w:val="21"/>
          <w:szCs w:val="21"/>
        </w:rPr>
        <w:t xml:space="preserve">ventanas, puertas acristaladas, mamparas de ducha, espejos fijos, y, en pólizas más completas, mobiliario con superficies de cristal.</w:t>
      </w:r>
    </w:p>
    <w:p>
      <w:pPr>
        <w:pStyle w:val="ListParagraph"/>
        <w:numPr>
          <w:ilvl w:val="0"/>
          <w:numId w:val="2"/>
        </w:numPr>
        <w:spacing w:after="100" w:line="290"/>
      </w:pPr>
      <w:r>
        <w:rPr>
          <w:rFonts w:ascii="Archivo" w:cs="Archivo" w:eastAsia="Archivo" w:hAnsi="Archivo"/>
          <w:b/>
          <w:bCs/>
          <w:sz w:val="21"/>
          <w:szCs w:val="21"/>
        </w:rPr>
        <w:t xml:space="preserve">Sanitarios: </w:t>
      </w:r>
      <w:r>
        <w:rPr>
          <w:rFonts w:ascii="Archivo" w:cs="Archivo" w:eastAsia="Archivo" w:hAnsi="Archivo"/>
          <w:sz w:val="21"/>
          <w:szCs w:val="21"/>
        </w:rPr>
        <w:t xml:space="preserve">inodoros, lavabos, bidés y bañeras, cuya rotura, además del coste de reposición del propio elemento, puede generar un daño por agua conexo sujeto a la garantía específica del capítulo 8.</w:t>
      </w:r>
    </w:p>
    <w:p>
      <w:pPr>
        <w:pStyle w:val="ListParagraph"/>
        <w:numPr>
          <w:ilvl w:val="0"/>
          <w:numId w:val="2"/>
        </w:numPr>
        <w:spacing w:after="100" w:line="290"/>
      </w:pPr>
      <w:r>
        <w:rPr>
          <w:rFonts w:ascii="Archivo" w:cs="Archivo" w:eastAsia="Archivo" w:hAnsi="Archivo"/>
          <w:b/>
          <w:bCs/>
          <w:sz w:val="21"/>
          <w:szCs w:val="21"/>
        </w:rPr>
        <w:t xml:space="preserve">Encimeras y superficies de mármol o piedra natural: </w:t>
      </w:r>
      <w:r>
        <w:rPr>
          <w:rFonts w:ascii="Archivo" w:cs="Archivo" w:eastAsia="Archivo" w:hAnsi="Archivo"/>
          <w:sz w:val="21"/>
          <w:szCs w:val="21"/>
        </w:rPr>
        <w:t xml:space="preserve">frecuentemente sujetas a sublímites propios, dado su elevado coste de reposición y la dificultad de encontrar piezas de idénticas características, cuestión que conecta directamente con el criterio de reposición uniforme estudiado en el capítulo 12.</w:t>
      </w:r>
    </w:p>
    <w:p>
      <w:pPr>
        <w:pStyle w:val="ListParagraph"/>
        <w:numPr>
          <w:ilvl w:val="0"/>
          <w:numId w:val="2"/>
        </w:numPr>
        <w:spacing w:after="100" w:line="290"/>
      </w:pPr>
      <w:r>
        <w:rPr>
          <w:rFonts w:ascii="Archivo" w:cs="Archivo" w:eastAsia="Archivo" w:hAnsi="Archivo"/>
          <w:b/>
          <w:bCs/>
          <w:sz w:val="21"/>
          <w:szCs w:val="21"/>
        </w:rPr>
        <w:t xml:space="preserve">Placas vitrocerámicas y de inducción: </w:t>
      </w:r>
      <w:r>
        <w:rPr>
          <w:rFonts w:ascii="Archivo" w:cs="Archivo" w:eastAsia="Archivo" w:hAnsi="Archivo"/>
          <w:sz w:val="21"/>
          <w:szCs w:val="21"/>
        </w:rPr>
        <w:t xml:space="preserve">incluidas en algunas pólizas dentro de esta garantía y, en otras, tratadas como electrodoméstico sujeto a la garantía general de contenido.</w:t>
      </w:r>
    </w:p>
    <w:p>
      <w:pPr>
        <w:pStyle w:val="Heading2"/>
        <w:spacing w:after="160" w:before="400"/>
      </w:pPr>
      <w:r>
        <w:rPr>
          <w:rFonts w:ascii="Fraunces" w:cs="Fraunces" w:eastAsia="Fraunces" w:hAnsi="Fraunces"/>
          <w:b/>
          <w:bCs/>
          <w:color w:val="0A2540"/>
          <w:sz w:val="24"/>
          <w:szCs w:val="24"/>
        </w:rPr>
        <w:t xml:space="preserve">11.3. Causas cubiertas y exclusiones habituales</w:t>
      </w:r>
    </w:p>
    <w:p>
      <w:pPr>
        <w:spacing w:after="180" w:line="300"/>
        <w:jc w:val="both"/>
      </w:pPr>
      <w:r>
        <w:rPr>
          <w:rFonts w:ascii="Archivo" w:cs="Archivo" w:eastAsia="Archivo" w:hAnsi="Archivo"/>
          <w:sz w:val="21"/>
          <w:szCs w:val="21"/>
        </w:rPr>
        <w:t xml:space="preserve">La garantía cubre, con carácter general, la rotura accidental y súbita de los elementos descritos, con las exclusiones habituales ya sistematizadas con carácter general en el capítulo 16: desgaste, vicio propio del material, y daños causados durante obras o reformas no comunicadas a la aseguradora. La calificación de estas exclusiones como delimitadoras o limitativas sigue exactamente la misma metodología expuesta en los capítulos 1, 5 y 6: verificación de los requisitos formales del art. 3 LCS cuando proceda, contraste con el contenido natural de la garantía, e interpretación contra proferentem ante la duda razonable.</w:t>
      </w:r>
    </w:p>
    <w:p>
      <w:pPr>
        <w:spacing w:after="180" w:line="300"/>
        <w:jc w:val="both"/>
      </w:pPr>
      <w:r>
        <w:rPr>
          <w:rFonts w:ascii="Archivo" w:cs="Archivo" w:eastAsia="Archivo" w:hAnsi="Archivo"/>
          <w:sz w:val="21"/>
          <w:szCs w:val="21"/>
        </w:rPr>
        <w:t xml:space="preserve">Una precisión práctica de utilidad: a diferencia de la garantía de incendio, cuyo art. 48 LCS cubre incluso la negligencia leve del propio asegurado (capítulo 7), esta garantía contractual no está sujeta a dicho régimen legal específico, por lo que el umbral de imputación subjetiva —si la póliza excluye la rotura causada por negligencia del propio asegurado, y con qué intensidad— depende enteramente de lo pactado, sin la red de seguridad legal que sí opera en el incendio.</w:t>
      </w:r>
    </w:p>
    <w:p>
      <w:pPr>
        <w:pStyle w:val="Heading2"/>
        <w:spacing w:after="160" w:before="400"/>
      </w:pPr>
      <w:r>
        <w:rPr>
          <w:rFonts w:ascii="Fraunces" w:cs="Fraunces" w:eastAsia="Fraunces" w:hAnsi="Fraunces"/>
          <w:b/>
          <w:bCs/>
          <w:color w:val="0A2540"/>
          <w:sz w:val="24"/>
          <w:szCs w:val="24"/>
        </w:rPr>
        <w:t xml:space="preserve">11.4. La relación con la garantía de responsabilidad civil</w:t>
      </w:r>
    </w:p>
    <w:p>
      <w:pPr>
        <w:spacing w:after="180" w:line="300"/>
        <w:jc w:val="both"/>
      </w:pPr>
      <w:r>
        <w:rPr>
          <w:rFonts w:ascii="Archivo" w:cs="Archivo" w:eastAsia="Archivo" w:hAnsi="Archivo"/>
          <w:sz w:val="21"/>
          <w:szCs w:val="21"/>
        </w:rPr>
        <w:t xml:space="preserve">Cuando la rotura de un elemento fijo causa, además, un daño a un tercero —por ejemplo, el estallido de una mampara que causa lesiones a un visitante, o la rotura de una encimera que daña bienes de un tercero durante una mudanza—, se activa simultáneamente la garantía de responsabilidad civil del cabeza de familia estudiada en el capítulo 13, en los mismos términos de coordinación entre garantías ya explicados en el capítulo 8 a propósito de los daños por agua a terceros.</w:t>
      </w:r>
    </w:p>
    <w:p>
      <w:pPr>
        <w:pStyle w:val="Heading2"/>
        <w:spacing w:after="160" w:before="400"/>
      </w:pPr>
      <w:r>
        <w:rPr>
          <w:rFonts w:ascii="Fraunces" w:cs="Fraunces" w:eastAsia="Fraunces" w:hAnsi="Fraunces"/>
          <w:b/>
          <w:bCs/>
          <w:color w:val="0A2540"/>
          <w:sz w:val="24"/>
          <w:szCs w:val="24"/>
        </w:rPr>
        <w:t xml:space="preserve">11.5.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rotura</w:t>
            </w:r>
          </w:p>
          <w:p>
            <w:pPr>
              <w:pStyle w:val="ListParagraph"/>
              <w:numPr>
                <w:ilvl w:val="0"/>
                <w:numId w:val="2"/>
              </w:numPr>
              <w:spacing w:after="80" w:line="280"/>
            </w:pPr>
            <w:r>
              <w:rPr>
                <w:rFonts w:ascii="Archivo" w:cs="Archivo" w:eastAsia="Archivo" w:hAnsi="Archivo"/>
                <w:sz w:val="19"/>
                <w:szCs w:val="19"/>
              </w:rPr>
              <w:t xml:space="preserve">Verificar exactamente qué elementos incluye esta garantía en la póliza concreta: su alcance varía notablemente de un producto a otro.</w:t>
            </w:r>
          </w:p>
          <w:p>
            <w:pPr>
              <w:pStyle w:val="ListParagraph"/>
              <w:numPr>
                <w:ilvl w:val="0"/>
                <w:numId w:val="2"/>
              </w:numPr>
              <w:spacing w:after="80" w:line="280"/>
            </w:pPr>
            <w:r>
              <w:rPr>
                <w:rFonts w:ascii="Archivo" w:cs="Archivo" w:eastAsia="Archivo" w:hAnsi="Archivo"/>
                <w:sz w:val="19"/>
                <w:szCs w:val="19"/>
              </w:rPr>
              <w:t xml:space="preserve">Comprobar la existencia de sublímites específicos para encimeras y superficies de piedra natural, dado su elevado coste de reposición.</w:t>
            </w:r>
          </w:p>
          <w:p>
            <w:pPr>
              <w:pStyle w:val="ListParagraph"/>
              <w:numPr>
                <w:ilvl w:val="0"/>
                <w:numId w:val="2"/>
              </w:numPr>
              <w:spacing w:after="80" w:line="280"/>
            </w:pPr>
            <w:r>
              <w:rPr>
                <w:rFonts w:ascii="Archivo" w:cs="Archivo" w:eastAsia="Archivo" w:hAnsi="Archivo"/>
                <w:sz w:val="19"/>
                <w:szCs w:val="19"/>
              </w:rPr>
              <w:t xml:space="preserve">Ante una exclusión por negligencia del asegurado, recordar que esta garantía no goza del régimen legal protector del art. 48 LCS aplicable al incendio (capítulo 7): el umbral depende íntegramente de lo pactado.</w:t>
            </w:r>
          </w:p>
          <w:p>
            <w:pPr>
              <w:pStyle w:val="ListParagraph"/>
              <w:numPr>
                <w:ilvl w:val="0"/>
                <w:numId w:val="2"/>
              </w:numPr>
              <w:spacing w:after="80" w:line="280"/>
            </w:pPr>
            <w:r>
              <w:rPr>
                <w:rFonts w:ascii="Archivo" w:cs="Archivo" w:eastAsia="Archivo" w:hAnsi="Archivo"/>
                <w:sz w:val="19"/>
                <w:szCs w:val="19"/>
              </w:rPr>
              <w:t xml:space="preserve">Si la rotura ha causado además daños a un tercero, coordinar esta garantía con la de responsabilidad civil (capítulo 13).</w:t>
            </w:r>
          </w:p>
        </w:tc>
      </w:tr>
    </w:tbl>
    <w:p>
      <w:pPr>
        <w:pStyle w:val="Heading2"/>
        <w:spacing w:after="160" w:before="400"/>
      </w:pPr>
      <w:r>
        <w:rPr>
          <w:rFonts w:ascii="Fraunces" w:cs="Fraunces" w:eastAsia="Fraunces" w:hAnsi="Fraunces"/>
          <w:b/>
          <w:bCs/>
          <w:color w:val="0A2540"/>
          <w:sz w:val="24"/>
          <w:szCs w:val="24"/>
        </w:rPr>
        <w:t xml:space="preserve">11.6.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esta cobertura</w:t>
            </w:r>
          </w:p>
          <w:p>
            <w:pPr>
              <w:pStyle w:val="ListParagraph"/>
              <w:numPr>
                <w:ilvl w:val="0"/>
                <w:numId w:val="2"/>
              </w:numPr>
              <w:spacing w:after="80" w:line="280"/>
            </w:pPr>
            <w:r>
              <w:rPr>
                <w:rFonts w:ascii="Archivo" w:cs="Archivo" w:eastAsia="Archivo" w:hAnsi="Archivo"/>
                <w:sz w:val="19"/>
                <w:szCs w:val="19"/>
              </w:rPr>
              <w:t xml:space="preserve">Compruebe si su póliza cubre cristales, sanitarios y encimeras, y con qué franquicia y sublímite para cada elemento.</w:t>
            </w:r>
          </w:p>
          <w:p>
            <w:pPr>
              <w:pStyle w:val="ListParagraph"/>
              <w:numPr>
                <w:ilvl w:val="0"/>
                <w:numId w:val="2"/>
              </w:numPr>
              <w:spacing w:after="80" w:line="280"/>
            </w:pPr>
            <w:r>
              <w:rPr>
                <w:rFonts w:ascii="Archivo" w:cs="Archivo" w:eastAsia="Archivo" w:hAnsi="Archivo"/>
                <w:sz w:val="19"/>
                <w:szCs w:val="19"/>
              </w:rPr>
              <w:t xml:space="preserve">Si tiene encimeras de piedra natural o mármol de cierto valor, verifique el sublímite específico: puede no ser suficiente para su reposición completa.</w:t>
            </w:r>
          </w:p>
          <w:p>
            <w:pPr>
              <w:pStyle w:val="ListParagraph"/>
              <w:numPr>
                <w:ilvl w:val="0"/>
                <w:numId w:val="2"/>
              </w:numPr>
              <w:spacing w:after="80" w:line="280"/>
            </w:pPr>
            <w:r>
              <w:rPr>
                <w:rFonts w:ascii="Archivo" w:cs="Archivo" w:eastAsia="Archivo" w:hAnsi="Archivo"/>
                <w:sz w:val="19"/>
                <w:szCs w:val="19"/>
              </w:rPr>
              <w:t xml:space="preserve">Conserve facturas o presupuestos de instalación de estos elementos: facilitan enormemente la valoración pericial en caso de siniestro.</w:t>
            </w:r>
          </w:p>
        </w:tc>
      </w:tr>
    </w:tbl>
    <w:p>
      <w:pPr>
        <w:pStyle w:val="Heading2"/>
        <w:spacing w:after="160" w:before="400"/>
      </w:pPr>
      <w:r>
        <w:rPr>
          <w:rFonts w:ascii="Fraunces" w:cs="Fraunces" w:eastAsia="Fraunces" w:hAnsi="Fraunces"/>
          <w:b/>
          <w:bCs/>
          <w:color w:val="0A2540"/>
          <w:sz w:val="24"/>
          <w:szCs w:val="24"/>
        </w:rPr>
        <w:t xml:space="preserve">11.7. Checklist: acreditación de un siniestro de rotura</w:t>
      </w:r>
    </w:p>
    <w:p>
      <w:pPr>
        <w:pStyle w:val="ListParagraph"/>
        <w:numPr>
          <w:ilvl w:val="0"/>
          <w:numId w:val="2"/>
        </w:numPr>
        <w:spacing w:after="100" w:line="290"/>
      </w:pPr>
      <w:r>
        <w:rPr>
          <w:rFonts w:ascii="Archivo" w:cs="Archivo" w:eastAsia="Archivo" w:hAnsi="Archivo"/>
          <w:sz w:val="21"/>
          <w:szCs w:val="21"/>
        </w:rPr>
        <w:t xml:space="preserve">1. ¿Qué elemento se ha roto y está expresamente incluido en la garantía contratada?</w:t>
      </w:r>
    </w:p>
    <w:p>
      <w:pPr>
        <w:pStyle w:val="ListParagraph"/>
        <w:numPr>
          <w:ilvl w:val="0"/>
          <w:numId w:val="2"/>
        </w:numPr>
        <w:spacing w:after="100" w:line="290"/>
      </w:pPr>
      <w:r>
        <w:rPr>
          <w:rFonts w:ascii="Archivo" w:cs="Archivo" w:eastAsia="Archivo" w:hAnsi="Archivo"/>
          <w:sz w:val="21"/>
          <w:szCs w:val="21"/>
        </w:rPr>
        <w:t xml:space="preserve">2. ¿Cuál es la causa de la rotura (accidental, negligencia, desgaste)?</w:t>
      </w:r>
    </w:p>
    <w:p>
      <w:pPr>
        <w:pStyle w:val="ListParagraph"/>
        <w:numPr>
          <w:ilvl w:val="0"/>
          <w:numId w:val="2"/>
        </w:numPr>
        <w:spacing w:after="100" w:line="290"/>
      </w:pPr>
      <w:r>
        <w:rPr>
          <w:rFonts w:ascii="Archivo" w:cs="Archivo" w:eastAsia="Archivo" w:hAnsi="Archivo"/>
          <w:sz w:val="21"/>
          <w:szCs w:val="21"/>
        </w:rPr>
        <w:t xml:space="preserve">3. ¿Existe sublímite específico aplicable y es suficiente para la reposición?</w:t>
      </w:r>
    </w:p>
    <w:p>
      <w:pPr>
        <w:pStyle w:val="ListParagraph"/>
        <w:numPr>
          <w:ilvl w:val="0"/>
          <w:numId w:val="2"/>
        </w:numPr>
        <w:spacing w:after="100" w:line="290"/>
      </w:pPr>
      <w:r>
        <w:rPr>
          <w:rFonts w:ascii="Archivo" w:cs="Archivo" w:eastAsia="Archivo" w:hAnsi="Archivo"/>
          <w:sz w:val="21"/>
          <w:szCs w:val="21"/>
        </w:rPr>
        <w:t xml:space="preserve">4. ¿Es posible encontrar en el mercado un elemento idéntico, o será necesario aplicar el criterio de reposición uniforme (capítulo 12)?</w:t>
      </w:r>
    </w:p>
    <w:p>
      <w:pPr>
        <w:pStyle w:val="ListParagraph"/>
        <w:numPr>
          <w:ilvl w:val="0"/>
          <w:numId w:val="2"/>
        </w:numPr>
        <w:spacing w:after="100" w:line="290"/>
      </w:pPr>
      <w:r>
        <w:rPr>
          <w:rFonts w:ascii="Archivo" w:cs="Archivo" w:eastAsia="Archivo" w:hAnsi="Archivo"/>
          <w:sz w:val="21"/>
          <w:szCs w:val="21"/>
        </w:rPr>
        <w:t xml:space="preserve">5. ¿Ha causado la rotura, además, daños a un tercero que activen la garantía de responsabilidad civil?</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pStyle w:val="Heading1"/>
        <w:pageBreakBefore/>
        <w:spacing w:after="300" w:before="200"/>
      </w:pPr>
      <w:r>
        <w:rPr>
          <w:rFonts w:ascii="Archivo" w:cs="Archivo" w:eastAsia="Archivo" w:hAnsi="Archivo"/>
          <w:b/>
          <w:bCs/>
          <w:color w:val="1B6DF0"/>
          <w:sz w:val="22"/>
          <w:szCs w:val="22"/>
        </w:rPr>
        <w:t xml:space="preserve">Capítulo 12. </w:t>
      </w:r>
      <w:r>
        <w:rPr>
          <w:rFonts w:ascii="Fraunces" w:cs="Fraunces" w:eastAsia="Fraunces" w:hAnsi="Fraunces"/>
          <w:b/>
          <w:bCs/>
          <w:color w:val="0A2540"/>
          <w:sz w:val="30"/>
          <w:szCs w:val="30"/>
        </w:rPr>
        <w:t xml:space="preserve">Daños estéticos, inhabitabilidad y pérdida de alquileres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El daño estético como partida indemnizable autónoma</w:t>
            </w:r>
          </w:p>
          <w:p>
            <w:pPr>
              <w:spacing w:after="40" w:line="260"/>
            </w:pPr>
            <w:r>
              <w:rPr>
                <w:rFonts w:ascii="Archivo" w:cs="Archivo" w:eastAsia="Archivo" w:hAnsi="Archivo"/>
                <w:sz w:val="18"/>
                <w:szCs w:val="18"/>
              </w:rPr>
              <w:t xml:space="preserve">12.2. El criterio de reposición uniforme</w:t>
            </w:r>
          </w:p>
          <w:p>
            <w:pPr>
              <w:spacing w:after="40" w:line="260"/>
            </w:pPr>
            <w:r>
              <w:rPr>
                <w:rFonts w:ascii="Archivo" w:cs="Archivo" w:eastAsia="Archivo" w:hAnsi="Archivo"/>
                <w:sz w:val="18"/>
                <w:szCs w:val="18"/>
              </w:rPr>
              <w:t xml:space="preserve">12.3. Gastos de alojamiento provisional e inhabitabilidad</w:t>
            </w:r>
          </w:p>
          <w:p>
            <w:pPr>
              <w:spacing w:after="40" w:line="260"/>
            </w:pPr>
            <w:r>
              <w:rPr>
                <w:rFonts w:ascii="Archivo" w:cs="Archivo" w:eastAsia="Archivo" w:hAnsi="Archivo"/>
                <w:sz w:val="18"/>
                <w:szCs w:val="18"/>
              </w:rPr>
              <w:t xml:space="preserve">12.4. Pérdida de alquileres y rentas</w:t>
            </w:r>
          </w:p>
          <w:p>
            <w:pPr>
              <w:spacing w:after="40" w:line="260"/>
            </w:pPr>
            <w:r>
              <w:rPr>
                <w:rFonts w:ascii="Archivo" w:cs="Archivo" w:eastAsia="Archivo" w:hAnsi="Archivo"/>
                <w:sz w:val="18"/>
                <w:szCs w:val="18"/>
              </w:rPr>
              <w:t xml:space="preserve">12.5. Ficha para el profesional</w:t>
            </w:r>
          </w:p>
          <w:p>
            <w:pPr>
              <w:spacing w:after="40" w:line="260"/>
            </w:pPr>
            <w:r>
              <w:rPr>
                <w:rFonts w:ascii="Archivo" w:cs="Archivo" w:eastAsia="Archivo" w:hAnsi="Archivo"/>
                <w:sz w:val="18"/>
                <w:szCs w:val="18"/>
              </w:rPr>
              <w:t xml:space="preserve">12.6. Ficha para el asegurado</w:t>
            </w:r>
          </w:p>
          <w:p>
            <w:pPr>
              <w:spacing w:after="40" w:line="260"/>
            </w:pPr>
            <w:r>
              <w:rPr>
                <w:rFonts w:ascii="Archivo" w:cs="Archivo" w:eastAsia="Archivo" w:hAnsi="Archivo"/>
                <w:sz w:val="18"/>
                <w:szCs w:val="18"/>
              </w:rPr>
              <w:t xml:space="preserve">12.7. Checklist: partidas indemnizables más allá del daño material directo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tres partidas indemnizables que trascienden el daño material directo y que con frecuencia se olvidan o se infravaloran en la práctica de la reclamación de siniestros de hogar: el daño estético derivado de la imposibilidad de encontrar materiales idénticos a los dañados, resuelto por la jurisprudencia menor mediante el criterio de la reposición uniforme; los gastos de alojamiento provisional cuando el siniestro deja la vivienda inhabitable; y la pérdida de rentas de alquiler cuando el inmueble siniestrado se encontraba arrendado.</w:t>
            </w:r>
          </w:p>
          <w:p>
            <w:pPr>
              <w:spacing w:after="160"/>
            </w:pPr>
            <w:r>
              <w:rPr>
                <w:rFonts w:ascii="Archivo" w:cs="Archivo" w:eastAsia="Archivo" w:hAnsi="Archivo"/>
                <w:b/>
                <w:bCs/>
                <w:sz w:val="17"/>
                <w:szCs w:val="17"/>
              </w:rPr>
              <w:t xml:space="preserve">Palabras clave: daño estético, reposición uniforme, inhabitabilidad, gastos de alojamiento, pérdida de alquileres.</w:t>
            </w:r>
          </w:p>
          <w:p>
            <w:pPr>
              <w:spacing w:after="100"/>
              <w:jc w:val="both"/>
            </w:pPr>
            <w:r>
              <w:rPr>
                <w:rFonts w:ascii="Archivo" w:cs="Archivo" w:eastAsia="Archivo" w:hAnsi="Archivo"/>
                <w:i/>
                <w:iCs/>
                <w:sz w:val="18"/>
                <w:szCs w:val="18"/>
              </w:rPr>
              <w:t xml:space="preserve">This chapter examines three heads of loss that go beyond direct material damage and are frequently overlooked or undervalued in practice when claiming homeowners' insurance losses: aesthetic damage arising from the impossibility of sourcing materials identical to those damaged, addressed by appellate case law through the uniform-replacement criterion; temporary accommodation costs when a loss renders the home uninhabitable; and lost rental income when the damaged property was let to a tenant.</w:t>
            </w:r>
          </w:p>
          <w:p>
            <w:pPr>
              <w:spacing w:after="0"/>
            </w:pPr>
            <w:r>
              <w:rPr>
                <w:rFonts w:ascii="Archivo" w:cs="Archivo" w:eastAsia="Archivo" w:hAnsi="Archivo"/>
                <w:b/>
                <w:bCs/>
                <w:sz w:val="17"/>
                <w:szCs w:val="17"/>
              </w:rPr>
              <w:t xml:space="preserve">Keywords: aesthetic damage, uniform replacement, uninhabitability, temporary accommodation costs, lost rental income.</w:t>
            </w:r>
          </w:p>
        </w:tc>
      </w:tr>
    </w:tbl>
    <w:p>
      <w:pPr>
        <w:spacing w:after="200"/>
      </w:pPr>
    </w:p>
    <w:p>
      <w:pPr>
        <w:pStyle w:val="Heading2"/>
        <w:spacing w:after="160" w:before="400"/>
      </w:pPr>
      <w:r>
        <w:rPr>
          <w:rFonts w:ascii="Fraunces" w:cs="Fraunces" w:eastAsia="Fraunces" w:hAnsi="Fraunces"/>
          <w:b/>
          <w:bCs/>
          <w:color w:val="0A2540"/>
          <w:sz w:val="24"/>
          <w:szCs w:val="24"/>
        </w:rPr>
        <w:t xml:space="preserve">12.1. El daño estético como partida indemnizable autónoma</w:t>
      </w:r>
    </w:p>
    <w:p>
      <w:pPr>
        <w:spacing w:after="180" w:line="300"/>
        <w:jc w:val="both"/>
      </w:pPr>
      <w:r>
        <w:rPr>
          <w:rFonts w:ascii="Archivo" w:cs="Archivo" w:eastAsia="Archivo" w:hAnsi="Archivo"/>
          <w:sz w:val="21"/>
          <w:szCs w:val="21"/>
        </w:rPr>
        <w:t xml:space="preserve">Cuando un siniestro afecta solo a una parte de un conjunto homogéneo —los azulejos de un baño, el suelo de una estancia, la pintura de una pared—, la reparación limitada estrictamente a la zona dañada deja, con frecuencia, un resultado visualmente discordante que la jurisprudencia menor reconoce como daño estético autónomo, indemnizable con independencia y además del coste material de reparación en sentido estricto</w:t>
      </w:r>
      <w:r>
        <w:rPr>
          <w:rStyle w:val="FootnoteReference"/>
        </w:rPr>
        <w:footnoteReference w:id="30"/>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12.2. El criterio de reposición uniforme</w:t>
      </w:r>
    </w:p>
    <w:p>
      <w:pPr>
        <w:spacing w:after="180" w:line="300"/>
        <w:jc w:val="both"/>
      </w:pPr>
      <w:r>
        <w:rPr>
          <w:rFonts w:ascii="Archivo" w:cs="Archivo" w:eastAsia="Archivo" w:hAnsi="Archivo"/>
          <w:sz w:val="21"/>
          <w:szCs w:val="21"/>
        </w:rPr>
        <w:t xml:space="preserve">La Audiencia Provincial de Alicante ha sistematizado con particular claridad, en un supuesto de filtraciones de agua entre viviendas, el criterio que debe presidir la valoración de este tipo de daño: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Alicante (Sección 5.ª), de 12 de mayo de 2020 (ROJ: SAP A 614/2020; ECLI:ES:APA:2020:614; MP: García Ruiz)</w:t>
            </w:r>
          </w:p>
          <w:p>
            <w:pPr>
              <w:spacing w:after="0" w:line="280"/>
              <w:jc w:val="both"/>
            </w:pPr>
            <w:r>
              <w:rPr>
                <w:rFonts w:ascii="Archivo" w:cs="Archivo" w:eastAsia="Archivo" w:hAnsi="Archivo"/>
                <w:color w:val="0A2540"/>
                <w:sz w:val="19"/>
                <w:szCs w:val="19"/>
              </w:rPr>
              <w:t xml:space="preserve">«Debe valorarse [...] si el perjudicado queda plenamente resarcido del perjuicio sufrido con la indemnización recibida [...], siendo razonable considerar que no va a encontrar satisfacción total de su perjuicio si se le obliga a mantener un cuarto de baño con azulejos de diferente tonalidad [...]. Se evidencia que se sustituyeron más azulejos de los afectados al no existir azulejos iguales en el mercado, así mismo no sólo es necesario el pintar el trozo afectado por la filtración pues para dejar uniforme una pared es necesario la pintura de todo el espacio [...]. El perito también manifestó [...] que esa valoración se ajustaba al valor de reposición de los elementos dañados y a la íntegra sustitución de todos los azulejos del cuarto de baño pues actualmente no era posible adquirir azulejos de igual clase que los que ya estaban colocados.»</w:t>
            </w:r>
          </w:p>
        </w:tc>
      </w:tr>
    </w:tbl>
    <w:p>
      <w:pPr>
        <w:spacing w:after="180" w:line="300"/>
        <w:jc w:val="both"/>
      </w:pPr>
      <w:r>
        <w:rPr>
          <w:rFonts w:ascii="Archivo" w:cs="Archivo" w:eastAsia="Archivo" w:hAnsi="Archivo"/>
          <w:sz w:val="21"/>
          <w:szCs w:val="21"/>
        </w:rPr>
        <w:t xml:space="preserve">La propia resolución matiza, no obstante, que este criterio no ampara una extensión indiscriminada de la reparación: cuando la sustitución completa del conjunto resulta desproporcionada en relación con el daño real (por ejemplo, levantar la totalidad de un solado extenso para reparar una zona puntual y de escasa entidad visual, en un espacio de uso secundario como una cochera), los tribunales optan por una indemnización prudencial y específica por el concepto de daño estético, en lugar de la sustitución íntegra del elemento. La aplicación práctica de este criterio exige, en consecuencia, una valoración pericial que pondere tanto la imposibilidad real de encontrar materiales idénticos como la proporcionalidad de la solución propuesta en relación con la entidad del daño y la relevancia estética del espacio afectado.</w:t>
      </w:r>
    </w:p>
    <w:p>
      <w:pPr>
        <w:pStyle w:val="Heading2"/>
        <w:spacing w:after="160" w:before="400"/>
      </w:pPr>
      <w:r>
        <w:rPr>
          <w:rFonts w:ascii="Fraunces" w:cs="Fraunces" w:eastAsia="Fraunces" w:hAnsi="Fraunces"/>
          <w:b/>
          <w:bCs/>
          <w:color w:val="0A2540"/>
          <w:sz w:val="24"/>
          <w:szCs w:val="24"/>
        </w:rPr>
        <w:t xml:space="preserve">12.3. Gastos de alojamiento provisional e inhabitabilidad</w:t>
      </w:r>
    </w:p>
    <w:p>
      <w:pPr>
        <w:spacing w:after="180" w:line="300"/>
        <w:jc w:val="both"/>
      </w:pPr>
      <w:r>
        <w:rPr>
          <w:rFonts w:ascii="Archivo" w:cs="Archivo" w:eastAsia="Archivo" w:hAnsi="Archivo"/>
          <w:sz w:val="21"/>
          <w:szCs w:val="21"/>
        </w:rPr>
        <w:t xml:space="preserve">Cuando el siniestro deja la vivienda objetivamente inhabitable —por ejemplo, tras un incendio de entidad o una inundación que afecte a instalaciones esenciales—, la práctica totalidad de las pólizas de hogar incorporan una garantía de gastos de alojamiento provisional, sujeta normalmente a un límite temporal (por ejemplo, mientras duren las obras de reparación, hasta un máximo de meses) y a un límite cuantitativo diario o mensual. La activación de esta garantía exige, en la práctica, acreditar la imposibilidad objetiva de habitar la vivienda —no la mera incomodidad de convivir con obras—, extremo que conviene documentar desde el primer momento con el informe pericial inicial y, en su caso, con un certificado técnico o municipal sobre las condiciones de habitabilidad del inmueble.</w:t>
      </w:r>
    </w:p>
    <w:p>
      <w:pPr>
        <w:pStyle w:val="Heading2"/>
        <w:spacing w:after="160" w:before="400"/>
      </w:pPr>
      <w:r>
        <w:rPr>
          <w:rFonts w:ascii="Fraunces" w:cs="Fraunces" w:eastAsia="Fraunces" w:hAnsi="Fraunces"/>
          <w:b/>
          <w:bCs/>
          <w:color w:val="0A2540"/>
          <w:sz w:val="24"/>
          <w:szCs w:val="24"/>
        </w:rPr>
        <w:t xml:space="preserve">12.4. Pérdida de alquileres y rentas</w:t>
      </w:r>
    </w:p>
    <w:p>
      <w:pPr>
        <w:spacing w:after="180" w:line="300"/>
        <w:jc w:val="both"/>
      </w:pPr>
      <w:r>
        <w:rPr>
          <w:rFonts w:ascii="Archivo" w:cs="Archivo" w:eastAsia="Archivo" w:hAnsi="Archivo"/>
          <w:sz w:val="21"/>
          <w:szCs w:val="21"/>
        </w:rPr>
        <w:t xml:space="preserve">Cuando el inmueble siniestrado se encuentra arrendado, la inhabitabilidad temporal genera, además del perjuicio del ocupante (cubierto, en su caso, por su propia garantía de alojamiento si es el arrendatario quien la contrató), un perjuicio económico distinto para el propietario-arrendador: la pérdida de la renta que dejará de percibir mientras dure la reparación. Esta partida, de naturaleza análoga al lucro cesante, solo está cubierta si la póliza del propietario incorpora expresamente una garantía de pérdida de alquileres —de contratación relativamente frecuente en viviendas destinadas a arrendamiento, pero no universal en las pólizas de vivienda habitual—, cuya existencia y límites deben verificarse específicamente en cada caso, sin poder presumirse incluida dentro de la cobertura general de daños al continente.</w:t>
      </w:r>
    </w:p>
    <w:p>
      <w:pPr>
        <w:pStyle w:val="Heading2"/>
        <w:spacing w:after="160" w:before="400"/>
      </w:pPr>
      <w:r>
        <w:rPr>
          <w:rFonts w:ascii="Fraunces" w:cs="Fraunces" w:eastAsia="Fraunces" w:hAnsi="Fraunces"/>
          <w:b/>
          <w:bCs/>
          <w:color w:val="0A2540"/>
          <w:sz w:val="24"/>
          <w:szCs w:val="24"/>
        </w:rPr>
        <w:t xml:space="preserve">12.5.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partidas indirectas</w:t>
            </w:r>
          </w:p>
          <w:p>
            <w:pPr>
              <w:pStyle w:val="ListParagraph"/>
              <w:numPr>
                <w:ilvl w:val="0"/>
                <w:numId w:val="2"/>
              </w:numPr>
              <w:spacing w:after="80" w:line="280"/>
            </w:pPr>
            <w:r>
              <w:rPr>
                <w:rFonts w:ascii="Archivo" w:cs="Archivo" w:eastAsia="Archivo" w:hAnsi="Archivo"/>
                <w:sz w:val="19"/>
                <w:szCs w:val="19"/>
              </w:rPr>
              <w:t xml:space="preserve">Reclamar expresamente el daño estético como partida autónoma cuando la reparación puntual deje un resultado visualmente discordante, con apoyo pericial sobre la imposibilidad de encontrar materiales idénticos (SAP Alicante 614/2020, ROJ: SAP A 614/2020).</w:t>
            </w:r>
          </w:p>
          <w:p>
            <w:pPr>
              <w:pStyle w:val="ListParagraph"/>
              <w:numPr>
                <w:ilvl w:val="0"/>
                <w:numId w:val="2"/>
              </w:numPr>
              <w:spacing w:after="80" w:line="280"/>
            </w:pPr>
            <w:r>
              <w:rPr>
                <w:rFonts w:ascii="Archivo" w:cs="Archivo" w:eastAsia="Archivo" w:hAnsi="Archivo"/>
                <w:sz w:val="19"/>
                <w:szCs w:val="19"/>
              </w:rPr>
              <w:t xml:space="preserve">Ponderar la proporcionalidad entre la sustitución completa de un elemento y la entidad real del daño, para evitar el riesgo de enriquecimiento injusto que limitaría la reclamación.</w:t>
            </w:r>
          </w:p>
          <w:p>
            <w:pPr>
              <w:pStyle w:val="ListParagraph"/>
              <w:numPr>
                <w:ilvl w:val="0"/>
                <w:numId w:val="2"/>
              </w:numPr>
              <w:spacing w:after="80" w:line="280"/>
            </w:pPr>
            <w:r>
              <w:rPr>
                <w:rFonts w:ascii="Archivo" w:cs="Archivo" w:eastAsia="Archivo" w:hAnsi="Archivo"/>
                <w:sz w:val="19"/>
                <w:szCs w:val="19"/>
              </w:rPr>
              <w:t xml:space="preserve">Verificar la existencia, límite temporal y cuantitativo de la garantía de gastos de alojamiento, y documentar la inhabitabilidad objetiva del inmueble desde el primer momento.</w:t>
            </w:r>
          </w:p>
          <w:p>
            <w:pPr>
              <w:pStyle w:val="ListParagraph"/>
              <w:numPr>
                <w:ilvl w:val="0"/>
                <w:numId w:val="2"/>
              </w:numPr>
              <w:spacing w:after="80" w:line="280"/>
            </w:pPr>
            <w:r>
              <w:rPr>
                <w:rFonts w:ascii="Archivo" w:cs="Archivo" w:eastAsia="Archivo" w:hAnsi="Archivo"/>
                <w:sz w:val="19"/>
                <w:szCs w:val="19"/>
              </w:rPr>
              <w:t xml:space="preserve">Comprobar expresamente si la póliza del propietario-arrendador incluye garantía de pérdida de alquileres antes de asumir que está cubierta.</w:t>
            </w:r>
          </w:p>
        </w:tc>
      </w:tr>
    </w:tbl>
    <w:p>
      <w:pPr>
        <w:pStyle w:val="Heading2"/>
        <w:spacing w:after="160" w:before="400"/>
      </w:pPr>
      <w:r>
        <w:rPr>
          <w:rFonts w:ascii="Fraunces" w:cs="Fraunces" w:eastAsia="Fraunces" w:hAnsi="Fraunces"/>
          <w:b/>
          <w:bCs/>
          <w:color w:val="0A2540"/>
          <w:sz w:val="24"/>
          <w:szCs w:val="24"/>
        </w:rPr>
        <w:t xml:space="preserve">12.6.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partidas puede reclamar además de la reparación</w:t>
            </w:r>
          </w:p>
          <w:p>
            <w:pPr>
              <w:pStyle w:val="ListParagraph"/>
              <w:numPr>
                <w:ilvl w:val="0"/>
                <w:numId w:val="2"/>
              </w:numPr>
              <w:spacing w:after="80" w:line="280"/>
            </w:pPr>
            <w:r>
              <w:rPr>
                <w:rFonts w:ascii="Archivo" w:cs="Archivo" w:eastAsia="Archivo" w:hAnsi="Archivo"/>
                <w:sz w:val="19"/>
                <w:szCs w:val="19"/>
              </w:rPr>
              <w:t xml:space="preserve">Si tras un siniestro parcial (por ejemplo, en el baño o la cocina) no es posible encontrar azulejos o materiales idénticos, puede tener derecho a que se indemnice el desajuste estético, no solo la zona estrictamente dañada.</w:t>
            </w:r>
          </w:p>
          <w:p>
            <w:pPr>
              <w:pStyle w:val="ListParagraph"/>
              <w:numPr>
                <w:ilvl w:val="0"/>
                <w:numId w:val="2"/>
              </w:numPr>
              <w:spacing w:after="80" w:line="280"/>
            </w:pPr>
            <w:r>
              <w:rPr>
                <w:rFonts w:ascii="Archivo" w:cs="Archivo" w:eastAsia="Archivo" w:hAnsi="Archivo"/>
                <w:sz w:val="19"/>
                <w:szCs w:val="19"/>
              </w:rPr>
              <w:t xml:space="preserve">Si su vivienda queda inhabitable, revise si su póliza cubre gastos de alojamiento provisional y durante cuánto tiempo.</w:t>
            </w:r>
          </w:p>
          <w:p>
            <w:pPr>
              <w:pStyle w:val="ListParagraph"/>
              <w:numPr>
                <w:ilvl w:val="0"/>
                <w:numId w:val="2"/>
              </w:numPr>
              <w:spacing w:after="80" w:line="280"/>
            </w:pPr>
            <w:r>
              <w:rPr>
                <w:rFonts w:ascii="Archivo" w:cs="Archivo" w:eastAsia="Archivo" w:hAnsi="Archivo"/>
                <w:sz w:val="19"/>
                <w:szCs w:val="19"/>
              </w:rPr>
              <w:t xml:space="preserve">Si alquila su vivienda y esta queda inhabitable por el siniestro, compruebe si su póliza cubre la pérdida de la renta que dejará de percibir: no siempre está incluida por defecto.</w:t>
            </w:r>
          </w:p>
        </w:tc>
      </w:tr>
    </w:tbl>
    <w:p>
      <w:pPr>
        <w:pStyle w:val="Heading2"/>
        <w:spacing w:after="160" w:before="400"/>
      </w:pPr>
      <w:r>
        <w:rPr>
          <w:rFonts w:ascii="Fraunces" w:cs="Fraunces" w:eastAsia="Fraunces" w:hAnsi="Fraunces"/>
          <w:b/>
          <w:bCs/>
          <w:color w:val="0A2540"/>
          <w:sz w:val="24"/>
          <w:szCs w:val="24"/>
        </w:rPr>
        <w:t xml:space="preserve">12.7. Checklist: partidas indemnizables más allá del daño material directo</w:t>
      </w:r>
    </w:p>
    <w:p>
      <w:pPr>
        <w:pStyle w:val="ListParagraph"/>
        <w:numPr>
          <w:ilvl w:val="0"/>
          <w:numId w:val="2"/>
        </w:numPr>
        <w:spacing w:after="100" w:line="290"/>
      </w:pPr>
      <w:r>
        <w:rPr>
          <w:rFonts w:ascii="Archivo" w:cs="Archivo" w:eastAsia="Archivo" w:hAnsi="Archivo"/>
          <w:sz w:val="21"/>
          <w:szCs w:val="21"/>
        </w:rPr>
        <w:t xml:space="preserve">1. ¿Existe desajuste estético tras la reparación puntual del elemento dañado?</w:t>
      </w:r>
    </w:p>
    <w:p>
      <w:pPr>
        <w:pStyle w:val="ListParagraph"/>
        <w:numPr>
          <w:ilvl w:val="0"/>
          <w:numId w:val="2"/>
        </w:numPr>
        <w:spacing w:after="100" w:line="290"/>
      </w:pPr>
      <w:r>
        <w:rPr>
          <w:rFonts w:ascii="Archivo" w:cs="Archivo" w:eastAsia="Archivo" w:hAnsi="Archivo"/>
          <w:sz w:val="21"/>
          <w:szCs w:val="21"/>
        </w:rPr>
        <w:t xml:space="preserve">2. ¿Es posible encontrar en el mercado materiales idénticos a los dañados?</w:t>
      </w:r>
    </w:p>
    <w:p>
      <w:pPr>
        <w:pStyle w:val="ListParagraph"/>
        <w:numPr>
          <w:ilvl w:val="0"/>
          <w:numId w:val="2"/>
        </w:numPr>
        <w:spacing w:after="100" w:line="290"/>
      </w:pPr>
      <w:r>
        <w:rPr>
          <w:rFonts w:ascii="Archivo" w:cs="Archivo" w:eastAsia="Archivo" w:hAnsi="Archivo"/>
          <w:sz w:val="21"/>
          <w:szCs w:val="21"/>
        </w:rPr>
        <w:t xml:space="preserve">3. ¿Resulta proporcionada la sustitución completa del elemento en relación con la entidad del daño?</w:t>
      </w:r>
    </w:p>
    <w:p>
      <w:pPr>
        <w:pStyle w:val="ListParagraph"/>
        <w:numPr>
          <w:ilvl w:val="0"/>
          <w:numId w:val="2"/>
        </w:numPr>
        <w:spacing w:after="100" w:line="290"/>
      </w:pPr>
      <w:r>
        <w:rPr>
          <w:rFonts w:ascii="Archivo" w:cs="Archivo" w:eastAsia="Archivo" w:hAnsi="Archivo"/>
          <w:sz w:val="21"/>
          <w:szCs w:val="21"/>
        </w:rPr>
        <w:t xml:space="preserve">4. ¿Queda la vivienda objetivamente inhabitable? ¿Existe prueba técnica de ello?</w:t>
      </w:r>
    </w:p>
    <w:p>
      <w:pPr>
        <w:pStyle w:val="ListParagraph"/>
        <w:numPr>
          <w:ilvl w:val="0"/>
          <w:numId w:val="2"/>
        </w:numPr>
        <w:spacing w:after="100" w:line="290"/>
      </w:pPr>
      <w:r>
        <w:rPr>
          <w:rFonts w:ascii="Archivo" w:cs="Archivo" w:eastAsia="Archivo" w:hAnsi="Archivo"/>
          <w:sz w:val="21"/>
          <w:szCs w:val="21"/>
        </w:rPr>
        <w:t xml:space="preserve">5. ¿Cubre la póliza gastos de alojamiento provisional, con qué límite temporal y cuantitativo?</w:t>
      </w:r>
    </w:p>
    <w:p>
      <w:pPr>
        <w:pStyle w:val="ListParagraph"/>
        <w:numPr>
          <w:ilvl w:val="0"/>
          <w:numId w:val="2"/>
        </w:numPr>
        <w:spacing w:after="100" w:line="290"/>
      </w:pPr>
      <w:r>
        <w:rPr>
          <w:rFonts w:ascii="Archivo" w:cs="Archivo" w:eastAsia="Archivo" w:hAnsi="Archivo"/>
          <w:sz w:val="21"/>
          <w:szCs w:val="21"/>
        </w:rPr>
        <w:t xml:space="preserve">6. Si el inmueble está arrendado, ¿existe garantía específica de pérdida de alquileres?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13. </w:t>
      </w:r>
      <w:r>
        <w:rPr>
          <w:rFonts w:ascii="Fraunces" w:cs="Fraunces" w:eastAsia="Fraunces" w:hAnsi="Fraunces"/>
          <w:b/>
          <w:bCs/>
          <w:color w:val="0A2540"/>
          <w:sz w:val="30"/>
          <w:szCs w:val="30"/>
        </w:rPr>
        <w:t xml:space="preserve">Responsabilidad civil de la vida privada y del cabeza de familia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13.1. El seguro de responsabilidad civil en la póliza de hogar</w:t>
            </w:r>
          </w:p>
          <w:p>
            <w:pPr>
              <w:spacing w:after="40" w:line="260"/>
            </w:pPr>
            <w:r>
              <w:rPr>
                <w:rFonts w:ascii="Archivo" w:cs="Archivo" w:eastAsia="Archivo" w:hAnsi="Archivo"/>
                <w:sz w:val="18"/>
                <w:szCs w:val="18"/>
              </w:rPr>
              <w:t xml:space="preserve">13.2. La dirección jurídica del siniestro por el asegurador (art. 74 LCS)</w:t>
            </w:r>
          </w:p>
          <w:p>
            <w:pPr>
              <w:spacing w:after="40" w:line="260"/>
            </w:pPr>
            <w:r>
              <w:rPr>
                <w:rFonts w:ascii="Archivo" w:cs="Archivo" w:eastAsia="Archivo" w:hAnsi="Archivo"/>
                <w:sz w:val="18"/>
                <w:szCs w:val="18"/>
              </w:rPr>
              <w:t xml:space="preserve">13.3. La acción directa del perjudicado (art. 76 LCS)</w:t>
            </w:r>
          </w:p>
          <w:p>
            <w:pPr>
              <w:spacing w:after="40" w:line="260"/>
            </w:pPr>
            <w:r>
              <w:rPr>
                <w:rFonts w:ascii="Archivo" w:cs="Archivo" w:eastAsia="Archivo" w:hAnsi="Archivo"/>
                <w:sz w:val="18"/>
                <w:szCs w:val="18"/>
              </w:rPr>
              <w:t xml:space="preserve">13.4. La responsabilidad civil por hecho ajeno: hijos, dependientes y mascotas (art. 1903 CC)</w:t>
            </w:r>
          </w:p>
          <w:p>
            <w:pPr>
              <w:spacing w:after="40" w:line="260"/>
            </w:pPr>
            <w:r>
              <w:rPr>
                <w:rFonts w:ascii="Archivo" w:cs="Archivo" w:eastAsia="Archivo" w:hAnsi="Archivo"/>
                <w:sz w:val="18"/>
                <w:szCs w:val="18"/>
              </w:rPr>
              <w:t xml:space="preserve">13.5. Inoponibilidad del dolo del asegurado al tercero perjudicado</w:t>
            </w:r>
          </w:p>
          <w:p>
            <w:pPr>
              <w:spacing w:after="40" w:line="260"/>
            </w:pPr>
            <w:r>
              <w:rPr>
                <w:rFonts w:ascii="Archivo" w:cs="Archivo" w:eastAsia="Archivo" w:hAnsi="Archivo"/>
                <w:sz w:val="18"/>
                <w:szCs w:val="18"/>
              </w:rPr>
              <w:t xml:space="preserve">13.6. Ficha para el profesional</w:t>
            </w:r>
          </w:p>
          <w:p>
            <w:pPr>
              <w:spacing w:after="40" w:line="260"/>
            </w:pPr>
            <w:r>
              <w:rPr>
                <w:rFonts w:ascii="Archivo" w:cs="Archivo" w:eastAsia="Archivo" w:hAnsi="Archivo"/>
                <w:sz w:val="18"/>
                <w:szCs w:val="18"/>
              </w:rPr>
              <w:t xml:space="preserve">13.7. Ficha para el asegurado</w:t>
            </w:r>
          </w:p>
          <w:p>
            <w:pPr>
              <w:spacing w:after="40" w:line="260"/>
            </w:pPr>
            <w:r>
              <w:rPr>
                <w:rFonts w:ascii="Archivo" w:cs="Archivo" w:eastAsia="Archivo" w:hAnsi="Archivo"/>
                <w:sz w:val="18"/>
                <w:szCs w:val="18"/>
              </w:rPr>
              <w:t xml:space="preserve">13.8. Checklist: gestión de una reclamación de responsabilidad civil del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garantía de responsabilidad civil de la vida privada o del cabeza de familia, presente en la práctica totalidad de las pólizas de hogar, que traslada al asegurado el régimen especial de los arts. 73 a 76 LCS: dirección jurídica del siniestro por el asegurador, acción directa del perjudicado e inoponibilidad a este de las excepciones personales del asegurador frente al asegurado, incluida la propia mala fe de este último, conforme a la reciente doctrina de la Sala Primera aplicada precisamente a un seguro multirriesgo del hogar.</w:t>
            </w:r>
          </w:p>
          <w:p>
            <w:pPr>
              <w:spacing w:after="160"/>
            </w:pPr>
            <w:r>
              <w:rPr>
                <w:rFonts w:ascii="Archivo" w:cs="Archivo" w:eastAsia="Archivo" w:hAnsi="Archivo"/>
                <w:b/>
                <w:bCs/>
                <w:sz w:val="17"/>
                <w:szCs w:val="17"/>
              </w:rPr>
              <w:t xml:space="preserve">Palabras clave: responsabilidad civil, cabeza de familia, art. 73 LCS, art. 76 LCS, acción directa, inoponibilidad, dolo.</w:t>
            </w:r>
          </w:p>
          <w:p>
            <w:pPr>
              <w:spacing w:after="100"/>
              <w:jc w:val="both"/>
            </w:pPr>
            <w:r>
              <w:rPr>
                <w:rFonts w:ascii="Archivo" w:cs="Archivo" w:eastAsia="Archivo" w:hAnsi="Archivo"/>
                <w:i/>
                <w:iCs/>
                <w:sz w:val="18"/>
                <w:szCs w:val="18"/>
              </w:rPr>
              <w:t xml:space="preserve">This chapter examines the private/family liability cover present in virtually every homeowners' policy, which imports the special regime of Articles 73 to 76 of the Insurance Contract Act: the insurer's conduct of the claim's legal defence, the injured third party's direct action, and the inopposability to that party of the insurer's personal defences against the insured — including the insured's own bad faith — under recent Supreme Court case law applied precisely to a homeowners' multi-risk policy.</w:t>
            </w:r>
          </w:p>
          <w:p>
            <w:pPr>
              <w:spacing w:after="0"/>
            </w:pPr>
            <w:r>
              <w:rPr>
                <w:rFonts w:ascii="Archivo" w:cs="Archivo" w:eastAsia="Archivo" w:hAnsi="Archivo"/>
                <w:b/>
                <w:bCs/>
                <w:sz w:val="17"/>
                <w:szCs w:val="17"/>
              </w:rPr>
              <w:t xml:space="preserve">Keywords: liability insurance, family liability cover, direct action, inopposability of defences, wilful misconduct.</w:t>
            </w:r>
          </w:p>
        </w:tc>
      </w:tr>
    </w:tbl>
    <w:p>
      <w:pPr>
        <w:spacing w:after="200"/>
      </w:pPr>
    </w:p>
    <w:p>
      <w:pPr>
        <w:pStyle w:val="Heading2"/>
        <w:spacing w:after="160" w:before="400"/>
      </w:pPr>
      <w:r>
        <w:rPr>
          <w:rFonts w:ascii="Fraunces" w:cs="Fraunces" w:eastAsia="Fraunces" w:hAnsi="Fraunces"/>
          <w:b/>
          <w:bCs/>
          <w:color w:val="0A2540"/>
          <w:sz w:val="24"/>
          <w:szCs w:val="24"/>
        </w:rPr>
        <w:t xml:space="preserve">13.1. El seguro de responsabilidad civil en la póliza de hogar</w:t>
      </w:r>
    </w:p>
    <w:p>
      <w:pPr>
        <w:spacing w:after="180" w:line="300"/>
        <w:jc w:val="both"/>
      </w:pPr>
      <w:r>
        <w:rPr>
          <w:rFonts w:ascii="Archivo" w:cs="Archivo" w:eastAsia="Archivo" w:hAnsi="Archivo"/>
          <w:sz w:val="21"/>
          <w:szCs w:val="21"/>
        </w:rPr>
        <w:t xml:space="preserve">Prácticamente ninguna póliza de hogar española prescinde de una garantía de responsabilidad civil de la vida privada o del cabeza de familia, que cubre la responsabilidad extracontractual en que puedan incurrir el asegurado y las personas con él convivientes en su vida privada, distinta y adicional a la cobertura de daños propios estudiada en los capítulos anteriores. Esta garantía traslada al contrato el régimen especial que la LCS reserva al seguro de responsabilidad civil en sus arts. 73 a 76</w:t>
      </w:r>
      <w:r>
        <w:rPr>
          <w:rStyle w:val="FootnoteReference"/>
        </w:rPr>
        <w:footnoteReference w:id="3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73 LCS</w:t>
            </w:r>
          </w:p>
          <w:p>
            <w:pPr>
              <w:spacing w:after="0" w:line="280"/>
              <w:jc w:val="both"/>
            </w:pPr>
            <w:r>
              <w:rPr>
                <w:rFonts w:ascii="IBM Plex Mono" w:cs="IBM Plex Mono" w:eastAsia="IBM Plex Mono" w:hAnsi="IBM Plex Mono"/>
                <w:i/>
                <w:iCs/>
                <w:color w:val="0A2540"/>
                <w:sz w:val="18"/>
                <w:szCs w:val="18"/>
              </w:rPr>
              <w:t xml:space="preserve">Por el seguro de responsabilidad civil el asegurador se obliga, dentro de los límites establecidos en la Ley y en el contrato, a cubrir el riesgo del nacimiento a cargo del asegurado de la obligación de indemnizar a un tercero los daños y perjuicios causados por un hecho previsto en el contrato de cuyas consecuencias sea civilmente responsable el asegurado, conforme a derecho.</w:t>
            </w:r>
          </w:p>
        </w:tc>
      </w:tr>
    </w:tbl>
    <w:p>
      <w:pPr>
        <w:spacing w:after="180" w:line="300"/>
        <w:jc w:val="both"/>
      </w:pPr>
      <w:r>
        <w:rPr>
          <w:rFonts w:ascii="Archivo" w:cs="Archivo" w:eastAsia="Archivo" w:hAnsi="Archivo"/>
          <w:sz w:val="21"/>
          <w:szCs w:val="21"/>
        </w:rPr>
        <w:t xml:space="preserve">La cláusula de definición de «asegurados» a efectos de esta garantía es, en la práctica del hogar, de importancia capital: suele extenderse, más allá del tomador, al cónyuge o pareja, a los hijos y demás familiares convivientes, e incluso, en ocasiones, al personal doméstico al servicio del hogar, configurando lo que la práctica del sector denomina «responsabilidad civil del cabeza de familia», precisamente porque cubre la responsabilidad de todo el núcleo de convivencia y no solo la del tomador individual.</w:t>
      </w:r>
    </w:p>
    <w:p>
      <w:pPr>
        <w:pStyle w:val="Heading2"/>
        <w:spacing w:after="160" w:before="400"/>
      </w:pPr>
      <w:r>
        <w:rPr>
          <w:rFonts w:ascii="Fraunces" w:cs="Fraunces" w:eastAsia="Fraunces" w:hAnsi="Fraunces"/>
          <w:b/>
          <w:bCs/>
          <w:color w:val="0A2540"/>
          <w:sz w:val="24"/>
          <w:szCs w:val="24"/>
        </w:rPr>
        <w:t xml:space="preserve">13.2. La dirección jurídica del siniestro por el asegurador</w:t>
      </w:r>
    </w:p>
    <w:p>
      <w:pPr>
        <w:spacing w:after="180" w:line="300"/>
        <w:jc w:val="both"/>
      </w:pPr>
      <w:r>
        <w:rPr>
          <w:rFonts w:ascii="Archivo" w:cs="Archivo" w:eastAsia="Archivo" w:hAnsi="Archivo"/>
          <w:sz w:val="21"/>
          <w:szCs w:val="21"/>
        </w:rPr>
        <w:t xml:space="preserve">Producida una reclamación de responsabilidad civil, el artículo 74 LCS atribuye al asegurador, salvo pacto en contrario, la dirección jurídica de la defensa frente al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74 LCS</w:t>
            </w:r>
          </w:p>
          <w:p>
            <w:pPr>
              <w:spacing w:after="0" w:line="280"/>
              <w:jc w:val="both"/>
            </w:pPr>
            <w:r>
              <w:rPr>
                <w:rFonts w:ascii="IBM Plex Mono" w:cs="IBM Plex Mono" w:eastAsia="IBM Plex Mono" w:hAnsi="IBM Plex Mono"/>
                <w:i/>
                <w:iCs/>
                <w:color w:val="0A2540"/>
                <w:sz w:val="18"/>
                <w:szCs w:val="18"/>
              </w:rPr>
              <w:t xml:space="preserve">Salvo pacto en contrario, el asegurador asumirá la dirección jurídica frente a la reclamación del perjudicado, y serán de su cuenta los gastos de defensa que se ocasionen. El asegurado deberá prestar la colaboración necesaria en orden a la dirección jurídica asumida por el asegurador. No obstante lo dispuesto en el párrafo anterior, cuando quien reclame esté también asegurado con el mismo asegurador o exista algún otro posible conflicto de intereses, éste comunicará inmediatamente al asegurado la existencia de esas circunstancias [...]. El asegurado podrá optar entre el mantenimiento de la dirección jurídica por el asegurador o confiar su propia defensa a otra persona. En este último caso, el asegurador quedará obligado a abonar los gastos de tal dirección jurídica hasta el límite pactado en la póliza.</w:t>
            </w:r>
          </w:p>
        </w:tc>
      </w:tr>
    </w:tbl>
    <w:p>
      <w:pPr>
        <w:spacing w:after="180" w:line="300"/>
        <w:jc w:val="both"/>
      </w:pPr>
      <w:r>
        <w:rPr>
          <w:rFonts w:ascii="Archivo" w:cs="Archivo" w:eastAsia="Archivo" w:hAnsi="Archivo"/>
          <w:sz w:val="21"/>
          <w:szCs w:val="21"/>
        </w:rPr>
        <w:t xml:space="preserve">La regla de conflicto de intereses del párrafo segundo tiene particular relevancia en el ámbito doméstico: si el perjudicado por el siniestro (por ejemplo, un vecino dañado por una filtración de agua imputable al asegurado) está asegurado con la misma compañía, el asegurador debe comunicarlo de inmediato al asegurado, que puede entonces optar por una defensa independiente, con cargo a la aseguradora hasta el límite pactado en póliza.</w:t>
      </w:r>
    </w:p>
    <w:p>
      <w:pPr>
        <w:pStyle w:val="Heading2"/>
        <w:spacing w:after="160" w:before="400"/>
      </w:pPr>
      <w:r>
        <w:rPr>
          <w:rFonts w:ascii="Fraunces" w:cs="Fraunces" w:eastAsia="Fraunces" w:hAnsi="Fraunces"/>
          <w:b/>
          <w:bCs/>
          <w:color w:val="0A2540"/>
          <w:sz w:val="24"/>
          <w:szCs w:val="24"/>
        </w:rPr>
        <w:t xml:space="preserve">13.3. La acción directa del perjudicado</w:t>
      </w:r>
    </w:p>
    <w:p>
      <w:pPr>
        <w:spacing w:after="180" w:line="300"/>
        <w:jc w:val="both"/>
      </w:pPr>
      <w:r>
        <w:rPr>
          <w:rFonts w:ascii="Archivo" w:cs="Archivo" w:eastAsia="Archivo" w:hAnsi="Archivo"/>
          <w:sz w:val="21"/>
          <w:szCs w:val="21"/>
        </w:rPr>
        <w:t xml:space="preserve">El precepto más relevante en la práctica litigiosa de esta cobertura es, sin duda, el artículo 76 LCS, que reconoce al tercero perjudicado —no asegurado, ni tomador, ni beneficiario en sentido técnico— una acción directa contra el asegurador, dotada de un régimen de oponibilidad de excepciones singularmente restrictivo</w:t>
      </w:r>
      <w:r>
        <w:rPr>
          <w:rStyle w:val="FootnoteReference"/>
        </w:rPr>
        <w:footnoteReference w:id="3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76 LCS</w:t>
            </w:r>
          </w:p>
          <w:p>
            <w:pPr>
              <w:spacing w:after="0" w:line="280"/>
              <w:jc w:val="both"/>
            </w:pPr>
            <w:r>
              <w:rPr>
                <w:rFonts w:ascii="IBM Plex Mono" w:cs="IBM Plex Mono" w:eastAsia="IBM Plex Mono" w:hAnsi="IBM Plex Mono"/>
                <w:i/>
                <w:iCs/>
                <w:color w:val="0A2540"/>
                <w:sz w:val="18"/>
                <w:szCs w:val="18"/>
              </w:rPr>
              <w:t xml:space="preserve">El perjudicado o sus herederos tendrán acción directa contra el asegurador para exigirle el cumplimiento de la obligación de indemnizar, sin perjuicio del derecho del asegurador a repetir contra el asegurado, en el caso de que sea debido a conducta dolosa de éste, el daño o perjuicio causado a tercero. La acción directa es inmune a las excepciones que puedan corresponder al asegurador contra el asegurado. El asegurador puede, no obstante, oponer la culpa exclusiva del perjudicado y las excepciones personales que tenga contra éste.</w:t>
            </w:r>
          </w:p>
        </w:tc>
      </w:tr>
    </w:tbl>
    <w:p>
      <w:pPr>
        <w:spacing w:after="180" w:line="300"/>
        <w:jc w:val="both"/>
      </w:pPr>
      <w:r>
        <w:rPr>
          <w:rFonts w:ascii="Archivo" w:cs="Archivo" w:eastAsia="Archivo" w:hAnsi="Archivo"/>
          <w:sz w:val="21"/>
          <w:szCs w:val="21"/>
        </w:rPr>
        <w:t xml:space="preserve">La «inmunidad» de la acción directa frente a las excepciones que el asegurador tendría frente a su propio asegurado —por ejemplo, el impago de la prima, una reserva o inexactitud en la declaración del riesgo, o la propia mala fe del asegurado en la causación del daño— constituye el rasgo más distintivo de esta acción y la principal fuente de litigiosidad sobre su alcance, según se desarrolla en el epígrafe siguiente.</w:t>
      </w:r>
    </w:p>
    <w:p>
      <w:pPr>
        <w:pStyle w:val="Heading2"/>
        <w:spacing w:after="160" w:before="400"/>
      </w:pPr>
      <w:r>
        <w:rPr>
          <w:rFonts w:ascii="Fraunces" w:cs="Fraunces" w:eastAsia="Fraunces" w:hAnsi="Fraunces"/>
          <w:b/>
          <w:bCs/>
          <w:color w:val="0A2540"/>
          <w:sz w:val="24"/>
          <w:szCs w:val="24"/>
        </w:rPr>
        <w:t xml:space="preserve">13.4. La responsabilidad civil por hecho ajeno: hijos, dependientes y mascotas</w:t>
      </w:r>
    </w:p>
    <w:p>
      <w:pPr>
        <w:spacing w:after="180" w:line="300"/>
        <w:jc w:val="both"/>
      </w:pPr>
      <w:r>
        <w:rPr>
          <w:rFonts w:ascii="Archivo" w:cs="Archivo" w:eastAsia="Archivo" w:hAnsi="Archivo"/>
          <w:sz w:val="21"/>
          <w:szCs w:val="21"/>
        </w:rPr>
        <w:t xml:space="preserve">La garantía de responsabilidad civil del hogar opera con frecuencia en conexión con los supuestos de responsabilidad por hecho ajeno del artículo 1903 CC, particularmente relevante en el contexto familiar: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1903 CC (extracto)</w:t>
            </w:r>
          </w:p>
          <w:p>
            <w:pPr>
              <w:spacing w:after="0" w:line="280"/>
              <w:jc w:val="both"/>
            </w:pPr>
            <w:r>
              <w:rPr>
                <w:rFonts w:ascii="IBM Plex Mono" w:cs="IBM Plex Mono" w:eastAsia="IBM Plex Mono" w:hAnsi="IBM Plex Mono"/>
                <w:i/>
                <w:iCs/>
                <w:color w:val="0A2540"/>
                <w:sz w:val="18"/>
                <w:szCs w:val="18"/>
              </w:rPr>
              <w:t xml:space="preserve">La obligación que impone el artículo anterior es exigible no sólo por los actos u omisiones propios, sino por los de aquellas personas de quienes se debe responder. Los padres son responsables de los daños causados por los hijos que se encuentren bajo su guarda. [...] La responsabilidad de que trata este artículo cesará cuando las personas en él mencionadas prueben que emplearon toda la diligencia de un buen padre de familia para prevenir el daño.</w:t>
            </w:r>
          </w:p>
        </w:tc>
      </w:tr>
    </w:tbl>
    <w:p>
      <w:pPr>
        <w:spacing w:after="180" w:line="300"/>
        <w:jc w:val="both"/>
      </w:pPr>
      <w:r>
        <w:rPr>
          <w:rFonts w:ascii="Archivo" w:cs="Archivo" w:eastAsia="Archivo" w:hAnsi="Archivo"/>
          <w:sz w:val="21"/>
          <w:szCs w:val="21"/>
        </w:rPr>
        <w:t xml:space="preserve">Cuando un hijo menor conviviente causa un daño a un tercero (por ejemplo, un incendio accidental, la rotura de un objeto ajeno o una lesión durante un juego), la responsabilidad civil de los padres ex art. 1903 CC queda, en la práctica, cubierta por la póliza de responsabilidad civil del hogar en la medida en que la cláusula de «asegurados» de la póliza —y no solo la ley civil— extienda la cobertura a los hijos convivientes, extremo que debe verificarse en las condiciones particulares de cada contrato concreto</w:t>
      </w:r>
      <w:r>
        <w:rPr>
          <w:rStyle w:val="FootnoteReference"/>
        </w:rPr>
        <w:footnoteReference w:id="33"/>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cuestión de mayor dificultad práctica en este ámbito es la de los hechos del menor que, además de dañosos, son constitutivos de una conducta dolosa o incluso delictiva (por ejemplo, un incendio provocado deliberadamente por un menor durante un juego de riesgo). La respuesta, conforme a la jurisprudencia menor mayoritaria, distingue con nitidez la posición del menor autor material de la de los padres asegurados: la exclusión de cobertura por mala fe o dolo del art. 19 LCS (epígrafe 13.5 y capítulo 21) se predica del propio asegurado frente al que se dirige la acción, de modo que la responsabilidad civil de los padres —que no es una responsabilidad por hecho propio doloso, sino una responsabilidad objetiva ex lege por hecho ajeno— no queda excluida por la eventual intencionalidad del menor en la causación del daño, salvo que se acredite dolo o culpa grave de los propios progenitores en el incumplimiento de sus deberes de guarda y educación. A ello se suma, como se estudia con mayor detalle en el capítulo 21, que la propia intencionalidad exigida por el art. 19 LCS para excluir la cobertura debe proyectarse sobre el resultado dañoso concreto, y no sobre cualquier conducta arriesgada previa del menor, conforme a la doctrina fijada por la STS, Sala de lo Civil, de 7 de julio de 2006 (ROJ: STS 5884/2006; ECLI:ES:TS:2006:5884; MP: Xiol Ríos).</w:t>
      </w:r>
    </w:p>
    <w:p>
      <w:pPr>
        <w:pStyle w:val="Heading2"/>
        <w:spacing w:after="160" w:before="400"/>
      </w:pPr>
      <w:r>
        <w:rPr>
          <w:rFonts w:ascii="Fraunces" w:cs="Fraunces" w:eastAsia="Fraunces" w:hAnsi="Fraunces"/>
          <w:b/>
          <w:bCs/>
          <w:color w:val="0A2540"/>
          <w:sz w:val="24"/>
          <w:szCs w:val="24"/>
        </w:rPr>
        <w:t xml:space="preserve">13.5. Inoponibilidad del dolo del asegurado al tercero perjudicado</w:t>
      </w:r>
    </w:p>
    <w:p>
      <w:pPr>
        <w:spacing w:after="180" w:line="300"/>
        <w:jc w:val="both"/>
      </w:pPr>
      <w:r>
        <w:rPr>
          <w:rFonts w:ascii="Archivo" w:cs="Archivo" w:eastAsia="Archivo" w:hAnsi="Archivo"/>
          <w:sz w:val="21"/>
          <w:szCs w:val="21"/>
        </w:rPr>
        <w:t xml:space="preserve">El supuesto más delicado —y de mayor relevancia doctrinal— es el de la eventual mala fe o dolo del propio asegurado en la causación del daño, que conforme al art. 19 LCS exoneraría al asegurador frente a su asegurado (capítulo 21), pero cuya oponibilidad al tercero perjudicado plantea un problema distinto. La STS, Sala de lo Civil, de 20 de abril de 2023 (ROJ: STS 1544/2023; ECLI:ES:TS:2023:1544; MP: Vela Torres), resuelve precisamente un supuesto de seguro multirriesgo de hogar en el que el hijo del tomador, asegurado por la cláusula de cabeza de familia, provocó un incendio al sustraer gasolina, siendo condenado penalmente por un delito imprudente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abril de 2023 (ROJ: STS 1544/2023; ECLI:ES:TS:2023:1544; MP: Vela Torres)</w:t>
            </w:r>
          </w:p>
          <w:p>
            <w:pPr>
              <w:spacing w:after="0" w:line="280"/>
              <w:jc w:val="both"/>
            </w:pPr>
            <w:r>
              <w:rPr>
                <w:rFonts w:ascii="Archivo" w:cs="Archivo" w:eastAsia="Archivo" w:hAnsi="Archivo"/>
                <w:color w:val="0A2540"/>
                <w:sz w:val="19"/>
                <w:szCs w:val="19"/>
              </w:rPr>
              <w:t xml:space="preserve">«No puede afirmarse que el incendio dependiera de la voluntad del demandado, por más imprudente o temeraria que fuera su conducta [...]; lo que dependió de su voluntad —intención o dolo— fue la sustracción de la gasolina, pero no la producción del incendio posterior. Pero es que, en cualquier caso, al tratarse de un seguro de responsabilidad civil, en el que la acción del perjudicado contra el asegurador es inmune a las excepciones que puedan corresponder al asegurador contra el asegurado (art. 76 LCS), la inasegurabilidad por dolo no sería oponible al tercero perjudicado.»</w:t>
            </w:r>
          </w:p>
        </w:tc>
      </w:tr>
    </w:tbl>
    <w:p>
      <w:pPr>
        <w:spacing w:after="180" w:line="300"/>
        <w:jc w:val="both"/>
      </w:pPr>
      <w:r>
        <w:rPr>
          <w:rFonts w:ascii="Archivo" w:cs="Archivo" w:eastAsia="Archivo" w:hAnsi="Archivo"/>
          <w:sz w:val="21"/>
          <w:szCs w:val="21"/>
        </w:rPr>
        <w:t xml:space="preserve">La sentencia fija así una doble ratio de gran utilidad práctica. En primer lugar, distingue con precisión el dolo referido al acto inicial (la sustracción de gasolina, voluntaria) del dolo referido al resultado dañoso (el incendio, no querido ni siquiera aceptado como consecuencia probable), rechazando extender automáticamente la calificación dolosa del primero al segundo. En segundo lugar —y esta es la regla de mayor alcance—, incluso si existiera dolo del asegurado que exonerase al asegurador en su relación interna con este (art. 19 LCS), tal circunstancia sería una excepción personal inoponible frente al tercero perjudicado en virtud del art. 76 LCS, que únicamente permite al asegurador oponer a este la culpa exclusiva del propio perjudicado y las excepciones personales que tenga frente a él, no frente al asegurado.</w:t>
      </w:r>
    </w:p>
    <w:p>
      <w:pPr>
        <w:pStyle w:val="Heading2"/>
        <w:spacing w:after="160" w:before="400"/>
      </w:pPr>
      <w:r>
        <w:rPr>
          <w:rFonts w:ascii="Fraunces" w:cs="Fraunces" w:eastAsia="Fraunces" w:hAnsi="Fraunces"/>
          <w:b/>
          <w:bCs/>
          <w:color w:val="0A2540"/>
          <w:sz w:val="24"/>
          <w:szCs w:val="24"/>
        </w:rPr>
        <w:t xml:space="preserve">13.6.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una reclamación de responsabilidad civil del hogar</w:t>
            </w:r>
          </w:p>
          <w:p>
            <w:pPr>
              <w:pStyle w:val="ListParagraph"/>
              <w:numPr>
                <w:ilvl w:val="0"/>
                <w:numId w:val="2"/>
              </w:numPr>
              <w:spacing w:after="80" w:line="280"/>
            </w:pPr>
            <w:r>
              <w:rPr>
                <w:rFonts w:ascii="Archivo" w:cs="Archivo" w:eastAsia="Archivo" w:hAnsi="Archivo"/>
                <w:sz w:val="19"/>
                <w:szCs w:val="19"/>
              </w:rPr>
              <w:t xml:space="preserve">Verificar el ámbito subjetivo de la cláusula de «asegurados» a efectos de responsabilidad civil del cabeza de familia: ¿incluye a hijos, pareja, personal doméstico?</w:t>
            </w:r>
          </w:p>
          <w:p>
            <w:pPr>
              <w:pStyle w:val="ListParagraph"/>
              <w:numPr>
                <w:ilvl w:val="0"/>
                <w:numId w:val="2"/>
              </w:numPr>
              <w:spacing w:after="80" w:line="280"/>
            </w:pPr>
            <w:r>
              <w:rPr>
                <w:rFonts w:ascii="Archivo" w:cs="Archivo" w:eastAsia="Archivo" w:hAnsi="Archivo"/>
                <w:sz w:val="19"/>
                <w:szCs w:val="19"/>
              </w:rPr>
              <w:t xml:space="preserve">Ante un conflicto de intereses (perjudicado también asegurado con la misma compañía), comprobar que el asegurador comunicó la circunstancia y ofreció la opción de dirección jurídica independiente (art. 74 LCS).</w:t>
            </w:r>
          </w:p>
          <w:p>
            <w:pPr>
              <w:pStyle w:val="ListParagraph"/>
              <w:numPr>
                <w:ilvl w:val="0"/>
                <w:numId w:val="2"/>
              </w:numPr>
              <w:spacing w:after="80" w:line="280"/>
            </w:pPr>
            <w:r>
              <w:rPr>
                <w:rFonts w:ascii="Archivo" w:cs="Archivo" w:eastAsia="Archivo" w:hAnsi="Archivo"/>
                <w:sz w:val="19"/>
                <w:szCs w:val="19"/>
              </w:rPr>
              <w:t xml:space="preserve">Si se representa al tercero perjudicado, recordar que la acción directa del art. 76 LCS es inmune a las excepciones personales del asegurador contra el asegurado, incluida —conforme a la STS 1544/2023 (ROJ: STS 1544/2023)— la propia mala fe de este último.</w:t>
            </w:r>
          </w:p>
          <w:p>
            <w:pPr>
              <w:pStyle w:val="ListParagraph"/>
              <w:numPr>
                <w:ilvl w:val="0"/>
                <w:numId w:val="2"/>
              </w:numPr>
              <w:spacing w:after="80" w:line="280"/>
            </w:pPr>
            <w:r>
              <w:rPr>
                <w:rFonts w:ascii="Archivo" w:cs="Archivo" w:eastAsia="Archivo" w:hAnsi="Archivo"/>
                <w:sz w:val="19"/>
                <w:szCs w:val="19"/>
              </w:rPr>
              <w:t xml:space="preserve">Distinguir, en los siniestros con origen en una conducta inicialmente voluntaria del asegurado, el dolo referido al acto del dolo referido al resultado dañoso finalmente producido.</w:t>
            </w:r>
          </w:p>
          <w:p>
            <w:pPr>
              <w:pStyle w:val="ListParagraph"/>
              <w:numPr>
                <w:ilvl w:val="0"/>
                <w:numId w:val="2"/>
              </w:numPr>
              <w:spacing w:after="80" w:line="280"/>
            </w:pPr>
            <w:r>
              <w:rPr>
                <w:rFonts w:ascii="Archivo" w:cs="Archivo" w:eastAsia="Archivo" w:hAnsi="Archivo"/>
                <w:sz w:val="19"/>
                <w:szCs w:val="19"/>
              </w:rPr>
              <w:t xml:space="preserve">Ante hechos dolosos de un hijo menor conviviente, recordar que la responsabilidad civil de los padres ex art. 1903 CC es objetiva y por hecho ajeno, por lo que no queda automáticamente excluida por la intencionalidad del menor, salvo dolo o culpa grave propios de los progenitores en sus deberes de guarda.</w:t>
            </w:r>
          </w:p>
        </w:tc>
      </w:tr>
    </w:tbl>
    <w:p>
      <w:pPr>
        <w:pStyle w:val="Heading2"/>
        <w:spacing w:after="160" w:before="400"/>
      </w:pPr>
      <w:r>
        <w:rPr>
          <w:rFonts w:ascii="Fraunces" w:cs="Fraunces" w:eastAsia="Fraunces" w:hAnsi="Fraunces"/>
          <w:b/>
          <w:bCs/>
          <w:color w:val="0A2540"/>
          <w:sz w:val="24"/>
          <w:szCs w:val="24"/>
        </w:rPr>
        <w:t xml:space="preserve">13.7.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responsabilidad civil de su seguro de hogar</w:t>
            </w:r>
          </w:p>
          <w:p>
            <w:pPr>
              <w:pStyle w:val="ListParagraph"/>
              <w:numPr>
                <w:ilvl w:val="0"/>
                <w:numId w:val="2"/>
              </w:numPr>
              <w:spacing w:after="80" w:line="280"/>
            </w:pPr>
            <w:r>
              <w:rPr>
                <w:rFonts w:ascii="Archivo" w:cs="Archivo" w:eastAsia="Archivo" w:hAnsi="Archivo"/>
                <w:sz w:val="19"/>
                <w:szCs w:val="19"/>
              </w:rPr>
              <w:t xml:space="preserve">Compruebe quién está cubierto como «asegurado» a efectos de responsabilidad civil: no siempre incluye automáticamente a todos los convivientes.</w:t>
            </w:r>
          </w:p>
          <w:p>
            <w:pPr>
              <w:pStyle w:val="ListParagraph"/>
              <w:numPr>
                <w:ilvl w:val="0"/>
                <w:numId w:val="2"/>
              </w:numPr>
              <w:spacing w:after="80" w:line="280"/>
            </w:pPr>
            <w:r>
              <w:rPr>
                <w:rFonts w:ascii="Archivo" w:cs="Archivo" w:eastAsia="Archivo" w:hAnsi="Archivo"/>
                <w:sz w:val="19"/>
                <w:szCs w:val="19"/>
              </w:rPr>
              <w:t xml:space="preserve">Si alguien de su entorno familiar causa un daño a un tercero (un vecino, un invitado), comuníquelo a su aseguradora incluso si tiene dudas sobre su responsabilidad: la aseguradora asumirá, salvo pacto en contrario, la dirección jurídica de su defensa.</w:t>
            </w:r>
          </w:p>
          <w:p>
            <w:pPr>
              <w:pStyle w:val="ListParagraph"/>
              <w:numPr>
                <w:ilvl w:val="0"/>
                <w:numId w:val="2"/>
              </w:numPr>
              <w:spacing w:after="80" w:line="280"/>
            </w:pPr>
            <w:r>
              <w:rPr>
                <w:rFonts w:ascii="Archivo" w:cs="Archivo" w:eastAsia="Archivo" w:hAnsi="Archivo"/>
                <w:sz w:val="19"/>
                <w:szCs w:val="19"/>
              </w:rPr>
              <w:t xml:space="preserve">Si el perjudicado también es cliente de su misma aseguradora, tiene derecho a que se lo comuniquen y a elegir defensa independiente si lo prefiere.</w:t>
            </w:r>
          </w:p>
        </w:tc>
      </w:tr>
    </w:tbl>
    <w:p>
      <w:pPr>
        <w:pStyle w:val="Heading2"/>
        <w:spacing w:after="160" w:before="400"/>
      </w:pPr>
      <w:r>
        <w:rPr>
          <w:rFonts w:ascii="Fraunces" w:cs="Fraunces" w:eastAsia="Fraunces" w:hAnsi="Fraunces"/>
          <w:b/>
          <w:bCs/>
          <w:color w:val="0A2540"/>
          <w:sz w:val="24"/>
          <w:szCs w:val="24"/>
        </w:rPr>
        <w:t xml:space="preserve">13.8. Checklist: gestión de una reclamación de responsabilidad civil del hogar</w:t>
      </w:r>
    </w:p>
    <w:p>
      <w:pPr>
        <w:pStyle w:val="ListParagraph"/>
        <w:numPr>
          <w:ilvl w:val="0"/>
          <w:numId w:val="2"/>
        </w:numPr>
        <w:spacing w:after="100" w:line="290"/>
      </w:pPr>
      <w:r>
        <w:rPr>
          <w:rFonts w:ascii="Archivo" w:cs="Archivo" w:eastAsia="Archivo" w:hAnsi="Archivo"/>
          <w:sz w:val="21"/>
          <w:szCs w:val="21"/>
        </w:rPr>
        <w:t xml:space="preserve">1. ¿Quién causó el daño y qué relación tiene con el asegurado (hijo, pareja, personal doméstico, el propio asegurado)?</w:t>
      </w:r>
    </w:p>
    <w:p>
      <w:pPr>
        <w:pStyle w:val="ListParagraph"/>
        <w:numPr>
          <w:ilvl w:val="0"/>
          <w:numId w:val="2"/>
        </w:numPr>
        <w:spacing w:after="100" w:line="290"/>
      </w:pPr>
      <w:r>
        <w:rPr>
          <w:rFonts w:ascii="Archivo" w:cs="Archivo" w:eastAsia="Archivo" w:hAnsi="Archivo"/>
          <w:sz w:val="21"/>
          <w:szCs w:val="21"/>
        </w:rPr>
        <w:t xml:space="preserve">2. ¿La cláusula de «asegurados» de la póliza cubre a esa persona?</w:t>
      </w:r>
    </w:p>
    <w:p>
      <w:pPr>
        <w:pStyle w:val="ListParagraph"/>
        <w:numPr>
          <w:ilvl w:val="0"/>
          <w:numId w:val="2"/>
        </w:numPr>
        <w:spacing w:after="100" w:line="290"/>
      </w:pPr>
      <w:r>
        <w:rPr>
          <w:rFonts w:ascii="Archivo" w:cs="Archivo" w:eastAsia="Archivo" w:hAnsi="Archivo"/>
          <w:sz w:val="21"/>
          <w:szCs w:val="21"/>
        </w:rPr>
        <w:t xml:space="preserve">3. ¿Existe conflicto de intereses (perjudicado asegurado con la misma compañía)?</w:t>
      </w:r>
    </w:p>
    <w:p>
      <w:pPr>
        <w:pStyle w:val="ListParagraph"/>
        <w:numPr>
          <w:ilvl w:val="0"/>
          <w:numId w:val="2"/>
        </w:numPr>
        <w:spacing w:after="100" w:line="290"/>
      </w:pPr>
      <w:r>
        <w:rPr>
          <w:rFonts w:ascii="Archivo" w:cs="Archivo" w:eastAsia="Archivo" w:hAnsi="Archivo"/>
          <w:sz w:val="21"/>
          <w:szCs w:val="21"/>
        </w:rPr>
        <w:t xml:space="preserve">4. ¿Existe resolución penal previa sobre los hechos? ¿Califica la conducta como dolosa o imprudente, y respecto de qué elemento (acto o resultado)?</w:t>
      </w:r>
    </w:p>
    <w:p>
      <w:pPr>
        <w:pStyle w:val="ListParagraph"/>
        <w:numPr>
          <w:ilvl w:val="0"/>
          <w:numId w:val="2"/>
        </w:numPr>
        <w:spacing w:after="100" w:line="290"/>
      </w:pPr>
      <w:r>
        <w:rPr>
          <w:rFonts w:ascii="Archivo" w:cs="Archivo" w:eastAsia="Archivo" w:hAnsi="Archivo"/>
          <w:sz w:val="21"/>
          <w:szCs w:val="21"/>
        </w:rPr>
        <w:t xml:space="preserve">5. ¿Se ha ejercitado o se va a ejercitar la acción directa del art. 76 LCS frente al asegurador?</w:t>
      </w:r>
    </w:p>
    <w:p>
      <w:pPr>
        <w:pStyle w:val="ListParagraph"/>
        <w:numPr>
          <w:ilvl w:val="0"/>
          <w:numId w:val="2"/>
        </w:numPr>
        <w:spacing w:after="100" w:line="290"/>
      </w:pPr>
      <w:r>
        <w:rPr>
          <w:rFonts w:ascii="Archivo" w:cs="Archivo" w:eastAsia="Archivo" w:hAnsi="Archivo"/>
          <w:sz w:val="21"/>
          <w:szCs w:val="21"/>
        </w:rPr>
        <w:t xml:space="preserve">6. ¿Qué límite de indemnización y de gastos de defensa jurídica establece la póliza para esta garantía?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spacing w:after="180" w:line="3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pStyle w:val="Heading1"/>
        <w:pageBreakBefore/>
        <w:spacing w:after="300" w:before="200"/>
      </w:pPr>
      <w:r>
        <w:rPr>
          <w:rFonts w:ascii="Archivo" w:cs="Archivo" w:eastAsia="Archivo" w:hAnsi="Archivo"/>
          <w:b/>
          <w:bCs/>
          <w:color w:val="1B6DF0"/>
          <w:sz w:val="22"/>
          <w:szCs w:val="22"/>
        </w:rPr>
        <w:t xml:space="preserve">Capítulo 14. </w:t>
      </w:r>
      <w:r>
        <w:rPr>
          <w:rFonts w:ascii="Fraunces" w:cs="Fraunces" w:eastAsia="Fraunces" w:hAnsi="Fraunces"/>
          <w:b/>
          <w:bCs/>
          <w:color w:val="0A2540"/>
          <w:sz w:val="30"/>
          <w:szCs w:val="30"/>
        </w:rPr>
        <w:t xml:space="preserve">Defensa jurídica y asistencia en el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14.1. El seguro de defensa jurídica como garantía autónoma</w:t>
            </w:r>
          </w:p>
          <w:p>
            <w:pPr>
              <w:spacing w:after="40" w:line="260"/>
            </w:pPr>
            <w:r>
              <w:rPr>
                <w:rFonts w:ascii="Archivo" w:cs="Archivo" w:eastAsia="Archivo" w:hAnsi="Archivo"/>
                <w:sz w:val="18"/>
                <w:szCs w:val="18"/>
              </w:rPr>
              <w:t xml:space="preserve">14.2. El derecho de libre elección de abogado y procurador</w:t>
            </w:r>
          </w:p>
          <w:p>
            <w:pPr>
              <w:spacing w:after="40" w:line="260"/>
            </w:pPr>
            <w:r>
              <w:rPr>
                <w:rFonts w:ascii="Archivo" w:cs="Archivo" w:eastAsia="Archivo" w:hAnsi="Archivo"/>
                <w:sz w:val="18"/>
                <w:szCs w:val="18"/>
              </w:rPr>
              <w:t xml:space="preserve">14.2.1. La delimitación del ámbito de cobertura por las Audiencias Provinciales</w:t>
            </w:r>
          </w:p>
          <w:p>
            <w:pPr>
              <w:spacing w:after="40" w:line="260"/>
            </w:pPr>
            <w:r>
              <w:rPr>
                <w:rFonts w:ascii="Archivo" w:cs="Archivo" w:eastAsia="Archivo" w:hAnsi="Archivo"/>
                <w:sz w:val="18"/>
                <w:szCs w:val="18"/>
              </w:rPr>
              <w:t xml:space="preserve">14.3. Los límites cuantitativos a la libre elección: delimitadores, limitativos o lesivos</w:t>
            </w:r>
          </w:p>
          <w:p>
            <w:pPr>
              <w:spacing w:after="40" w:line="260"/>
            </w:pPr>
            <w:r>
              <w:rPr>
                <w:rFonts w:ascii="Archivo" w:cs="Archivo" w:eastAsia="Archivo" w:hAnsi="Archivo"/>
                <w:sz w:val="18"/>
                <w:szCs w:val="18"/>
              </w:rPr>
              <w:t xml:space="preserve">14.4. Conflicto de intereses y defensa independiente en la garantía de responsabilidad civil</w:t>
            </w:r>
          </w:p>
          <w:p>
            <w:pPr>
              <w:spacing w:after="40" w:line="260"/>
            </w:pPr>
            <w:r>
              <w:rPr>
                <w:rFonts w:ascii="Archivo" w:cs="Archivo" w:eastAsia="Archivo" w:hAnsi="Archivo"/>
                <w:sz w:val="18"/>
                <w:szCs w:val="18"/>
              </w:rPr>
              <w:t xml:space="preserve">14.5. La garantía de asistencia en el hogar</w:t>
            </w:r>
          </w:p>
          <w:p>
            <w:pPr>
              <w:spacing w:after="40" w:line="260"/>
            </w:pPr>
            <w:r>
              <w:rPr>
                <w:rFonts w:ascii="Archivo" w:cs="Archivo" w:eastAsia="Archivo" w:hAnsi="Archivo"/>
                <w:sz w:val="18"/>
                <w:szCs w:val="18"/>
              </w:rPr>
              <w:t xml:space="preserve">14.6. Ficha para el profesional</w:t>
            </w:r>
          </w:p>
          <w:p>
            <w:pPr>
              <w:spacing w:after="40" w:line="260"/>
            </w:pPr>
            <w:r>
              <w:rPr>
                <w:rFonts w:ascii="Archivo" w:cs="Archivo" w:eastAsia="Archivo" w:hAnsi="Archivo"/>
                <w:sz w:val="18"/>
                <w:szCs w:val="18"/>
              </w:rPr>
              <w:t xml:space="preserve">14.7. Ficha para el asegurado</w:t>
            </w:r>
          </w:p>
          <w:p>
            <w:pPr>
              <w:spacing w:after="40" w:line="260"/>
            </w:pPr>
            <w:r>
              <w:rPr>
                <w:rFonts w:ascii="Archivo" w:cs="Archivo" w:eastAsia="Archivo" w:hAnsi="Archivo"/>
                <w:sz w:val="18"/>
                <w:szCs w:val="18"/>
              </w:rPr>
              <w:t xml:space="preserve">14.8. Checklist: activación de la cobertura de defensa jurídica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defensa jurídica del seguro de hogar, regulada como submodalidad autónoma en los arts. 76.a) a 76.g) LCS, con particular atención al derecho de libre elección de abogado y procurador y a la controvertida calificación —delimitadora, limitativa o lesiva— de las cláusulas que fijan un límite cuantitativo a dicho derecho, resuelta por la jurisprudencia mediante un examen casuístico de la suficiencia real del límite pactado. Se completa con el estudio de la garantía, contractual y heterogénea, de asistencia en el hogar.</w:t>
            </w:r>
          </w:p>
          <w:p>
            <w:pPr>
              <w:spacing w:after="160"/>
            </w:pPr>
            <w:r>
              <w:rPr>
                <w:rFonts w:ascii="Archivo" w:cs="Archivo" w:eastAsia="Archivo" w:hAnsi="Archivo"/>
                <w:b/>
                <w:bCs/>
                <w:sz w:val="17"/>
                <w:szCs w:val="17"/>
              </w:rPr>
              <w:t xml:space="preserve">Palabras clave: seguro de defensa jurídica, libre elección de abogado, art. 76 LCS, cláusula limitativa, asistencia en el hogar.</w:t>
            </w:r>
          </w:p>
          <w:p>
            <w:pPr>
              <w:spacing w:after="100"/>
              <w:jc w:val="both"/>
            </w:pPr>
            <w:r>
              <w:rPr>
                <w:rFonts w:ascii="Archivo" w:cs="Archivo" w:eastAsia="Archivo" w:hAnsi="Archivo"/>
                <w:i/>
                <w:iCs/>
                <w:sz w:val="18"/>
                <w:szCs w:val="18"/>
              </w:rPr>
              <w:t xml:space="preserve">This chapter examines the legal expenses cover of homeowners' insurance, regulated as an autonomous sub-type under Articles 76.a) to 76.g) of the Insurance Contract Act, focusing on the policyholder's right to freely choose legal counsel and on the contested classification —risk-delimiting, rights-limiting or unfair— of clauses capping that right in quantitative terms, resolved by case law through a case-by-case assessment of whether the agreed cap is genuinely sufficient. It closes with an examination of the contractual, heterogeneous home-assistance cover.</w:t>
            </w:r>
          </w:p>
          <w:p>
            <w:pPr>
              <w:spacing w:after="0"/>
            </w:pPr>
            <w:r>
              <w:rPr>
                <w:rFonts w:ascii="Archivo" w:cs="Archivo" w:eastAsia="Archivo" w:hAnsi="Archivo"/>
                <w:b/>
                <w:bCs/>
                <w:sz w:val="17"/>
                <w:szCs w:val="17"/>
              </w:rPr>
              <w:t xml:space="preserve">Keywords: legal expenses insurance, free choice of lawyer, limiting clause, home assistance cover.</w:t>
            </w:r>
          </w:p>
        </w:tc>
      </w:tr>
    </w:tbl>
    <w:p>
      <w:pPr>
        <w:spacing w:after="200"/>
      </w:pPr>
    </w:p>
    <w:p>
      <w:pPr>
        <w:pStyle w:val="Heading2"/>
        <w:spacing w:after="160" w:before="400"/>
      </w:pPr>
      <w:r>
        <w:rPr>
          <w:rFonts w:ascii="Fraunces" w:cs="Fraunces" w:eastAsia="Fraunces" w:hAnsi="Fraunces"/>
          <w:b/>
          <w:bCs/>
          <w:color w:val="0A2540"/>
          <w:sz w:val="24"/>
          <w:szCs w:val="24"/>
        </w:rPr>
        <w:t xml:space="preserve">14.1. El seguro de defensa jurídica como garantía autónoma</w:t>
      </w:r>
    </w:p>
    <w:p>
      <w:pPr>
        <w:spacing w:after="180" w:line="300"/>
        <w:jc w:val="both"/>
      </w:pPr>
      <w:r>
        <w:rPr>
          <w:rFonts w:ascii="Archivo" w:cs="Archivo" w:eastAsia="Archivo" w:hAnsi="Archivo"/>
          <w:sz w:val="21"/>
          <w:szCs w:val="21"/>
        </w:rPr>
        <w:t xml:space="preserve">La LCS dedica a esta garantía un régimen propio, distinto del general de responsabilidad civil, en los arts. 76.a) a 76.g), incorporados por la Ley 21/1990 en trasposición de la normativa comunitaria sobre seguro de defensa jurídica. Aunque en la práctica del hogar se contrata siempre integrada en la póliza multirriesgo, conserva su autonomía funcional: cubre los gastos derivados de la defensa jurídica del asegurado, no la indemnización de un daño causado a un tercero</w:t>
      </w:r>
      <w:r>
        <w:rPr>
          <w:rStyle w:val="FootnoteReference"/>
        </w:rPr>
        <w:footnoteReference w:id="34"/>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artículo 74 LCS, ya estudiado en el capítulo 13 a propósito de la dirección jurídica del siniestro de responsabilidad civil, contiene una previsión que conecta ambas garantías: cuando el asegurado, ante un conflicto de intereses, opta por confiar su defensa a un profesional distinto del designado por el asegurador, este «quedará obligado a abonar los gastos de tal dirección jurídica hasta el límite pactado en la póliza» (art. 74, párrafo segundo, in fine). La garantía específica de defensa jurídica extiende y generaliza este derecho de libre elección más allá del supuesto concreto de conflicto de intereses.</w:t>
      </w:r>
    </w:p>
    <w:p>
      <w:pPr>
        <w:pStyle w:val="Heading2"/>
        <w:spacing w:after="160" w:before="400"/>
      </w:pPr>
      <w:r>
        <w:rPr>
          <w:rFonts w:ascii="Fraunces" w:cs="Fraunces" w:eastAsia="Fraunces" w:hAnsi="Fraunces"/>
          <w:b/>
          <w:bCs/>
          <w:color w:val="0A2540"/>
          <w:sz w:val="24"/>
          <w:szCs w:val="24"/>
        </w:rPr>
        <w:t xml:space="preserve">14.2. El derecho de libre elección de abogado y procurador</w:t>
      </w:r>
    </w:p>
    <w:p>
      <w:pPr>
        <w:spacing w:after="180" w:line="300"/>
        <w:jc w:val="both"/>
      </w:pPr>
      <w:r>
        <w:rPr>
          <w:rFonts w:ascii="Archivo" w:cs="Archivo" w:eastAsia="Archivo" w:hAnsi="Archivo"/>
          <w:sz w:val="21"/>
          <w:szCs w:val="21"/>
        </w:rPr>
        <w:t xml:space="preserve">El régimen propio del seguro de defensa jurídica reconoce al asegurado el derecho a elegir libremente los profesionales que le representen y defiendan en cualquier procedimiento, derecho que la STS 584/2021 (ROJ: STS 584/2021) sitúa expresamente en el art. 76.d) LCS</w:t>
      </w:r>
      <w:r>
        <w:rPr>
          <w:rStyle w:val="FootnoteReference"/>
        </w:rPr>
        <w:footnoteReference w:id="35"/>
      </w:r>
      <w:r>
        <w:rPr>
          <w:rFonts w:ascii="Archivo" w:cs="Archivo" w:eastAsia="Archivo" w:hAnsi="Archivo"/>
          <w:sz w:val="21"/>
          <w:szCs w:val="21"/>
        </w:rPr>
        <w:t xml:space="preserve">, y que la propia Sala Primera resume con cita de sus propios precedentes: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w:t>
            </w:r>
          </w:p>
          <w:p>
            <w:pPr>
              <w:spacing w:after="0" w:line="280"/>
              <w:jc w:val="both"/>
            </w:pPr>
            <w:r>
              <w:rPr>
                <w:rFonts w:ascii="Archivo" w:cs="Archivo" w:eastAsia="Archivo" w:hAnsi="Archivo"/>
                <w:color w:val="0A2540"/>
                <w:sz w:val="19"/>
                <w:szCs w:val="19"/>
              </w:rPr>
              <w:t xml:space="preserve">«En el ámbito del seguro de defensa jurídica, conforme al art. 76.a) LCS, el asegurador queda obligado a hacerse cargo de los gastos de la defensa jurídica libremente elegida ‘dentro de los límites establecidos en la ley y en el contrato’ [...]. La claridad y precisión es exigible a todas las cláusulas del contrato de seguro, tanto si están incluidas en las condiciones generales como en las particulares, y con independencia de que se califiquen de delimitadoras del riesgo o limitativas de los derechos del asegurado.»</w:t>
            </w:r>
          </w:p>
        </w:tc>
      </w:tr>
    </w:tbl>
    <w:p>
      <w:pPr>
        <w:pStyle w:val="Heading3"/>
        <w:spacing w:after="120" w:before="280"/>
      </w:pPr>
      <w:r>
        <w:rPr>
          <w:rFonts w:ascii="Archivo" w:cs="Archivo" w:eastAsia="Archivo" w:hAnsi="Archivo"/>
          <w:b/>
          <w:bCs/>
          <w:color w:val="1B6DF0"/>
          <w:sz w:val="21"/>
          <w:szCs w:val="21"/>
        </w:rPr>
        <w:t xml:space="preserve">14.2.1. La delimitación del ámbito de cobertura por las Audiencias Provinciales</w:t>
      </w:r>
    </w:p>
    <w:p>
      <w:pPr>
        <w:spacing w:after="180" w:line="300"/>
        <w:jc w:val="both"/>
      </w:pPr>
      <w:r>
        <w:rPr>
          <w:rFonts w:ascii="Archivo" w:cs="Archivo" w:eastAsia="Archivo" w:hAnsi="Archivo"/>
          <w:sz w:val="21"/>
          <w:szCs w:val="21"/>
        </w:rPr>
        <w:t xml:space="preserve">La jurisprudencia menor ha tenido ocasión de precisar, en supuestos de seguro de hogar con garantía de defensa jurídica, la frontera entre la cláusula que delimita el ámbito objetivo de esta cobertura (por ejemplo, restringiéndola a hechos derivados de la vida privada del asegurado en el ámbito del hogar) y la que, una vez definido ese ámbito, restringe adicionalmente el derecho ya reconocido: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Jaén (Sección 1.ª), de 15 de septiembre de 2021 (ROJ: SAP J 1184/2021; ECLI:ES:APJ:2021:1184; MP: Carrascosa González)</w:t>
            </w:r>
          </w:p>
          <w:p>
            <w:pPr>
              <w:spacing w:after="0" w:line="280"/>
              <w:jc w:val="both"/>
            </w:pPr>
            <w:r>
              <w:rPr>
                <w:rFonts w:ascii="Archivo" w:cs="Archivo" w:eastAsia="Archivo" w:hAnsi="Archivo"/>
                <w:color w:val="0A2540"/>
                <w:sz w:val="19"/>
                <w:szCs w:val="19"/>
              </w:rPr>
              <w:t xml:space="preserve">«Esta Sala [...] considera que nos encontramos ante una cláusula que configura o delimita el riesgo objeto de cobertura (la ‘protección jurídica’); y no ante una cláusula limitativa de derechos. Debemos partir de que nos encontramos ante un seguro de ‘combinado del hogar’ [...], cuyo objeto y finalidad es en esencia garantizar los riesgos que puedan generarse en dicho ámbito (la vivienda) del asegurado [...]. En la doctrina se ha destacado la problemática delimitación entre la defensa jurídica propia del seguro de responsabilidad civil y el seguro de defensa jurídica [...]: en el seguro de defensa jurídica el asegurado puede adoptar una posición activa, como parte demandante, o también pasiva, como parte demandada, mientras que en el seguro de responsabilidad civil dicho sujeto sólo puede asumir aquella última condición, siempre frente a una reclamación del perjudicado.»</w:t>
            </w:r>
          </w:p>
        </w:tc>
      </w:tr>
    </w:tbl>
    <w:p>
      <w:pPr>
        <w:spacing w:after="180" w:line="300"/>
        <w:jc w:val="both"/>
      </w:pPr>
      <w:r>
        <w:rPr>
          <w:rFonts w:ascii="Archivo" w:cs="Archivo" w:eastAsia="Archivo" w:hAnsi="Archivo"/>
          <w:sz w:val="21"/>
          <w:szCs w:val="21"/>
        </w:rPr>
        <w:t xml:space="preserve">La resolución resulta especialmente ilustrativa porque distingue con nitidez dos coberturas que, aunque próximas, responden a lógicas distintas y así deben analizarse separadamente ante cada siniestro: la defensa jurídica en sentido propio —que ampara tanto la reclamación activa del asegurado frente a terceros como su defensa pasiva— y la dirección jurídica accesoria a la responsabilidad civil estudiada en el capítulo 13 —limitada, por definición, a la posición pasiva del asegurado frente a la reclamación de un perjudicado—. La correcta calificación de en cuál de las dos coberturas encaja un siniestro concreto condiciona tanto el límite económico aplicable como el propio alcance del derecho de libre elección de profesional.</w:t>
      </w:r>
    </w:p>
    <w:p>
      <w:pPr>
        <w:pStyle w:val="Heading2"/>
        <w:spacing w:after="160" w:before="400"/>
      </w:pPr>
      <w:r>
        <w:rPr>
          <w:rFonts w:ascii="Fraunces" w:cs="Fraunces" w:eastAsia="Fraunces" w:hAnsi="Fraunces"/>
          <w:b/>
          <w:bCs/>
          <w:color w:val="0A2540"/>
          <w:sz w:val="24"/>
          <w:szCs w:val="24"/>
        </w:rPr>
        <w:t xml:space="preserve">14.3. Los límites cuantitativos a la libre elección: delimitadores, limitativos o lesivos</w:t>
      </w:r>
    </w:p>
    <w:p>
      <w:pPr>
        <w:spacing w:after="180" w:line="300"/>
        <w:jc w:val="both"/>
      </w:pPr>
      <w:r>
        <w:rPr>
          <w:rFonts w:ascii="Archivo" w:cs="Archivo" w:eastAsia="Archivo" w:hAnsi="Archivo"/>
          <w:sz w:val="21"/>
          <w:szCs w:val="21"/>
        </w:rPr>
        <w:t xml:space="preserve">La práctica totalidad de las pólizas de hogar fijan un límite económico a la cobertura de defensa jurídica en caso de libre designación de profesionales. La calificación jurídica de estos límites —cuestión sobre la que, según reconoce la propia Sala Primera, «ante el silencio del legislador, corresponde a los tribunales»— ha sido resuelta mediante un criterio funcional que atiende a la suficiencia real del límite pactado en relación con el tipo de procedimiento cubierto: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 con cita de la STS 421/2020, de 4 de julio</w:t>
            </w:r>
          </w:p>
          <w:p>
            <w:pPr>
              <w:spacing w:after="0" w:line="280"/>
              <w:jc w:val="both"/>
            </w:pPr>
            <w:r>
              <w:rPr>
                <w:rFonts w:ascii="Archivo" w:cs="Archivo" w:eastAsia="Archivo" w:hAnsi="Archivo"/>
                <w:color w:val="0A2540"/>
                <w:sz w:val="19"/>
                <w:szCs w:val="19"/>
              </w:rPr>
              <w:t xml:space="preserve">«Aunque en principio la cláusula puede calificarse como delimitadora del riesgo, en atención a las circunstancias del caso será limitativa de los derechos del asegurado, incluso lesiva, si fija unos límites notoriamente insuficientes en relación con la cuantía cubierta por el seguro de responsabilidad civil.»</w:t>
            </w:r>
          </w:p>
        </w:tc>
      </w:tr>
    </w:tbl>
    <w:p>
      <w:pPr>
        <w:spacing w:after="180" w:line="300"/>
        <w:jc w:val="both"/>
      </w:pPr>
      <w:r>
        <w:rPr>
          <w:rFonts w:ascii="Archivo" w:cs="Archivo" w:eastAsia="Archivo" w:hAnsi="Archivo"/>
          <w:sz w:val="21"/>
          <w:szCs w:val="21"/>
        </w:rPr>
        <w:t xml:space="preserve">De esta doctrina se extrae una metodología de análisis en tres escalones que el profesional debe aplicar sistemáticamente ante cualquier límite cuantitativo de defensa jurídica: primero, verificar los requisitos formales del art. 3 LCS (destacado y, en su caso, aceptación específica); segundo, comparar el importe del límite con el coste real y previsible de una defensa jurídica adecuada al tipo de procedimiento cubierto (un límite de 600 euros, como el enjuiciado en la propia STS 584/2021, puede resultar manifiestamente insuficiente para un procedimiento ordinario o incluso para un juicio verbal de cierta complejidad); y tercero, si el límite vacía de contenido efectivo el derecho de libre elección reconocido por la ley, concluir su carácter limitativo —o, en los casos más extremos, lesivo y por tanto nulo— con independencia de su ubicación formal en el condicionado.</w:t>
      </w:r>
    </w:p>
    <w:p>
      <w:pPr>
        <w:pStyle w:val="Heading2"/>
        <w:spacing w:after="160" w:before="400"/>
      </w:pPr>
      <w:r>
        <w:rPr>
          <w:rFonts w:ascii="Fraunces" w:cs="Fraunces" w:eastAsia="Fraunces" w:hAnsi="Fraunces"/>
          <w:b/>
          <w:bCs/>
          <w:color w:val="0A2540"/>
          <w:sz w:val="24"/>
          <w:szCs w:val="24"/>
        </w:rPr>
        <w:t xml:space="preserve">14.4. Conflicto de intereses y defensa independiente en la garantía de responsabilidad civil</w:t>
      </w:r>
    </w:p>
    <w:p>
      <w:pPr>
        <w:spacing w:after="180" w:line="300"/>
        <w:jc w:val="both"/>
      </w:pPr>
      <w:r>
        <w:rPr>
          <w:rFonts w:ascii="Archivo" w:cs="Archivo" w:eastAsia="Archivo" w:hAnsi="Archivo"/>
          <w:sz w:val="21"/>
          <w:szCs w:val="21"/>
        </w:rPr>
        <w:t xml:space="preserve">Como se anticipó en el capítulo 13, cuando la reclamación de responsabilidad civil enfrenta al asegurado con otro cliente de la misma aseguradora, o concurre cualquier otro conflicto de intereses, el asegurado puede optar por una dirección jurídica independiente conforme al art. 74 LCS, sujeta también al límite cuantitativo pactado en póliza y al mismo escrutinio de suficiencia que se acaba de exponer para la garantía específica de defensa jurídica.</w:t>
      </w:r>
    </w:p>
    <w:p>
      <w:pPr>
        <w:pStyle w:val="Heading2"/>
        <w:spacing w:after="160" w:before="400"/>
      </w:pPr>
      <w:r>
        <w:rPr>
          <w:rFonts w:ascii="Fraunces" w:cs="Fraunces" w:eastAsia="Fraunces" w:hAnsi="Fraunces"/>
          <w:b/>
          <w:bCs/>
          <w:color w:val="0A2540"/>
          <w:sz w:val="24"/>
          <w:szCs w:val="24"/>
        </w:rPr>
        <w:t xml:space="preserve">14.5. La garantía de asistencia en el hogar</w:t>
      </w:r>
    </w:p>
    <w:p>
      <w:pPr>
        <w:spacing w:after="180" w:line="300"/>
        <w:jc w:val="both"/>
      </w:pPr>
      <w:r>
        <w:rPr>
          <w:rFonts w:ascii="Archivo" w:cs="Archivo" w:eastAsia="Archivo" w:hAnsi="Archivo"/>
          <w:sz w:val="21"/>
          <w:szCs w:val="21"/>
        </w:rPr>
        <w:t xml:space="preserve">Junto a la defensa jurídica propiamente dicha, la práctica aseguradora incorpora con frecuencia una garantía de «asistencia en el hogar» de naturaleza puramente contractual y heterogénea —sin correlato en un régimen legal específico de la LCS— que suele comprender servicios de urgencia (cerrajería, fontanería o electricidad de urgencia), envío de profesionales para reparaciones menores, y en ocasiones asistencia informática o telefónica. Por su naturaleza de prestación de servicios más que de indemnización dineraria, su régimen de cláusulas limitativas y su interpretación se rigen íntegramente por el art. 3 LCS y por la metodología general expuesta en el capítulo 5, sin las especialidades del régimen legal propio del seguro de defensa jurídica.</w:t>
      </w:r>
    </w:p>
    <w:p>
      <w:pPr>
        <w:pStyle w:val="Heading2"/>
        <w:spacing w:after="160" w:before="400"/>
      </w:pPr>
      <w:r>
        <w:rPr>
          <w:rFonts w:ascii="Fraunces" w:cs="Fraunces" w:eastAsia="Fraunces" w:hAnsi="Fraunces"/>
          <w:b/>
          <w:bCs/>
          <w:color w:val="0A2540"/>
          <w:sz w:val="24"/>
          <w:szCs w:val="24"/>
        </w:rPr>
        <w:t xml:space="preserve">14.6.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límite de defensa jurídica insuficiente</w:t>
            </w:r>
          </w:p>
          <w:p>
            <w:pPr>
              <w:pStyle w:val="ListParagraph"/>
              <w:numPr>
                <w:ilvl w:val="0"/>
                <w:numId w:val="2"/>
              </w:numPr>
              <w:spacing w:after="80" w:line="280"/>
            </w:pPr>
            <w:r>
              <w:rPr>
                <w:rFonts w:ascii="Archivo" w:cs="Archivo" w:eastAsia="Archivo" w:hAnsi="Archivo"/>
                <w:sz w:val="19"/>
                <w:szCs w:val="19"/>
              </w:rPr>
              <w:t xml:space="preserve">Comprobar el cumplimiento de los requisitos formales del art. 3 LCS respecto del límite cuantitativo pactado.</w:t>
            </w:r>
          </w:p>
          <w:p>
            <w:pPr>
              <w:pStyle w:val="ListParagraph"/>
              <w:numPr>
                <w:ilvl w:val="0"/>
                <w:numId w:val="2"/>
              </w:numPr>
              <w:spacing w:after="80" w:line="280"/>
            </w:pPr>
            <w:r>
              <w:rPr>
                <w:rFonts w:ascii="Archivo" w:cs="Archivo" w:eastAsia="Archivo" w:hAnsi="Archivo"/>
                <w:sz w:val="19"/>
                <w:szCs w:val="19"/>
              </w:rPr>
              <w:t xml:space="preserve">Cuantificar el coste real y previsible de una defensa jurídica adecuada al procedimiento concreto, comparándolo con el límite pactado, siguiendo la metodología de la STS 584/2021 (ROJ: STS 584/2021).</w:t>
            </w:r>
          </w:p>
          <w:p>
            <w:pPr>
              <w:pStyle w:val="ListParagraph"/>
              <w:numPr>
                <w:ilvl w:val="0"/>
                <w:numId w:val="2"/>
              </w:numPr>
              <w:spacing w:after="80" w:line="280"/>
            </w:pPr>
            <w:r>
              <w:rPr>
                <w:rFonts w:ascii="Archivo" w:cs="Archivo" w:eastAsia="Archivo" w:hAnsi="Archivo"/>
                <w:sz w:val="19"/>
                <w:szCs w:val="19"/>
              </w:rPr>
              <w:t xml:space="preserve">Si el límite resulta notoriamente insuficiente, plantear alternativamente su calificación como cláusula limitativa mal incorporada o como cláusula lesiva nula de pleno derecho.</w:t>
            </w:r>
          </w:p>
          <w:p>
            <w:pPr>
              <w:pStyle w:val="ListParagraph"/>
              <w:numPr>
                <w:ilvl w:val="0"/>
                <w:numId w:val="2"/>
              </w:numPr>
              <w:spacing w:after="80" w:line="280"/>
            </w:pPr>
            <w:r>
              <w:rPr>
                <w:rFonts w:ascii="Archivo" w:cs="Archivo" w:eastAsia="Archivo" w:hAnsi="Archivo"/>
                <w:sz w:val="19"/>
                <w:szCs w:val="19"/>
              </w:rPr>
              <w:t xml:space="preserve">En los seguros de responsabilidad civil con dirección jurídica del asegurador, verificar si concurre conflicto de intereses que habilite la defensa independiente del art. 74 LCS.</w:t>
            </w:r>
          </w:p>
        </w:tc>
      </w:tr>
    </w:tbl>
    <w:p>
      <w:pPr>
        <w:pStyle w:val="Heading2"/>
        <w:spacing w:after="160" w:before="400"/>
      </w:pPr>
      <w:r>
        <w:rPr>
          <w:rFonts w:ascii="Fraunces" w:cs="Fraunces" w:eastAsia="Fraunces" w:hAnsi="Fraunces"/>
          <w:b/>
          <w:bCs/>
          <w:color w:val="0A2540"/>
          <w:sz w:val="24"/>
          <w:szCs w:val="24"/>
        </w:rPr>
        <w:t xml:space="preserve">14.7.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defensa jurídica de su seguro de hogar</w:t>
            </w:r>
          </w:p>
          <w:p>
            <w:pPr>
              <w:pStyle w:val="ListParagraph"/>
              <w:numPr>
                <w:ilvl w:val="0"/>
                <w:numId w:val="2"/>
              </w:numPr>
              <w:spacing w:after="80" w:line="280"/>
            </w:pPr>
            <w:r>
              <w:rPr>
                <w:rFonts w:ascii="Archivo" w:cs="Archivo" w:eastAsia="Archivo" w:hAnsi="Archivo"/>
                <w:sz w:val="19"/>
                <w:szCs w:val="19"/>
              </w:rPr>
              <w:t xml:space="preserve">Tiene derecho a elegir a su propio abogado y procurador en caso de litigio cubierto por esta garantía, no solo a los designados por la aseguradora.</w:t>
            </w:r>
          </w:p>
          <w:p>
            <w:pPr>
              <w:pStyle w:val="ListParagraph"/>
              <w:numPr>
                <w:ilvl w:val="0"/>
                <w:numId w:val="2"/>
              </w:numPr>
              <w:spacing w:after="80" w:line="280"/>
            </w:pPr>
            <w:r>
              <w:rPr>
                <w:rFonts w:ascii="Archivo" w:cs="Archivo" w:eastAsia="Archivo" w:hAnsi="Archivo"/>
                <w:sz w:val="19"/>
                <w:szCs w:val="19"/>
              </w:rPr>
              <w:t xml:space="preserve">Revise el límite económico de esta cobertura en sus condiciones particulares: si es muy reducido en relación con el tipo de procedimiento previsible, puede no cubrir realmente los honorarios de un profesional independiente.</w:t>
            </w:r>
          </w:p>
          <w:p>
            <w:pPr>
              <w:pStyle w:val="ListParagraph"/>
              <w:numPr>
                <w:ilvl w:val="0"/>
                <w:numId w:val="2"/>
              </w:numPr>
              <w:spacing w:after="80" w:line="280"/>
            </w:pPr>
            <w:r>
              <w:rPr>
                <w:rFonts w:ascii="Archivo" w:cs="Archivo" w:eastAsia="Archivo" w:hAnsi="Archivo"/>
                <w:sz w:val="19"/>
                <w:szCs w:val="19"/>
              </w:rPr>
              <w:t xml:space="preserve">Si su aseguradora le abona solo una parte de los honorarios de su abogado alegando el límite de la póliza, consulte si ese límite podría ser insuficiente y, por tanto, impugnable.</w:t>
            </w:r>
          </w:p>
        </w:tc>
      </w:tr>
    </w:tbl>
    <w:p>
      <w:pPr>
        <w:pStyle w:val="Heading2"/>
        <w:spacing w:after="160" w:before="400"/>
      </w:pPr>
      <w:r>
        <w:rPr>
          <w:rFonts w:ascii="Fraunces" w:cs="Fraunces" w:eastAsia="Fraunces" w:hAnsi="Fraunces"/>
          <w:b/>
          <w:bCs/>
          <w:color w:val="0A2540"/>
          <w:sz w:val="24"/>
          <w:szCs w:val="24"/>
        </w:rPr>
        <w:t xml:space="preserve">14.8. Checklist: activación de la cobertura de defensa jurídica</w:t>
      </w:r>
    </w:p>
    <w:p>
      <w:pPr>
        <w:pStyle w:val="ListParagraph"/>
        <w:numPr>
          <w:ilvl w:val="0"/>
          <w:numId w:val="2"/>
        </w:numPr>
        <w:spacing w:after="100" w:line="290"/>
      </w:pPr>
      <w:r>
        <w:rPr>
          <w:rFonts w:ascii="Archivo" w:cs="Archivo" w:eastAsia="Archivo" w:hAnsi="Archivo"/>
          <w:sz w:val="21"/>
          <w:szCs w:val="21"/>
        </w:rPr>
        <w:t xml:space="preserve">1. ¿El conflicto está cubierto por la garantía de defensa jurídica de la póliza (materia, cuantía, momento de origen)?</w:t>
      </w:r>
    </w:p>
    <w:p>
      <w:pPr>
        <w:pStyle w:val="ListParagraph"/>
        <w:numPr>
          <w:ilvl w:val="0"/>
          <w:numId w:val="2"/>
        </w:numPr>
        <w:spacing w:after="100" w:line="290"/>
      </w:pPr>
      <w:r>
        <w:rPr>
          <w:rFonts w:ascii="Archivo" w:cs="Archivo" w:eastAsia="Archivo" w:hAnsi="Archivo"/>
          <w:sz w:val="21"/>
          <w:szCs w:val="21"/>
        </w:rPr>
        <w:t xml:space="preserve">2. ¿Se ha ejercitado o comunicado el derecho de libre elección de abogado y procurador?</w:t>
      </w:r>
    </w:p>
    <w:p>
      <w:pPr>
        <w:pStyle w:val="ListParagraph"/>
        <w:numPr>
          <w:ilvl w:val="0"/>
          <w:numId w:val="2"/>
        </w:numPr>
        <w:spacing w:after="100" w:line="290"/>
      </w:pPr>
      <w:r>
        <w:rPr>
          <w:rFonts w:ascii="Archivo" w:cs="Archivo" w:eastAsia="Archivo" w:hAnsi="Archivo"/>
          <w:sz w:val="21"/>
          <w:szCs w:val="21"/>
        </w:rPr>
        <w:t xml:space="preserve">3. ¿Cuál es el límite económico pactado, y resulta razonablemente suficiente para el tipo de procedimiento?</w:t>
      </w:r>
    </w:p>
    <w:p>
      <w:pPr>
        <w:pStyle w:val="ListParagraph"/>
        <w:numPr>
          <w:ilvl w:val="0"/>
          <w:numId w:val="2"/>
        </w:numPr>
        <w:spacing w:after="100" w:line="290"/>
      </w:pPr>
      <w:r>
        <w:rPr>
          <w:rFonts w:ascii="Archivo" w:cs="Archivo" w:eastAsia="Archivo" w:hAnsi="Archivo"/>
          <w:sz w:val="21"/>
          <w:szCs w:val="21"/>
        </w:rPr>
        <w:t xml:space="preserve">4. ¿Existe conflicto de intereses con la propia aseguradora u otro asegurado de la misma compañía?</w:t>
      </w:r>
    </w:p>
    <w:p>
      <w:pPr>
        <w:pStyle w:val="ListParagraph"/>
        <w:numPr>
          <w:ilvl w:val="0"/>
          <w:numId w:val="2"/>
        </w:numPr>
        <w:spacing w:after="100" w:line="290"/>
      </w:pPr>
      <w:r>
        <w:rPr>
          <w:rFonts w:ascii="Archivo" w:cs="Archivo" w:eastAsia="Archivo" w:hAnsi="Archivo"/>
          <w:sz w:val="21"/>
          <w:szCs w:val="21"/>
        </w:rPr>
        <w:t xml:space="preserve">5. ¿Se ha reclamado, en su caso, la diferencia entre lo abonado por la aseguradora y el coste real de la defensa?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DACHS, M., «El seguro de defensa jurídica: cuestiones suscitadas en la praxis aseguradora en el ámbito del automóvil», Revista de Responsabilidad Civil y Seguro, INESE.</w:t>
      </w:r>
    </w:p>
    <w:p>
      <w:pPr>
        <w:spacing w:after="180" w:line="300"/>
        <w:jc w:val="both"/>
      </w:pPr>
      <w:r>
        <w:rPr>
          <w:rFonts w:ascii="Archivo" w:cs="Archivo" w:eastAsia="Archivo" w:hAnsi="Archivo"/>
          <w:sz w:val="21"/>
          <w:szCs w:val="21"/>
        </w:rPr>
        <w:t xml:space="preserve">OLMOS PILDÁIN, A., El seguro de defensa jurídica, Aranzadi, Cizur Menor, 1997.</w:t>
      </w:r>
    </w:p>
    <w:p>
      <w:pPr>
        <w:pStyle w:val="Heading1"/>
        <w:pageBreakBefore/>
        <w:spacing w:after="300" w:before="200"/>
      </w:pPr>
      <w:r>
        <w:rPr>
          <w:rFonts w:ascii="Archivo" w:cs="Archivo" w:eastAsia="Archivo" w:hAnsi="Archivo"/>
          <w:b/>
          <w:bCs/>
          <w:color w:val="1B6DF0"/>
          <w:sz w:val="22"/>
          <w:szCs w:val="22"/>
        </w:rPr>
        <w:t xml:space="preserve">Capítulo 15. </w:t>
      </w:r>
      <w:r>
        <w:rPr>
          <w:rFonts w:ascii="Fraunces" w:cs="Fraunces" w:eastAsia="Fraunces" w:hAnsi="Fraunces"/>
          <w:b/>
          <w:bCs/>
          <w:color w:val="0A2540"/>
          <w:sz w:val="30"/>
          <w:szCs w:val="30"/>
        </w:rPr>
        <w:t xml:space="preserve">Coberturas especiales: joyas, objetos de valor, equipos electrónicos y comunidades de propietarios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15.1. El régimen de sublímites en el seguro de hogar</w:t>
            </w:r>
          </w:p>
          <w:p>
            <w:pPr>
              <w:spacing w:after="40" w:line="260"/>
            </w:pPr>
            <w:r>
              <w:rPr>
                <w:rFonts w:ascii="Archivo" w:cs="Archivo" w:eastAsia="Archivo" w:hAnsi="Archivo"/>
                <w:sz w:val="18"/>
                <w:szCs w:val="18"/>
              </w:rPr>
              <w:t xml:space="preserve">15.2. Joyas y objetos de valor</w:t>
            </w:r>
          </w:p>
          <w:p>
            <w:pPr>
              <w:spacing w:after="40" w:line="260"/>
            </w:pPr>
            <w:r>
              <w:rPr>
                <w:rFonts w:ascii="Archivo" w:cs="Archivo" w:eastAsia="Archivo" w:hAnsi="Archivo"/>
                <w:sz w:val="18"/>
                <w:szCs w:val="18"/>
              </w:rPr>
              <w:t xml:space="preserve">15.3. Equipos electrónicos, informáticos y de telefonía</w:t>
            </w:r>
          </w:p>
          <w:p>
            <w:pPr>
              <w:spacing w:after="40" w:line="260"/>
            </w:pPr>
            <w:r>
              <w:rPr>
                <w:rFonts w:ascii="Archivo" w:cs="Archivo" w:eastAsia="Archivo" w:hAnsi="Archivo"/>
                <w:sz w:val="18"/>
                <w:szCs w:val="18"/>
              </w:rPr>
              <w:t xml:space="preserve">15.4. Obras de arte y colecciones</w:t>
            </w:r>
          </w:p>
          <w:p>
            <w:pPr>
              <w:spacing w:after="40" w:line="260"/>
            </w:pPr>
            <w:r>
              <w:rPr>
                <w:rFonts w:ascii="Archivo" w:cs="Archivo" w:eastAsia="Archivo" w:hAnsi="Archivo"/>
                <w:sz w:val="18"/>
                <w:szCs w:val="18"/>
              </w:rPr>
              <w:t xml:space="preserve">15.5. El seguro de la comunidad de propietarios y su interacción con la póliza individual</w:t>
            </w:r>
          </w:p>
          <w:p>
            <w:pPr>
              <w:spacing w:after="40" w:line="260"/>
            </w:pPr>
            <w:r>
              <w:rPr>
                <w:rFonts w:ascii="Archivo" w:cs="Archivo" w:eastAsia="Archivo" w:hAnsi="Archivo"/>
                <w:sz w:val="18"/>
                <w:szCs w:val="18"/>
              </w:rPr>
              <w:t xml:space="preserve">15.5.1. Las acciones subrogatorias de la aseguradora de la comunidad frente al comunero causante del daño</w:t>
            </w:r>
          </w:p>
          <w:p>
            <w:pPr>
              <w:spacing w:after="40" w:line="260"/>
            </w:pPr>
            <w:r>
              <w:rPr>
                <w:rFonts w:ascii="Archivo" w:cs="Archivo" w:eastAsia="Archivo" w:hAnsi="Archivo"/>
                <w:sz w:val="18"/>
                <w:szCs w:val="18"/>
              </w:rPr>
              <w:t xml:space="preserve">15.6. Nuevos riesgos del hogar: domótica, autoconsumo eléctrico y ciberriesgos domésticos</w:t>
            </w:r>
          </w:p>
          <w:p>
            <w:pPr>
              <w:spacing w:after="40" w:line="260"/>
            </w:pPr>
            <w:r>
              <w:rPr>
                <w:rFonts w:ascii="Archivo" w:cs="Archivo" w:eastAsia="Archivo" w:hAnsi="Archivo"/>
                <w:sz w:val="18"/>
                <w:szCs w:val="18"/>
              </w:rPr>
              <w:t xml:space="preserve">15.7. Ficha para el profesional</w:t>
            </w:r>
          </w:p>
          <w:p>
            <w:pPr>
              <w:spacing w:after="40" w:line="260"/>
            </w:pPr>
            <w:r>
              <w:rPr>
                <w:rFonts w:ascii="Archivo" w:cs="Archivo" w:eastAsia="Archivo" w:hAnsi="Archivo"/>
                <w:sz w:val="18"/>
                <w:szCs w:val="18"/>
              </w:rPr>
              <w:t xml:space="preserve">15.8. Ficha para el asegurado</w:t>
            </w:r>
          </w:p>
          <w:p>
            <w:pPr>
              <w:spacing w:after="40" w:line="260"/>
            </w:pPr>
            <w:r>
              <w:rPr>
                <w:rFonts w:ascii="Archivo" w:cs="Archivo" w:eastAsia="Archivo" w:hAnsi="Archivo"/>
                <w:sz w:val="18"/>
                <w:szCs w:val="18"/>
              </w:rPr>
              <w:t xml:space="preserve">15.9. Checklist: revisión de sublímites y coberturas especiales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las coberturas especiales o adicionales del seguro de hogar —joyas, dinero en efectivo, equipos electrónicos, obras de arte— estructuradas técnicamente como sublímites dentro de la suma asegurada general del contenido, y su calificación como cláusulas delimitadoras o limitativas conforme a la doctrina ya expuesta en los capítulos 1 y 5. Se completa con el estudio de la interacción entre el seguro individual del propietario y el seguro de la comunidad de propietarios en régimen de propiedad horizontal.</w:t>
            </w:r>
          </w:p>
          <w:p>
            <w:pPr>
              <w:spacing w:after="160"/>
            </w:pPr>
            <w:r>
              <w:rPr>
                <w:rFonts w:ascii="Archivo" w:cs="Archivo" w:eastAsia="Archivo" w:hAnsi="Archivo"/>
                <w:b/>
                <w:bCs/>
                <w:sz w:val="17"/>
                <w:szCs w:val="17"/>
              </w:rPr>
              <w:t xml:space="preserve">Palabras clave: sublímites, joyas, objetos de valor, equipos electrónicos, comunidad de propietarios, seguro de comunidad.</w:t>
            </w:r>
          </w:p>
          <w:p>
            <w:pPr>
              <w:spacing w:after="100"/>
              <w:jc w:val="both"/>
            </w:pPr>
            <w:r>
              <w:rPr>
                <w:rFonts w:ascii="Archivo" w:cs="Archivo" w:eastAsia="Archivo" w:hAnsi="Archivo"/>
                <w:i/>
                <w:iCs/>
                <w:sz w:val="18"/>
                <w:szCs w:val="18"/>
              </w:rPr>
              <w:t xml:space="preserve">This chapter systematises the special or additional covers of homeowners' insurance —jewellery, cash, electronic equipment, artwork— structured technically as sub-limits within the overall contents sum insured, and their classification as risk-delimiting or rights-limiting clauses under the doctrine already set out in Chapters 1 and 4. It closes with an examination of the interaction between an individual owner's policy and the homeowners' association's own insurance under the condominium regime.</w:t>
            </w:r>
          </w:p>
          <w:p>
            <w:pPr>
              <w:spacing w:after="0"/>
            </w:pPr>
            <w:r>
              <w:rPr>
                <w:rFonts w:ascii="Archivo" w:cs="Archivo" w:eastAsia="Archivo" w:hAnsi="Archivo"/>
                <w:b/>
                <w:bCs/>
                <w:sz w:val="17"/>
                <w:szCs w:val="17"/>
              </w:rPr>
              <w:t xml:space="preserve">Keywords: sub-limits, jewellery, valuables, electronic equipment, condominium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15.1. El régimen de sublímites en el seguro de hogar</w:t>
      </w:r>
    </w:p>
    <w:p>
      <w:pPr>
        <w:spacing w:after="180" w:line="300"/>
        <w:jc w:val="both"/>
      </w:pPr>
      <w:r>
        <w:rPr>
          <w:rFonts w:ascii="Archivo" w:cs="Archivo" w:eastAsia="Archivo" w:hAnsi="Archivo"/>
          <w:sz w:val="21"/>
          <w:szCs w:val="21"/>
        </w:rPr>
        <w:t xml:space="preserve">Como se anticipó en el capítulo 1, la práctica aseguradora somete determinadas categorías de bienes del contenido a sublímites cuantitativos específicos, inferiores a la suma asegurada general del contenido. Técnicamente, un sublímite es una cláusula delimitadora del objeto de la cobertura —concreta hasta qué importe responde la aseguradora respecto de una determinada categoría de bienes—, pero su calificación puede mudar a limitativa, e incluso lesiva, cuando se aparta de forma sorpresiva de las expectativas razonables del asegurado sobre el alcance de su cobertura general</w:t>
      </w:r>
      <w:r>
        <w:rPr>
          <w:rStyle w:val="FootnoteReference"/>
        </w:rPr>
        <w:footnoteReference w:id="36"/>
      </w:r>
      <w:r>
        <w:rPr>
          <w:rFonts w:ascii="Archivo" w:cs="Archivo" w:eastAsia="Archivo" w:hAnsi="Archivo"/>
          <w:sz w:val="21"/>
          <w:szCs w:val="21"/>
        </w:rPr>
        <w:t xml:space="preserve">, conforme a la metodología de análisis fijada en el capítulo 5.</w:t>
      </w:r>
    </w:p>
    <w:p>
      <w:pPr>
        <w:pStyle w:val="Heading2"/>
        <w:spacing w:after="160" w:before="400"/>
      </w:pPr>
      <w:r>
        <w:rPr>
          <w:rFonts w:ascii="Fraunces" w:cs="Fraunces" w:eastAsia="Fraunces" w:hAnsi="Fraunces"/>
          <w:b/>
          <w:bCs/>
          <w:color w:val="0A2540"/>
          <w:sz w:val="24"/>
          <w:szCs w:val="24"/>
        </w:rPr>
        <w:t xml:space="preserve">15.2. Joyas y objetos de valor</w:t>
      </w:r>
    </w:p>
    <w:p>
      <w:pPr>
        <w:spacing w:after="180" w:line="300"/>
        <w:jc w:val="both"/>
      </w:pPr>
      <w:r>
        <w:rPr>
          <w:rFonts w:ascii="Archivo" w:cs="Archivo" w:eastAsia="Archivo" w:hAnsi="Archivo"/>
          <w:sz w:val="21"/>
          <w:szCs w:val="21"/>
        </w:rPr>
        <w:t xml:space="preserve">El artículo 46 LCS, estudiado en el capítulo 7, excluye de la cobertura estándar de incendio, «salvo pacto expreso en contrario», los valores mobiliarios, billetes de banco, piedras y metales preciosos y objetos artísticos. La práctica aseguradora traduce esta reserva legal en un sublímite específico para joyas y objetos de valor, normalmente fijado como un porcentaje reducido de la suma asegurada general del contenido, que conviene verificar expresamente en las condiciones particulares. Además del límite cuantitativo, es habitual que estas garantías exijan la acreditación reforzada de la preexistencia (facturas, tasaciones, fotografías) y, en ocasiones, la custodia en caja fuerte como condición de cobertura para determinados umbrales de valor —cláusula cuyo carácter limitativo, si no está debidamente destacada y aceptada conforme al art. 3 LCS, puede ser cuestionado con los mismos argumentos ya expuestos en el capítulo 5.</w:t>
      </w:r>
    </w:p>
    <w:p>
      <w:pPr>
        <w:pStyle w:val="Heading2"/>
        <w:spacing w:after="160" w:before="400"/>
      </w:pPr>
      <w:r>
        <w:rPr>
          <w:rFonts w:ascii="Fraunces" w:cs="Fraunces" w:eastAsia="Fraunces" w:hAnsi="Fraunces"/>
          <w:b/>
          <w:bCs/>
          <w:color w:val="0A2540"/>
          <w:sz w:val="24"/>
          <w:szCs w:val="24"/>
        </w:rPr>
        <w:t xml:space="preserve">15.3. Equipos electrónicos, informáticos y de telefonía</w:t>
      </w:r>
    </w:p>
    <w:p>
      <w:pPr>
        <w:spacing w:after="180" w:line="300"/>
        <w:jc w:val="both"/>
      </w:pPr>
      <w:r>
        <w:rPr>
          <w:rFonts w:ascii="Archivo" w:cs="Archivo" w:eastAsia="Archivo" w:hAnsi="Archivo"/>
          <w:sz w:val="21"/>
          <w:szCs w:val="21"/>
        </w:rPr>
        <w:t xml:space="preserve">La cobertura de equipos electrónicos plantea una problemática específica derivada de su rápida obsolescencia y depreciación: la distinción, ya analizada en el capítulo 1 a propósito de la STS 2233/2020 (ROJ: STS 2233/2020) sobre prendas de vestir, entre valoración por «valor real» y por «valor de reposición» adquiere aquí especial relevancia económica, dada la disparidad frecuente entre ambos criterios en bienes tecnológicos. El profesional debe verificar con particular atención qué criterio de valoración aplica la póliza a esta categoría de bienes, por ser habitualmente la fuente de mayor discrepancia económica entre la expectativa del asegurado y la oferta de la aseguradora.</w:t>
      </w:r>
    </w:p>
    <w:p>
      <w:pPr>
        <w:pStyle w:val="Heading2"/>
        <w:spacing w:after="160" w:before="400"/>
      </w:pPr>
      <w:r>
        <w:rPr>
          <w:rFonts w:ascii="Fraunces" w:cs="Fraunces" w:eastAsia="Fraunces" w:hAnsi="Fraunces"/>
          <w:b/>
          <w:bCs/>
          <w:color w:val="0A2540"/>
          <w:sz w:val="24"/>
          <w:szCs w:val="24"/>
        </w:rPr>
        <w:t xml:space="preserve">15.4. Obras de arte y colecciones</w:t>
      </w:r>
    </w:p>
    <w:p>
      <w:pPr>
        <w:spacing w:after="180" w:line="300"/>
        <w:jc w:val="both"/>
      </w:pPr>
      <w:r>
        <w:rPr>
          <w:rFonts w:ascii="Archivo" w:cs="Archivo" w:eastAsia="Archivo" w:hAnsi="Archivo"/>
          <w:sz w:val="21"/>
          <w:szCs w:val="21"/>
        </w:rPr>
        <w:t xml:space="preserve">Las pólizas de hogar de gama alta incorporan, en ocasiones mediante condiciones especiales específicas, coberturas para obras de arte, antigüedades o colecciones, sujetas normalmente a la aportación de una tasación pericial previa a la contratación (declaración de valor) que, a diferencia del régimen general, puede vincular contractualmente a las partes sobre el valor del bien a efectos de la indemnización, atemperando en la práctica la aplicación de la regla proporcional del infraseguro estudiada en el capítulo 19 respecto de estos bienes concretos, siempre que la declaración de valor haya sido expresamente aceptada por la aseguradora.</w:t>
      </w:r>
    </w:p>
    <w:p>
      <w:pPr>
        <w:pStyle w:val="Heading2"/>
        <w:spacing w:after="160" w:before="400"/>
      </w:pPr>
      <w:r>
        <w:rPr>
          <w:rFonts w:ascii="Fraunces" w:cs="Fraunces" w:eastAsia="Fraunces" w:hAnsi="Fraunces"/>
          <w:b/>
          <w:bCs/>
          <w:color w:val="0A2540"/>
          <w:sz w:val="24"/>
          <w:szCs w:val="24"/>
        </w:rPr>
        <w:t xml:space="preserve">15.5. El seguro de la comunidad de propietarios y su interacción con la póliza individual</w:t>
      </w:r>
    </w:p>
    <w:p>
      <w:pPr>
        <w:spacing w:after="180" w:line="300"/>
        <w:jc w:val="both"/>
      </w:pPr>
      <w:r>
        <w:rPr>
          <w:rFonts w:ascii="Archivo" w:cs="Archivo" w:eastAsia="Archivo" w:hAnsi="Archivo"/>
          <w:sz w:val="21"/>
          <w:szCs w:val="21"/>
        </w:rPr>
        <w:t xml:space="preserve">La Ley de Propiedad Horizontal no impone con carácter general la obligación de asegurar el edificio, pero sí prevé expresamente la posibilidad de que la comunidad, con cargo al fondo de reserva obligatorio, suscriba un contrato de seguro que cubra los daños causados en la finca</w:t>
      </w:r>
      <w:r>
        <w:rPr>
          <w:rStyle w:val="FootnoteReference"/>
        </w:rPr>
        <w:footnoteReference w:id="37"/>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9.1.f) LPH (extracto)</w:t>
            </w:r>
          </w:p>
          <w:p>
            <w:pPr>
              <w:spacing w:after="0" w:line="280"/>
              <w:jc w:val="both"/>
            </w:pPr>
            <w:r>
              <w:rPr>
                <w:rFonts w:ascii="IBM Plex Mono" w:cs="IBM Plex Mono" w:eastAsia="IBM Plex Mono" w:hAnsi="IBM Plex Mono"/>
                <w:i/>
                <w:iCs/>
                <w:color w:val="0A2540"/>
                <w:sz w:val="18"/>
                <w:szCs w:val="18"/>
              </w:rPr>
              <w:t xml:space="preserve">Con cargo al fondo de reserva la comunidad podrá suscribir un contrato de seguro que cubra los daños causados en la finca o bien concluir un contrato de mantenimiento permanente del inmueble y sus instalaciones generales.</w:t>
            </w:r>
          </w:p>
        </w:tc>
      </w:tr>
    </w:tbl>
    <w:p>
      <w:pPr>
        <w:spacing w:after="180" w:line="300"/>
        <w:jc w:val="both"/>
      </w:pPr>
      <w:r>
        <w:rPr>
          <w:rFonts w:ascii="Archivo" w:cs="Archivo" w:eastAsia="Archivo" w:hAnsi="Archivo"/>
          <w:sz w:val="21"/>
          <w:szCs w:val="21"/>
        </w:rPr>
        <w:t xml:space="preserve">Cuando existe seguro de comunidad, su interacción con la póliza individual de cada propietario debe analizarse, como se expuso en el capítulo 8 a propósito de la STS 1227/2025 (ROJ: STS 1227/2025), verificando la identidad de riesgo e interés asegurado en cada caso concreto: la propia sentencia distingue expresamente los supuestos de «coberturas concurrentes de elementos privativos de inmuebles en propiedad horizontal» —en los que resulta más fácil apreciar dicha identidad y, por tanto, aplicar la contribución proporcional del art. 32 LCS— de otros supuestos, como el arrendamiento, en los que el interés asegurado por cada póliza puede ser sustancialmente distinto.</w:t>
      </w:r>
    </w:p>
    <w:p>
      <w:pPr>
        <w:spacing w:after="180" w:line="300"/>
        <w:jc w:val="both"/>
      </w:pPr>
      <w:r>
        <w:rPr>
          <w:rFonts w:ascii="Archivo" w:cs="Archivo" w:eastAsia="Archivo" w:hAnsi="Archivo"/>
          <w:sz w:val="21"/>
          <w:szCs w:val="21"/>
        </w:rPr>
        <w:t xml:space="preserve">El seguro de la comunidad de propietarios presenta, además, una complejidad estructural propia, derivada de su naturaleza de póliza mixta o combinada que yuxtapone coberturas de daños en las cosas (incendio, agua, fenómenos atmosféricos) y coberturas de responsabilidad civil y defensa jurídica del patrimonio comunitario</w:t>
      </w:r>
      <w:r>
        <w:rPr>
          <w:rStyle w:val="FootnoteReference"/>
        </w:rPr>
        <w:footnoteReference w:id="38"/>
      </w:r>
      <w:r>
        <w:rPr>
          <w:rFonts w:ascii="Archivo" w:cs="Archivo" w:eastAsia="Archivo" w:hAnsi="Archivo"/>
          <w:sz w:val="21"/>
          <w:szCs w:val="21"/>
        </w:rPr>
        <w:t xml:space="preserve">. Esta doble naturaleza determina que el propietario, el copropietario, el inquilino y el tercero perjudicado puedan ocupar, según el caso, distintos roles simultáneos —asegurado respecto de un riesgo, tercero respecto de otro— lo que resulta determinante, como se estudia en el epígrafe siguiente, cuando la aseguradora que ha indemnizado a la comunidad pretende repetir contra el comunero causante del daño.</w:t>
      </w:r>
    </w:p>
    <w:p>
      <w:pPr>
        <w:pStyle w:val="Heading3"/>
        <w:spacing w:after="120" w:before="280"/>
      </w:pPr>
      <w:r>
        <w:rPr>
          <w:rFonts w:ascii="Archivo" w:cs="Archivo" w:eastAsia="Archivo" w:hAnsi="Archivo"/>
          <w:b/>
          <w:bCs/>
          <w:color w:val="1B6DF0"/>
          <w:sz w:val="21"/>
          <w:szCs w:val="21"/>
        </w:rPr>
        <w:t xml:space="preserve">15.5.1. Las acciones subrogatorias de la aseguradora de la comunidad frente al comunero causante del daño</w:t>
      </w:r>
    </w:p>
    <w:p>
      <w:pPr>
        <w:spacing w:after="180" w:line="300"/>
        <w:jc w:val="both"/>
      </w:pPr>
      <w:r>
        <w:rPr>
          <w:rFonts w:ascii="Archivo" w:cs="Archivo" w:eastAsia="Archivo" w:hAnsi="Archivo"/>
          <w:sz w:val="21"/>
          <w:szCs w:val="21"/>
        </w:rPr>
        <w:t xml:space="preserve">Uno de los litigios más recurrentes en la práctica de los seguros de comunidad es el ejercicio, por la aseguradora que ha indemnizado los daños en elementos comunes, de la acción subrogatoria del art. 43 LCS contra el copropietario en cuya vivienda o local se originó el siniestro (típicamente, un incendio). La cuestión decisiva —y la de mayor dificultad práctica— es determinar si dicho comunero tiene, a estos efectos, la condición de «asegurado» por la propia póliza de la comunidad —en cuyo caso el art. 43 LCS impide expresamente que el asegurador se subrogue en su perjuicio— o si, por el contrario, debe tratarse como «tercero responsable» frente al cual la subrogación sí procede</w:t>
      </w:r>
      <w:r>
        <w:rPr>
          <w:rStyle w:val="FootnoteReference"/>
        </w:rPr>
        <w:footnoteReference w:id="39"/>
      </w:r>
      <w:r>
        <w:rPr>
          <w:rFonts w:ascii="Archivo" w:cs="Archivo" w:eastAsia="Archivo" w:hAnsi="Archivo"/>
          <w:sz w:val="21"/>
          <w:szCs w:val="21"/>
        </w:rPr>
        <w:t xml:space="preserve">. La Sala Primera del Tribunal Supremo ha resuelto esta cuestión, entre 2021 y 2022, en tres sentencias que conviene leer de forma conjunta por fijar entre todas una regla general y sus excepciones.</w:t>
      </w:r>
    </w:p>
    <w:p>
      <w:pPr>
        <w:spacing w:after="180" w:line="300"/>
        <w:jc w:val="both"/>
      </w:pPr>
      <w:r>
        <w:rPr>
          <w:rFonts w:ascii="Archivo" w:cs="Archivo" w:eastAsia="Archivo" w:hAnsi="Archivo"/>
          <w:sz w:val="21"/>
          <w:szCs w:val="21"/>
        </w:rPr>
        <w:t xml:space="preserve">La primera de ellas parte de un supuesto en el que la propia póliza de la comunidad extendía la garantía de responsabilidad civil a «los copropietarios del Edificio Asegurado» por su condición de tales, lo que llevó a excluir la subrogación:</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21 de julio de 2021 (ROJ: STS 3162/2021; ECLI:ES:TS:2021:3162; MP: Seoane Spiegelberg)</w:t>
            </w:r>
          </w:p>
          <w:p>
            <w:pPr>
              <w:spacing w:after="0" w:line="280"/>
              <w:jc w:val="both"/>
            </w:pPr>
            <w:r>
              <w:rPr>
                <w:rFonts w:ascii="Archivo" w:cs="Archivo" w:eastAsia="Archivo" w:hAnsi="Archivo"/>
                <w:color w:val="0A2540"/>
                <w:sz w:val="19"/>
                <w:szCs w:val="19"/>
              </w:rPr>
              <w:t xml:space="preserve">«[E]l demandado ostentaba la condición de propietario asegurado por el siniestro objeto de cobertura, y la compañía aseguradora no puede ejercitar en perjuicio de asegurado los derechos en que se haya subrogado. [...] No existe ninguna cláusula de exclusión de la cobertura de incendio sobre los elementos comunes, en el caso de que el fuego proceda de un piso o local privativo de un copropietario; que es además cotitular de dichos elementos. De ser ello así, se debería explicitar en la oportuna cláusula por razones de transparencia contractual.»</w:t>
            </w:r>
          </w:p>
        </w:tc>
      </w:tr>
    </w:tbl>
    <w:p>
      <w:pPr>
        <w:spacing w:after="180" w:line="300"/>
        <w:jc w:val="both"/>
      </w:pPr>
      <w:r>
        <w:rPr>
          <w:rFonts w:ascii="Archivo" w:cs="Archivo" w:eastAsia="Archivo" w:hAnsi="Archivo"/>
          <w:sz w:val="21"/>
          <w:szCs w:val="21"/>
        </w:rPr>
        <w:t xml:space="preserve">La segunda sentencia, dictada pocos meses después sobre una póliza distinta que no extendía la responsabilidad civil individual de los comuneros, fija la regla general en sentido inverso, precisando además el criterio de distinción frente al primer caso: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13 de diciembre de 2021 (ROJ: STS 4579/2021; ECLI:ES:TS:2021:4579; MP: Parra Lucán)</w:t>
            </w:r>
          </w:p>
          <w:p>
            <w:pPr>
              <w:spacing w:after="0" w:line="280"/>
              <w:jc w:val="both"/>
            </w:pPr>
            <w:r>
              <w:rPr>
                <w:rFonts w:ascii="Archivo" w:cs="Archivo" w:eastAsia="Archivo" w:hAnsi="Archivo"/>
                <w:color w:val="0A2540"/>
                <w:sz w:val="19"/>
                <w:szCs w:val="19"/>
              </w:rPr>
              <w:t xml:space="preserve">«[A] efectos de la responsabilidad por daños ejercida por vía de subrogación el copropietario no es asegurado sino tercero responsable, salvo que otra cosa resulte de la propia póliza concertada por la comunidad (como sucedía en el caso de la sentencia 557/2021, de 21 de julio).»</w:t>
            </w:r>
          </w:p>
        </w:tc>
      </w:tr>
    </w:tbl>
    <w:p>
      <w:pPr>
        <w:spacing w:after="180" w:line="300"/>
        <w:jc w:val="both"/>
      </w:pPr>
      <w:r>
        <w:rPr>
          <w:rFonts w:ascii="Archivo" w:cs="Archivo" w:eastAsia="Archivo" w:hAnsi="Archivo"/>
          <w:sz w:val="21"/>
          <w:szCs w:val="21"/>
        </w:rPr>
        <w:t xml:space="preserve">La tercera sentencia, más reciente, confirma y sistematiza esta regla general con su excepción, resolviendo un supuesto de incendio originado en la motocicleta de un comunero estacionada en el garaje comunitario: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5 de julio de 2022 (ROJ: STS 2904/2022; ECLI:ES:TS:2022:2904; MP: Vela Torres)</w:t>
            </w:r>
          </w:p>
          <w:p>
            <w:pPr>
              <w:spacing w:after="0" w:line="280"/>
              <w:jc w:val="both"/>
            </w:pPr>
            <w:r>
              <w:rPr>
                <w:rFonts w:ascii="Archivo" w:cs="Archivo" w:eastAsia="Archivo" w:hAnsi="Archivo"/>
                <w:color w:val="0A2540"/>
                <w:sz w:val="19"/>
                <w:szCs w:val="19"/>
              </w:rPr>
              <w:t xml:space="preserve">«[L]a cualidad de tomador del seguro le corresponde a la comunidad de propietarios, ésta tiene también la condición de asegurada respecto de los elementos comunes del inmueble; mientras que los copropietarios únicamente serían asegurados respecto de sus elementos privativos si los mismos fueran objeto de cobertura en la póliza [...]. En consecuencia, como regla general [...] a efectos de la responsabilidad por daños ejercida por vía de subrogación, el copropietario no es asegurado sino tercero responsable, salvo que otra cosa resulte de la propia póliza concertada por la comunidad.»</w:t>
            </w:r>
          </w:p>
        </w:tc>
      </w:tr>
    </w:tbl>
    <w:p>
      <w:pPr>
        <w:spacing w:after="180" w:line="300"/>
        <w:jc w:val="both"/>
      </w:pPr>
      <w:r>
        <w:rPr>
          <w:rFonts w:ascii="Archivo" w:cs="Archivo" w:eastAsia="Archivo" w:hAnsi="Archivo"/>
          <w:sz w:val="21"/>
          <w:szCs w:val="21"/>
        </w:rPr>
        <w:t xml:space="preserve">De esta trilogía jurisprudencial se extrae una metodología de análisis clara para el profesional que se enfrenta a una acción subrogatoria —o a la defensa frente a ella— en el ámbito de la comunidad de propietarios: primero, identificar con precisión qué cubre exactamente la póliza de la comunidad respecto de cada comunero (solo los elementos comunes, o también su responsabilidad civil individual o sus elementos privativos); segundo, verificar que la aseguradora reclama exclusivamente los daños en elementos comunes, y no en la vivienda o local privativo del propio demandado, pues la subrogación exige siempre la existencia de un «tercero» distinto del asegurado indemnizado</w:t>
      </w:r>
      <w:r>
        <w:rPr>
          <w:rStyle w:val="FootnoteReference"/>
        </w:rPr>
        <w:footnoteReference w:id="40"/>
      </w:r>
      <w:r>
        <w:rPr>
          <w:rFonts w:ascii="Archivo" w:cs="Archivo" w:eastAsia="Archivo" w:hAnsi="Archivo"/>
          <w:sz w:val="21"/>
          <w:szCs w:val="21"/>
        </w:rPr>
        <w:t xml:space="preserve">; y tercero, distinguir con cuidado, cuando concurran pólizas de comunidad y de hogar individual sobre unos mismos daños, cuál es la aseguradora legitimada para reclamar y frente a quién, aplicando en su caso el régimen de subrogación contra el asegurador del comunero responsable conforme al art. 76 LCS.</w:t>
      </w:r>
    </w:p>
    <w:p>
      <w:pPr>
        <w:pStyle w:val="Heading2"/>
        <w:spacing w:after="160" w:before="400"/>
      </w:pPr>
      <w:r>
        <w:rPr>
          <w:rFonts w:ascii="Fraunces" w:cs="Fraunces" w:eastAsia="Fraunces" w:hAnsi="Fraunces"/>
          <w:b/>
          <w:bCs/>
          <w:color w:val="0A2540"/>
          <w:sz w:val="24"/>
          <w:szCs w:val="24"/>
        </w:rPr>
        <w:t xml:space="preserve">15.6. Nuevos riesgos del hogar: domótica, autoconsumo eléctrico y ciberriesgos domésticos</w:t>
      </w:r>
    </w:p>
    <w:p>
      <w:pPr>
        <w:spacing w:after="180" w:line="300"/>
        <w:jc w:val="both"/>
      </w:pPr>
      <w:r>
        <w:rPr>
          <w:rFonts w:ascii="Archivo" w:cs="Archivo" w:eastAsia="Archivo" w:hAnsi="Archivo"/>
          <w:sz w:val="21"/>
          <w:szCs w:val="21"/>
        </w:rPr>
        <w:t xml:space="preserve">La transformación tecnológica de la vivienda española plantea, con una velocidad muy superior a la de la reforma legislativa, cuestiones de cobertura que ni la LCS ni buena parte del clausulado tradicional resuelven de forma expresa, lo que exige del profesional un ejercicio de encaje analógico particularmente cuidadoso</w:t>
      </w:r>
      <w:r>
        <w:rPr>
          <w:rStyle w:val="FootnoteReference"/>
        </w:rPr>
        <w:footnoteReference w:id="41"/>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Instalaciones de autoconsumo eléctrico (placas solares) y baterías domésticas: </w:t>
      </w:r>
      <w:r>
        <w:rPr>
          <w:rFonts w:ascii="Archivo" w:cs="Archivo" w:eastAsia="Archivo" w:hAnsi="Archivo"/>
          <w:sz w:val="21"/>
          <w:szCs w:val="21"/>
        </w:rPr>
        <w:t xml:space="preserve">su condición de elementos fijos incorporados a la vivienda permite, en principio, reconducirlos al concepto de continente estudiado en el capítulo 1, pero su elevado valor unitario y su exposición diferenciada a determinados riesgos (fenómenos atmosféricos, sobretensiones) aconsejan verificar si están sujetas a un sublímite propio o exigen declaración expresa al contratar, dado su carácter de circunstancia potencialmente relevante para la valoración del riesgo a efectos del art. 10 LCS (capítulo 4).</w:t>
      </w:r>
    </w:p>
    <w:p>
      <w:pPr>
        <w:pStyle w:val="ListParagraph"/>
        <w:numPr>
          <w:ilvl w:val="0"/>
          <w:numId w:val="2"/>
        </w:numPr>
        <w:spacing w:after="100" w:line="290"/>
      </w:pPr>
      <w:r>
        <w:rPr>
          <w:rFonts w:ascii="Archivo" w:cs="Archivo" w:eastAsia="Archivo" w:hAnsi="Archivo"/>
          <w:b/>
          <w:bCs/>
          <w:sz w:val="21"/>
          <w:szCs w:val="21"/>
        </w:rPr>
        <w:t xml:space="preserve">Cargadores de vehículo eléctrico: </w:t>
      </w:r>
      <w:r>
        <w:rPr>
          <w:rFonts w:ascii="Archivo" w:cs="Archivo" w:eastAsia="Archivo" w:hAnsi="Archivo"/>
          <w:sz w:val="21"/>
          <w:szCs w:val="21"/>
        </w:rPr>
        <w:t xml:space="preserve">plantean una doble problemática de cobertura (el propio equipo, como contenido o instalación fija, y los daños que su mal funcionamiento pueda causar, reconducibles a la garantía de daños eléctricos del capítulo 7 o a la de responsabilidad civil del capítulo 13) que exige revisar expresamente su tratamiento en condiciones particulares.</w:t>
      </w:r>
    </w:p>
    <w:p>
      <w:pPr>
        <w:pStyle w:val="ListParagraph"/>
        <w:numPr>
          <w:ilvl w:val="0"/>
          <w:numId w:val="2"/>
        </w:numPr>
        <w:spacing w:after="100" w:line="290"/>
      </w:pPr>
      <w:r>
        <w:rPr>
          <w:rFonts w:ascii="Archivo" w:cs="Archivo" w:eastAsia="Archivo" w:hAnsi="Archivo"/>
          <w:b/>
          <w:bCs/>
          <w:sz w:val="21"/>
          <w:szCs w:val="21"/>
        </w:rPr>
        <w:t xml:space="preserve">Domótica y dispositivos conectados: </w:t>
      </w:r>
      <w:r>
        <w:rPr>
          <w:rFonts w:ascii="Archivo" w:cs="Archivo" w:eastAsia="Archivo" w:hAnsi="Archivo"/>
          <w:sz w:val="21"/>
          <w:szCs w:val="21"/>
        </w:rPr>
        <w:t xml:space="preserve">su valor como contenido está normalmente cubierto por las garantías estándar de incendio, agua o robo, pero los daños derivados específicamente de su mal funcionamiento informático (no físico) plantean una cuestión de encaje más compleja, próxima a los ciberriesgos.</w:t>
      </w:r>
    </w:p>
    <w:p>
      <w:pPr>
        <w:pStyle w:val="ListParagraph"/>
        <w:numPr>
          <w:ilvl w:val="0"/>
          <w:numId w:val="2"/>
        </w:numPr>
        <w:spacing w:after="100" w:line="290"/>
      </w:pPr>
      <w:r>
        <w:rPr>
          <w:rFonts w:ascii="Archivo" w:cs="Archivo" w:eastAsia="Archivo" w:hAnsi="Archivo"/>
          <w:b/>
          <w:bCs/>
          <w:sz w:val="21"/>
          <w:szCs w:val="21"/>
        </w:rPr>
        <w:t xml:space="preserve">Ciberriesgos domésticos: </w:t>
      </w:r>
      <w:r>
        <w:rPr>
          <w:rFonts w:ascii="Archivo" w:cs="Archivo" w:eastAsia="Archivo" w:hAnsi="Archivo"/>
          <w:sz w:val="21"/>
          <w:szCs w:val="21"/>
        </w:rPr>
        <w:t xml:space="preserve">fraude informático, suplantación de identidad o ataques a la red doméstica son, en la generalidad de las pólizas de hogar españolas actuales, riesgos no cubiertos por defecto, salvo que se haya contratado expresamente una garantía específica de ciberprotección doméstica, cada vez más ofrecida como cobertura opcional autónoma y sujeta a su propio clausulado, ajeno al régimen de las garantías materiales tradicionales estudiadas en esta obra.</w:t>
      </w:r>
    </w:p>
    <w:p>
      <w:pPr>
        <w:pStyle w:val="ListParagraph"/>
        <w:numPr>
          <w:ilvl w:val="0"/>
          <w:numId w:val="2"/>
        </w:numPr>
        <w:spacing w:after="100" w:line="290"/>
      </w:pPr>
      <w:r>
        <w:rPr>
          <w:rFonts w:ascii="Archivo" w:cs="Archivo" w:eastAsia="Archivo" w:hAnsi="Archivo"/>
          <w:b/>
          <w:bCs/>
          <w:sz w:val="21"/>
          <w:szCs w:val="21"/>
        </w:rPr>
        <w:t xml:space="preserve">Alquiler vacacional y teletrabajo: </w:t>
      </w:r>
      <w:r>
        <w:rPr>
          <w:rFonts w:ascii="Archivo" w:cs="Archivo" w:eastAsia="Archivo" w:hAnsi="Archivo"/>
          <w:sz w:val="21"/>
          <w:szCs w:val="21"/>
        </w:rPr>
        <w:t xml:space="preserve">el uso de la vivienda para alquiler turístico de corta duración o para el desarrollo de una actividad profesional o empresarial puede constituir, si no fue declarado al contratar, una circunstancia relevante para la valoración del riesgo (art. 10 LCS) o una agravación sobrevenida (art. 11 LCS) sujeta al régimen ya estudiado en el capítulo 4, por lo que su comunicación expresa a la aseguradora es una cautela elemental antes de destinar la vivienda a estos usos.</w:t>
      </w:r>
    </w:p>
    <w:p>
      <w:pPr>
        <w:spacing w:after="180" w:line="300"/>
        <w:jc w:val="both"/>
      </w:pPr>
      <w:r>
        <w:rPr>
          <w:rFonts w:ascii="Archivo" w:cs="Archivo" w:eastAsia="Archivo" w:hAnsi="Archivo"/>
          <w:sz w:val="21"/>
          <w:szCs w:val="21"/>
        </w:rPr>
        <w:t xml:space="preserve">La pauta metodológica general ante cualquiera de estos supuestos es la misma que rige el resto de la obra: en ausencia de previsión expresa en la póliza, debe estarse al contenido natural y a la expectativa razonable del asegurado medio del producto contratado (capítulo 1), sin que la mera novedad técnica del riesgo permita presumir ni su cobertura automática ni su exclusión automática.</w:t>
      </w:r>
    </w:p>
    <w:p>
      <w:pPr>
        <w:pStyle w:val="Heading2"/>
        <w:spacing w:after="160" w:before="400"/>
      </w:pPr>
      <w:r>
        <w:rPr>
          <w:rFonts w:ascii="Fraunces" w:cs="Fraunces" w:eastAsia="Fraunces" w:hAnsi="Fraunces"/>
          <w:b/>
          <w:bCs/>
          <w:color w:val="0A2540"/>
          <w:sz w:val="24"/>
          <w:szCs w:val="24"/>
        </w:rPr>
        <w:t xml:space="preserve">15.7.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coberturas especiales</w:t>
            </w:r>
          </w:p>
          <w:p>
            <w:pPr>
              <w:pStyle w:val="ListParagraph"/>
              <w:numPr>
                <w:ilvl w:val="0"/>
                <w:numId w:val="2"/>
              </w:numPr>
              <w:spacing w:after="80" w:line="280"/>
            </w:pPr>
            <w:r>
              <w:rPr>
                <w:rFonts w:ascii="Archivo" w:cs="Archivo" w:eastAsia="Archivo" w:hAnsi="Archivo"/>
                <w:sz w:val="19"/>
                <w:szCs w:val="19"/>
              </w:rPr>
              <w:t xml:space="preserve">Verificar la existencia y cuantía de cada sublímite (joyas, dinero, equipos electrónicos, obras de arte) frente a la suma asegurada general del contenido.</w:t>
            </w:r>
          </w:p>
          <w:p>
            <w:pPr>
              <w:pStyle w:val="ListParagraph"/>
              <w:numPr>
                <w:ilvl w:val="0"/>
                <w:numId w:val="2"/>
              </w:numPr>
              <w:spacing w:after="80" w:line="280"/>
            </w:pPr>
            <w:r>
              <w:rPr>
                <w:rFonts w:ascii="Archivo" w:cs="Archivo" w:eastAsia="Archivo" w:hAnsi="Archivo"/>
                <w:sz w:val="19"/>
                <w:szCs w:val="19"/>
              </w:rPr>
              <w:t xml:space="preserve">Aplicar la metodología del capítulo 5 (incorporación, calificación, requisitos formales, interpretación) a cada sublímite controvertido, con particular atención a su carácter sorpresivo.</w:t>
            </w:r>
          </w:p>
          <w:p>
            <w:pPr>
              <w:pStyle w:val="ListParagraph"/>
              <w:numPr>
                <w:ilvl w:val="0"/>
                <w:numId w:val="2"/>
              </w:numPr>
              <w:spacing w:after="80" w:line="280"/>
            </w:pPr>
            <w:r>
              <w:rPr>
                <w:rFonts w:ascii="Archivo" w:cs="Archivo" w:eastAsia="Archivo" w:hAnsi="Archivo"/>
                <w:sz w:val="19"/>
                <w:szCs w:val="19"/>
              </w:rPr>
              <w:t xml:space="preserve">En equipos electrónicos, verificar expresamente el criterio de valoración pactado (valor real o de reposición), invocando en su caso la doctrina de la STS 2233/2020 (ROJ: STS 2233/2020).</w:t>
            </w:r>
          </w:p>
          <w:p>
            <w:pPr>
              <w:pStyle w:val="ListParagraph"/>
              <w:numPr>
                <w:ilvl w:val="0"/>
                <w:numId w:val="2"/>
              </w:numPr>
              <w:spacing w:after="80" w:line="280"/>
            </w:pPr>
            <w:r>
              <w:rPr>
                <w:rFonts w:ascii="Archivo" w:cs="Archivo" w:eastAsia="Archivo" w:hAnsi="Archivo"/>
                <w:sz w:val="19"/>
                <w:szCs w:val="19"/>
              </w:rPr>
              <w:t xml:space="preserve">Ante un siniestro que afecte a elementos comunes y privativos simultáneamente, verificar la existencia de seguro de comunidad y la identidad de riesgo e interés con la póliza individual, conforme a la STS 1227/2025 (ROJ: STS 1227/2025).</w:t>
            </w:r>
          </w:p>
          <w:p>
            <w:pPr>
              <w:pStyle w:val="ListParagraph"/>
              <w:numPr>
                <w:ilvl w:val="0"/>
                <w:numId w:val="2"/>
              </w:numPr>
              <w:spacing w:after="80" w:line="280"/>
            </w:pPr>
            <w:r>
              <w:rPr>
                <w:rFonts w:ascii="Archivo" w:cs="Archivo" w:eastAsia="Archivo" w:hAnsi="Archivo"/>
                <w:sz w:val="19"/>
                <w:szCs w:val="19"/>
              </w:rPr>
              <w:t xml:space="preserve">Ante una acción subrogatoria de la aseguradora de la comunidad contra un comunero, verificar primero si la póliza extiende a este la condición de asegurado (STS 3162/2021) o si, por regla general, debe tratarse como tercero responsable (SSTS 4579/2021 y 2904/2022), y comprobar que solo se reclaman daños en elementos comunes.</w:t>
            </w:r>
          </w:p>
          <w:p>
            <w:pPr>
              <w:pStyle w:val="ListParagraph"/>
              <w:numPr>
                <w:ilvl w:val="0"/>
                <w:numId w:val="2"/>
              </w:numPr>
              <w:spacing w:after="80" w:line="280"/>
            </w:pPr>
            <w:r>
              <w:rPr>
                <w:rFonts w:ascii="Archivo" w:cs="Archivo" w:eastAsia="Archivo" w:hAnsi="Archivo"/>
                <w:sz w:val="19"/>
                <w:szCs w:val="19"/>
              </w:rPr>
              <w:t xml:space="preserve">Ante nuevos riesgos del hogar (placas solares, domótica, ciberriesgos, alquiler vacacional), verificar expresamente su tratamiento contractual y, en su caso, su relevancia a efectos del deber de declaración del riesgo del art. 10 LCS.</w:t>
            </w:r>
          </w:p>
        </w:tc>
      </w:tr>
    </w:tbl>
    <w:p>
      <w:pPr>
        <w:pStyle w:val="Heading2"/>
        <w:spacing w:after="160" w:before="400"/>
      </w:pPr>
      <w:r>
        <w:rPr>
          <w:rFonts w:ascii="Fraunces" w:cs="Fraunces" w:eastAsia="Fraunces" w:hAnsi="Fraunces"/>
          <w:b/>
          <w:bCs/>
          <w:color w:val="0A2540"/>
          <w:sz w:val="24"/>
          <w:szCs w:val="24"/>
        </w:rPr>
        <w:t xml:space="preserve">15.8.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sus bienes de especial valor</w:t>
            </w:r>
          </w:p>
          <w:p>
            <w:pPr>
              <w:pStyle w:val="ListParagraph"/>
              <w:numPr>
                <w:ilvl w:val="0"/>
                <w:numId w:val="2"/>
              </w:numPr>
              <w:spacing w:after="80" w:line="280"/>
            </w:pPr>
            <w:r>
              <w:rPr>
                <w:rFonts w:ascii="Archivo" w:cs="Archivo" w:eastAsia="Archivo" w:hAnsi="Archivo"/>
                <w:sz w:val="19"/>
                <w:szCs w:val="19"/>
              </w:rPr>
              <w:t xml:space="preserve">Si posee joyas, dinero en efectivo u objetos de valor por encima del sublímite estándar de su póliza, valore contratar una ampliación específica de esta garantía.</w:t>
            </w:r>
          </w:p>
          <w:p>
            <w:pPr>
              <w:pStyle w:val="ListParagraph"/>
              <w:numPr>
                <w:ilvl w:val="0"/>
                <w:numId w:val="2"/>
              </w:numPr>
              <w:spacing w:after="80" w:line="280"/>
            </w:pPr>
            <w:r>
              <w:rPr>
                <w:rFonts w:ascii="Archivo" w:cs="Archivo" w:eastAsia="Archivo" w:hAnsi="Archivo"/>
                <w:sz w:val="19"/>
                <w:szCs w:val="19"/>
              </w:rPr>
              <w:t xml:space="preserve">Conserve facturas, tasaciones y fotografías de sus bienes de mayor valor: son la prueba más eficaz en caso de siniestro.</w:t>
            </w:r>
          </w:p>
          <w:p>
            <w:pPr>
              <w:pStyle w:val="ListParagraph"/>
              <w:numPr>
                <w:ilvl w:val="0"/>
                <w:numId w:val="2"/>
              </w:numPr>
              <w:spacing w:after="80" w:line="280"/>
            </w:pPr>
            <w:r>
              <w:rPr>
                <w:rFonts w:ascii="Archivo" w:cs="Archivo" w:eastAsia="Archivo" w:hAnsi="Archivo"/>
                <w:sz w:val="19"/>
                <w:szCs w:val="19"/>
              </w:rPr>
              <w:t xml:space="preserve">Pregunte a su aseguradora si su comunidad de propietarios tiene contratado un seguro propio y qué cubre exactamente, para evitar solapamientos o lagunas de cobertura.</w:t>
            </w:r>
          </w:p>
          <w:p>
            <w:pPr>
              <w:pStyle w:val="ListParagraph"/>
              <w:numPr>
                <w:ilvl w:val="0"/>
                <w:numId w:val="2"/>
              </w:numPr>
              <w:spacing w:after="80" w:line="280"/>
            </w:pPr>
            <w:r>
              <w:rPr>
                <w:rFonts w:ascii="Archivo" w:cs="Archivo" w:eastAsia="Archivo" w:hAnsi="Archivo"/>
                <w:sz w:val="19"/>
                <w:szCs w:val="19"/>
              </w:rPr>
              <w:t xml:space="preserve">Si un incendio u otro siniestro se originó en su vivienda o local y causó daños en elementos comunes, sepa que la aseguradora de la comunidad puede reclamarle a usted (o a su propia aseguradora) el importe que haya pagado, salvo que la póliza de la comunidad le reconozca expresamente como asegurado también a estos efectos.</w:t>
            </w:r>
          </w:p>
        </w:tc>
      </w:tr>
    </w:tbl>
    <w:p>
      <w:pPr>
        <w:pStyle w:val="Heading2"/>
        <w:spacing w:after="160" w:before="400"/>
      </w:pPr>
      <w:r>
        <w:rPr>
          <w:rFonts w:ascii="Fraunces" w:cs="Fraunces" w:eastAsia="Fraunces" w:hAnsi="Fraunces"/>
          <w:b/>
          <w:bCs/>
          <w:color w:val="0A2540"/>
          <w:sz w:val="24"/>
          <w:szCs w:val="24"/>
        </w:rPr>
        <w:t xml:space="preserve">15.9. Checklist: revisión de sublímites y coberturas especiales</w:t>
      </w:r>
    </w:p>
    <w:p>
      <w:pPr>
        <w:pStyle w:val="ListParagraph"/>
        <w:numPr>
          <w:ilvl w:val="0"/>
          <w:numId w:val="2"/>
        </w:numPr>
        <w:spacing w:after="100" w:line="290"/>
      </w:pPr>
      <w:r>
        <w:rPr>
          <w:rFonts w:ascii="Archivo" w:cs="Archivo" w:eastAsia="Archivo" w:hAnsi="Archivo"/>
          <w:sz w:val="21"/>
          <w:szCs w:val="21"/>
        </w:rPr>
        <w:t xml:space="preserve">1. ¿Qué sublímite tiene pactado para joyas y objetos de valor, y es suficiente para los bienes que realmente posee?</w:t>
      </w:r>
    </w:p>
    <w:p>
      <w:pPr>
        <w:pStyle w:val="ListParagraph"/>
        <w:numPr>
          <w:ilvl w:val="0"/>
          <w:numId w:val="2"/>
        </w:numPr>
        <w:spacing w:after="100" w:line="290"/>
      </w:pPr>
      <w:r>
        <w:rPr>
          <w:rFonts w:ascii="Archivo" w:cs="Archivo" w:eastAsia="Archivo" w:hAnsi="Archivo"/>
          <w:sz w:val="21"/>
          <w:szCs w:val="21"/>
        </w:rPr>
        <w:t xml:space="preserve">2. ¿Qué sublímite tiene para dinero en efectivo dentro y fuera de la vivienda?</w:t>
      </w:r>
    </w:p>
    <w:p>
      <w:pPr>
        <w:pStyle w:val="ListParagraph"/>
        <w:numPr>
          <w:ilvl w:val="0"/>
          <w:numId w:val="2"/>
        </w:numPr>
        <w:spacing w:after="100" w:line="290"/>
      </w:pPr>
      <w:r>
        <w:rPr>
          <w:rFonts w:ascii="Archivo" w:cs="Archivo" w:eastAsia="Archivo" w:hAnsi="Archivo"/>
          <w:sz w:val="21"/>
          <w:szCs w:val="21"/>
        </w:rPr>
        <w:t xml:space="preserve">3. ¿Qué criterio de valoración aplica a los equipos electrónicos (valor real o de reposición)?</w:t>
      </w:r>
    </w:p>
    <w:p>
      <w:pPr>
        <w:pStyle w:val="ListParagraph"/>
        <w:numPr>
          <w:ilvl w:val="0"/>
          <w:numId w:val="2"/>
        </w:numPr>
        <w:spacing w:after="100" w:line="290"/>
      </w:pPr>
      <w:r>
        <w:rPr>
          <w:rFonts w:ascii="Archivo" w:cs="Archivo" w:eastAsia="Archivo" w:hAnsi="Archivo"/>
          <w:sz w:val="21"/>
          <w:szCs w:val="21"/>
        </w:rPr>
        <w:t xml:space="preserve">4. ¿Existe cobertura específica para obras de arte o colecciones, con declaración de valor aceptada por la aseguradora?</w:t>
      </w:r>
    </w:p>
    <w:p>
      <w:pPr>
        <w:pStyle w:val="ListParagraph"/>
        <w:numPr>
          <w:ilvl w:val="0"/>
          <w:numId w:val="2"/>
        </w:numPr>
        <w:spacing w:after="100" w:line="290"/>
      </w:pPr>
      <w:r>
        <w:rPr>
          <w:rFonts w:ascii="Archivo" w:cs="Archivo" w:eastAsia="Archivo" w:hAnsi="Archivo"/>
          <w:sz w:val="21"/>
          <w:szCs w:val="21"/>
        </w:rPr>
        <w:t xml:space="preserve">5. ¿Existe seguro de la comunidad de propietarios? ¿Qué elementos cubre?</w:t>
      </w:r>
    </w:p>
    <w:p>
      <w:pPr>
        <w:pStyle w:val="ListParagraph"/>
        <w:numPr>
          <w:ilvl w:val="0"/>
          <w:numId w:val="2"/>
        </w:numPr>
        <w:spacing w:after="100" w:line="290"/>
      </w:pPr>
      <w:r>
        <w:rPr>
          <w:rFonts w:ascii="Archivo" w:cs="Archivo" w:eastAsia="Archivo" w:hAnsi="Archivo"/>
          <w:sz w:val="21"/>
          <w:szCs w:val="21"/>
        </w:rPr>
        <w:t xml:space="preserve">6. ¿Podría existir concurrencia entre la póliza individual y la de la comunidad respecto de algún elemento?</w:t>
      </w:r>
    </w:p>
    <w:p>
      <w:pPr>
        <w:pStyle w:val="ListParagraph"/>
        <w:numPr>
          <w:ilvl w:val="0"/>
          <w:numId w:val="2"/>
        </w:numPr>
        <w:spacing w:after="100" w:line="290"/>
      </w:pPr>
      <w:r>
        <w:rPr>
          <w:rFonts w:ascii="Archivo" w:cs="Archivo" w:eastAsia="Archivo" w:hAnsi="Archivo"/>
          <w:sz w:val="21"/>
          <w:szCs w:val="21"/>
        </w:rPr>
        <w:t xml:space="preserve">7. Si el siniestro se originó en un elemento privativo y dañó elementos comunes, ¿reclama la aseguradora de la comunidad solo los daños comunes, o también los del propio local o vivienda donde se originó?</w:t>
      </w:r>
    </w:p>
    <w:p>
      <w:pPr>
        <w:pStyle w:val="ListParagraph"/>
        <w:numPr>
          <w:ilvl w:val="0"/>
          <w:numId w:val="2"/>
        </w:numPr>
        <w:spacing w:after="100" w:line="290"/>
      </w:pPr>
      <w:r>
        <w:rPr>
          <w:rFonts w:ascii="Archivo" w:cs="Archivo" w:eastAsia="Archivo" w:hAnsi="Archivo"/>
          <w:sz w:val="21"/>
          <w:szCs w:val="21"/>
        </w:rPr>
        <w:t xml:space="preserve">8. ¿Extiende la póliza de la comunidad la condición de asegurado al comunero respecto de su responsabilidad civil individual, o lo trata como tercero a estos efectos?</w:t>
      </w:r>
    </w:p>
    <w:p>
      <w:pPr>
        <w:pStyle w:val="ListParagraph"/>
        <w:numPr>
          <w:ilvl w:val="0"/>
          <w:numId w:val="2"/>
        </w:numPr>
        <w:spacing w:after="100" w:line="290"/>
      </w:pPr>
      <w:r>
        <w:rPr>
          <w:rFonts w:ascii="Archivo" w:cs="Archivo" w:eastAsia="Archivo" w:hAnsi="Archivo"/>
          <w:sz w:val="21"/>
          <w:szCs w:val="21"/>
        </w:rPr>
        <w:t xml:space="preserve">9. ¿Tiene la vivienda placas solares, baterías, cargador de vehículo eléctrico o domótica declarados a la aseguradora?</w:t>
      </w:r>
    </w:p>
    <w:p>
      <w:pPr>
        <w:pStyle w:val="ListParagraph"/>
        <w:numPr>
          <w:ilvl w:val="0"/>
          <w:numId w:val="2"/>
        </w:numPr>
        <w:spacing w:after="100" w:line="290"/>
      </w:pPr>
      <w:r>
        <w:rPr>
          <w:rFonts w:ascii="Archivo" w:cs="Archivo" w:eastAsia="Archivo" w:hAnsi="Archivo"/>
          <w:sz w:val="21"/>
          <w:szCs w:val="21"/>
        </w:rPr>
        <w:t xml:space="preserve">10. ¿Se destina la vivienda, total o parcialmente, a alquiler turístico o actividad profesional? En tal caso, ¿se ha comunicado a la aseguradora?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SÁNCHEZ-CALERO GUILARTE, J., Instituciones de Derecho Mercantil, vol. II, Aranzadi-Thomson Reuters, Cizur Menor.</w:t>
      </w:r>
    </w:p>
    <w:p>
      <w:pPr>
        <w:spacing w:after="180" w:line="300"/>
        <w:jc w:val="both"/>
      </w:pPr>
      <w:r>
        <w:rPr>
          <w:rFonts w:ascii="Archivo" w:cs="Archivo" w:eastAsia="Archivo" w:hAnsi="Archivo"/>
          <w:sz w:val="21"/>
          <w:szCs w:val="21"/>
        </w:rPr>
        <w:t xml:space="preserve">TAPIA HERMIDA, A. J., «Los seguros de daños de las comunidades de propietarios y las acciones subrogatorias de las aseguradoras: jurisprudencia reciente», Revista de Responsabilidad Civil y Seguro, núm. 84, INESE, 2022.</w:t>
      </w:r>
    </w:p>
    <w:p>
      <w:pPr>
        <w:spacing w:after="180" w:line="300"/>
        <w:jc w:val="both"/>
      </w:pPr>
      <w:r>
        <w:rPr>
          <w:rFonts w:ascii="Archivo" w:cs="Archivo" w:eastAsia="Archivo" w:hAnsi="Archivo"/>
          <w:sz w:val="21"/>
          <w:szCs w:val="21"/>
        </w:rPr>
        <w:t xml:space="preserve">TAPIA HERMIDA, A. J., Guía del Contrato de Seguro, 2.ª ed., Colección Monografías Aranzadi, Aranzadi, Cizur Menor, 2022.</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16. </w:t>
      </w:r>
      <w:r>
        <w:rPr>
          <w:rFonts w:ascii="Fraunces" w:cs="Fraunces" w:eastAsia="Fraunces" w:hAnsi="Fraunces"/>
          <w:b/>
          <w:bCs/>
          <w:color w:val="0A2540"/>
          <w:sz w:val="30"/>
          <w:szCs w:val="30"/>
        </w:rPr>
        <w:t xml:space="preserve">Exclusiones generales y particulares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16.1. Sistemática de las exclusiones en el seguro de hogar</w:t>
            </w:r>
          </w:p>
          <w:p>
            <w:pPr>
              <w:spacing w:after="40" w:line="260"/>
            </w:pPr>
            <w:r>
              <w:rPr>
                <w:rFonts w:ascii="Archivo" w:cs="Archivo" w:eastAsia="Archivo" w:hAnsi="Archivo"/>
                <w:sz w:val="18"/>
                <w:szCs w:val="18"/>
              </w:rPr>
              <w:t xml:space="preserve">16.2. Exclusiones legales de orden público: dolo y mala fe (art. 19 LCS)</w:t>
            </w:r>
          </w:p>
          <w:p>
            <w:pPr>
              <w:spacing w:after="40" w:line="260"/>
            </w:pPr>
            <w:r>
              <w:rPr>
                <w:rFonts w:ascii="Archivo" w:cs="Archivo" w:eastAsia="Archivo" w:hAnsi="Archivo"/>
                <w:sz w:val="18"/>
                <w:szCs w:val="18"/>
              </w:rPr>
              <w:t xml:space="preserve">16.3. Exclusiones típicas de riesgos catastróficos y bélicos</w:t>
            </w:r>
          </w:p>
          <w:p>
            <w:pPr>
              <w:spacing w:after="40" w:line="260"/>
            </w:pPr>
            <w:r>
              <w:rPr>
                <w:rFonts w:ascii="Archivo" w:cs="Archivo" w:eastAsia="Archivo" w:hAnsi="Archivo"/>
                <w:sz w:val="18"/>
                <w:szCs w:val="18"/>
              </w:rPr>
              <w:t xml:space="preserve">16.4. Exclusiones por vicio propio, desgaste y falta de mantenimiento</w:t>
            </w:r>
          </w:p>
          <w:p>
            <w:pPr>
              <w:spacing w:after="40" w:line="260"/>
            </w:pPr>
            <w:r>
              <w:rPr>
                <w:rFonts w:ascii="Archivo" w:cs="Archivo" w:eastAsia="Archivo" w:hAnsi="Archivo"/>
                <w:sz w:val="18"/>
                <w:szCs w:val="18"/>
              </w:rPr>
              <w:t xml:space="preserve">16.5. Exclusiones por desocupación prolongada de la vivienda</w:t>
            </w:r>
          </w:p>
          <w:p>
            <w:pPr>
              <w:spacing w:after="40" w:line="260"/>
            </w:pPr>
            <w:r>
              <w:rPr>
                <w:rFonts w:ascii="Archivo" w:cs="Archivo" w:eastAsia="Archivo" w:hAnsi="Archivo"/>
                <w:sz w:val="18"/>
                <w:szCs w:val="18"/>
              </w:rPr>
              <w:t xml:space="preserve">16.6. El control de las exclusiones conforme al art. 3 LCS: síntesis metodológica</w:t>
            </w:r>
          </w:p>
          <w:p>
            <w:pPr>
              <w:spacing w:after="40" w:line="260"/>
            </w:pPr>
            <w:r>
              <w:rPr>
                <w:rFonts w:ascii="Archivo" w:cs="Archivo" w:eastAsia="Archivo" w:hAnsi="Archivo"/>
                <w:sz w:val="18"/>
                <w:szCs w:val="18"/>
              </w:rPr>
              <w:t xml:space="preserve">16.7. Ficha para el profesional</w:t>
            </w:r>
          </w:p>
          <w:p>
            <w:pPr>
              <w:spacing w:after="40" w:line="260"/>
            </w:pPr>
            <w:r>
              <w:rPr>
                <w:rFonts w:ascii="Archivo" w:cs="Archivo" w:eastAsia="Archivo" w:hAnsi="Archivo"/>
                <w:sz w:val="18"/>
                <w:szCs w:val="18"/>
              </w:rPr>
              <w:t xml:space="preserve">16.8. Ficha para el asegurado</w:t>
            </w:r>
          </w:p>
          <w:p>
            <w:pPr>
              <w:spacing w:after="40" w:line="260"/>
            </w:pPr>
            <w:r>
              <w:rPr>
                <w:rFonts w:ascii="Archivo" w:cs="Archivo" w:eastAsia="Archivo" w:hAnsi="Archivo"/>
                <w:sz w:val="18"/>
                <w:szCs w:val="18"/>
              </w:rPr>
              <w:t xml:space="preserve">16.9. Checklist: análisis de una exclusión invocada por la aseguradora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 sistematizando el régimen de exclusiones del seguro de hogar, distinguiendo las exclusiones legales de orden público —inderogables por pacto— de las exclusiones convencionales, sujetas al régimen general de control del art. 3 LCS ya desarrollado en los capítulos 1 y 5. Se examinan las categorías de exclusión más frecuentes en la práctica: dolo y mala fe, riesgos catastróficos y bélicos, vicio propio y falta de mantenimiento, y desocupación prolongada de la vivienda.</w:t>
            </w:r>
          </w:p>
          <w:p>
            <w:pPr>
              <w:spacing w:after="160"/>
            </w:pPr>
            <w:r>
              <w:rPr>
                <w:rFonts w:ascii="Archivo" w:cs="Archivo" w:eastAsia="Archivo" w:hAnsi="Archivo"/>
                <w:b/>
                <w:bCs/>
                <w:sz w:val="17"/>
                <w:szCs w:val="17"/>
              </w:rPr>
              <w:t xml:space="preserve">Palabras clave: exclusiones, art. 19 LCS, orden público, vicio propio, desocupación de la vivienda.</w:t>
            </w:r>
          </w:p>
          <w:p>
            <w:pPr>
              <w:spacing w:after="100"/>
              <w:jc w:val="both"/>
            </w:pPr>
            <w:r>
              <w:rPr>
                <w:rFonts w:ascii="Archivo" w:cs="Archivo" w:eastAsia="Archivo" w:hAnsi="Archivo"/>
                <w:i/>
                <w:iCs/>
                <w:sz w:val="18"/>
                <w:szCs w:val="18"/>
              </w:rPr>
              <w:t xml:space="preserve">This closing chapter of Part II systematises the exclusions applicable to homeowners' insurance, distinguishing mandatory statutory exclusions from contractual exclusions subject to the general control regime of Article 3 already developed in Chapters 1 and 4. It examines the most frequent exclusion categories in practice: wilful misconduct and bad faith, catastrophic and war risks, inherent defect and lack of maintenance, and prolonged vacancy of the dwelling.</w:t>
            </w:r>
          </w:p>
          <w:p>
            <w:pPr>
              <w:spacing w:after="0"/>
            </w:pPr>
            <w:r>
              <w:rPr>
                <w:rFonts w:ascii="Archivo" w:cs="Archivo" w:eastAsia="Archivo" w:hAnsi="Archivo"/>
                <w:b/>
                <w:bCs/>
                <w:sz w:val="17"/>
                <w:szCs w:val="17"/>
              </w:rPr>
              <w:t xml:space="preserve">Keywords: policy exclusions, public order, inherent vice, prolonged vacancy.</w:t>
            </w:r>
          </w:p>
        </w:tc>
      </w:tr>
    </w:tbl>
    <w:p>
      <w:pPr>
        <w:spacing w:after="200"/>
      </w:pPr>
    </w:p>
    <w:p>
      <w:pPr>
        <w:pStyle w:val="Heading2"/>
        <w:spacing w:after="160" w:before="400"/>
      </w:pPr>
      <w:r>
        <w:rPr>
          <w:rFonts w:ascii="Fraunces" w:cs="Fraunces" w:eastAsia="Fraunces" w:hAnsi="Fraunces"/>
          <w:b/>
          <w:bCs/>
          <w:color w:val="0A2540"/>
          <w:sz w:val="24"/>
          <w:szCs w:val="24"/>
        </w:rPr>
        <w:t xml:space="preserve">16.1. Sistemática de las exclusiones en el seguro de hogar</w:t>
      </w:r>
    </w:p>
    <w:p>
      <w:pPr>
        <w:spacing w:after="180" w:line="300"/>
        <w:jc w:val="both"/>
      </w:pPr>
      <w:r>
        <w:rPr>
          <w:rFonts w:ascii="Archivo" w:cs="Archivo" w:eastAsia="Archivo" w:hAnsi="Archivo"/>
          <w:sz w:val="21"/>
          <w:szCs w:val="21"/>
        </w:rPr>
        <w:t xml:space="preserve">Toda póliza de hogar combina dos tipos de exclusiones de naturaleza jurídica muy distinta, cuya confusión es fuente frecuente de error en la práctica profesional</w:t>
      </w:r>
      <w:r>
        <w:rPr>
          <w:rStyle w:val="FootnoteReference"/>
        </w:rPr>
        <w:footnoteReference w:id="42"/>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Exclusiones legales de orden público: </w:t>
      </w:r>
      <w:r>
        <w:rPr>
          <w:rFonts w:ascii="Archivo" w:cs="Archivo" w:eastAsia="Archivo" w:hAnsi="Archivo"/>
          <w:sz w:val="21"/>
          <w:szCs w:val="21"/>
        </w:rPr>
        <w:t xml:space="preserve">derivan directamente de la LCS (arts. 19 y 48, entre otros) y no pueden ser alteradas por pacto en perjuicio del asegurado; su fundamento no es contractual sino de orden público asegurador.</w:t>
      </w:r>
    </w:p>
    <w:p>
      <w:pPr>
        <w:pStyle w:val="ListParagraph"/>
        <w:numPr>
          <w:ilvl w:val="0"/>
          <w:numId w:val="2"/>
        </w:numPr>
        <w:spacing w:after="100" w:line="290"/>
      </w:pPr>
      <w:r>
        <w:rPr>
          <w:rFonts w:ascii="Archivo" w:cs="Archivo" w:eastAsia="Archivo" w:hAnsi="Archivo"/>
          <w:b/>
          <w:bCs/>
          <w:sz w:val="21"/>
          <w:szCs w:val="21"/>
        </w:rPr>
        <w:t xml:space="preserve">Exclusiones convencionales: </w:t>
      </w:r>
      <w:r>
        <w:rPr>
          <w:rFonts w:ascii="Archivo" w:cs="Archivo" w:eastAsia="Archivo" w:hAnsi="Archivo"/>
          <w:sz w:val="21"/>
          <w:szCs w:val="21"/>
        </w:rPr>
        <w:t xml:space="preserve">son fruto de la libertad de pactos de las partes dentro de los límites de la LCS, y quedan sometidas íntegramente al régimen de control de incorporación, calificación e interpretación estudiado en los capítulos 1 y 5 (arts. 3 LCS, 5 y 7 LCGC, 1288 CC).</w:t>
      </w:r>
    </w:p>
    <w:p>
      <w:pPr>
        <w:pStyle w:val="Heading2"/>
        <w:spacing w:after="160" w:before="400"/>
      </w:pPr>
      <w:r>
        <w:rPr>
          <w:rFonts w:ascii="Fraunces" w:cs="Fraunces" w:eastAsia="Fraunces" w:hAnsi="Fraunces"/>
          <w:b/>
          <w:bCs/>
          <w:color w:val="0A2540"/>
          <w:sz w:val="24"/>
          <w:szCs w:val="24"/>
        </w:rPr>
        <w:t xml:space="preserve">16.2. Exclusiones legales de orden público: dolo y mala fe</w:t>
      </w:r>
    </w:p>
    <w:p>
      <w:pPr>
        <w:spacing w:after="180" w:line="300"/>
        <w:jc w:val="both"/>
      </w:pPr>
      <w:r>
        <w:rPr>
          <w:rFonts w:ascii="Archivo" w:cs="Archivo" w:eastAsia="Archivo" w:hAnsi="Archivo"/>
          <w:sz w:val="21"/>
          <w:szCs w:val="21"/>
        </w:rPr>
        <w:t xml:space="preserve">La exclusión legal por excelencia en el seguro de daños es la del artículo 19 LCS, ya estudiada en su proyección general en el capítulo 1 y que se desarrolla con detalle en el capítulo 21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Esta exclusión, a diferencia de las convencionales, no necesita figurar destacada en la póliza para desplegar sus efectos: opera ope legis como límite estructural de la propia institución aseguradora, pues un seguro que cubriera el siniestro provocado de mala fe por el propio asegurado dejaría de cumplir su función de traslación de un riesgo incierto y ajeno a la voluntad del asegurado.</w:t>
      </w:r>
    </w:p>
    <w:p>
      <w:pPr>
        <w:pStyle w:val="Heading2"/>
        <w:spacing w:after="160" w:before="400"/>
      </w:pPr>
      <w:r>
        <w:rPr>
          <w:rFonts w:ascii="Fraunces" w:cs="Fraunces" w:eastAsia="Fraunces" w:hAnsi="Fraunces"/>
          <w:b/>
          <w:bCs/>
          <w:color w:val="0A2540"/>
          <w:sz w:val="24"/>
          <w:szCs w:val="24"/>
        </w:rPr>
        <w:t xml:space="preserve">16.3. Exclusiones típicas de riesgos catastróficos y bélicos</w:t>
      </w:r>
    </w:p>
    <w:p>
      <w:pPr>
        <w:spacing w:after="180" w:line="300"/>
        <w:jc w:val="both"/>
      </w:pPr>
      <w:r>
        <w:rPr>
          <w:rFonts w:ascii="Archivo" w:cs="Archivo" w:eastAsia="Archivo" w:hAnsi="Archivo"/>
          <w:sz w:val="21"/>
          <w:szCs w:val="21"/>
        </w:rPr>
        <w:t xml:space="preserve">Las condiciones generales de las pólizas de hogar excluyen de forma prácticamente universal los daños derivados de conflictos armados, energía nuclear y, como se estudió en el capítulo 10, los acontecimientos calificados como «extraordinarios» conforme al RDL 7/2004, cuya cobertura corresponde al Consorcio de Compensación de Seguros y no a la aseguradora privada. Estas exclusiones, aunque formuladas contractualmente, responden a una lógica de distribución legal de riesgos entre el mercado privado y el sistema público de compensación, por lo que su control de incorporación e interpretación, sin dejar de aplicarse, opera con menor intensidad que respecto de exclusiones puramente convencionales sin ese correlato en la distribución legal de riesgos.</w:t>
      </w:r>
    </w:p>
    <w:p>
      <w:pPr>
        <w:pStyle w:val="Heading2"/>
        <w:spacing w:after="160" w:before="400"/>
      </w:pPr>
      <w:r>
        <w:rPr>
          <w:rFonts w:ascii="Fraunces" w:cs="Fraunces" w:eastAsia="Fraunces" w:hAnsi="Fraunces"/>
          <w:b/>
          <w:bCs/>
          <w:color w:val="0A2540"/>
          <w:sz w:val="24"/>
          <w:szCs w:val="24"/>
        </w:rPr>
        <w:t xml:space="preserve">16.4. Exclusiones por vicio propio, desgaste y falta de mantenimiento</w:t>
      </w:r>
    </w:p>
    <w:p>
      <w:pPr>
        <w:spacing w:after="180" w:line="300"/>
        <w:jc w:val="both"/>
      </w:pPr>
      <w:r>
        <w:rPr>
          <w:rFonts w:ascii="Archivo" w:cs="Archivo" w:eastAsia="Archivo" w:hAnsi="Archivo"/>
          <w:sz w:val="21"/>
          <w:szCs w:val="21"/>
        </w:rPr>
        <w:t xml:space="preserve">Como se estudió con detalle en el capítulo 8 a propósito de los daños por agua, la exclusión del vicio propio, el desgaste natural y la falta de mantenimiento es una de las más invocadas —y más litigiosas— en la práctica del seguro de hogar, por la dificultad de distinguir, en el plano técnico, entre el evento súbito y accidental (cubierto) y el proceso de deterioro progresivo (excluido). La metodología de análisis expuesta en el capítulo 8 —prueba pericial sobre la causa técnica del daño, carga de la prueba de la aseguradora que invoca la exclusión, y proyección de la regla contra proferentem ante la duda razonable— es plenamente aplicable a esta categoría de exclusión con independencia de la garantía concreta afectada (agua, incendio, estructura).</w:t>
      </w:r>
    </w:p>
    <w:p>
      <w:pPr>
        <w:pStyle w:val="Heading2"/>
        <w:spacing w:after="160" w:before="400"/>
      </w:pPr>
      <w:r>
        <w:rPr>
          <w:rFonts w:ascii="Fraunces" w:cs="Fraunces" w:eastAsia="Fraunces" w:hAnsi="Fraunces"/>
          <w:b/>
          <w:bCs/>
          <w:color w:val="0A2540"/>
          <w:sz w:val="24"/>
          <w:szCs w:val="24"/>
        </w:rPr>
        <w:t xml:space="preserve">16.5. Exclusiones por desocupación prolongada de la vivienda</w:t>
      </w:r>
    </w:p>
    <w:p>
      <w:pPr>
        <w:spacing w:after="180" w:line="300"/>
        <w:jc w:val="both"/>
      </w:pPr>
      <w:r>
        <w:rPr>
          <w:rFonts w:ascii="Archivo" w:cs="Archivo" w:eastAsia="Archivo" w:hAnsi="Archivo"/>
          <w:sz w:val="21"/>
          <w:szCs w:val="21"/>
        </w:rPr>
        <w:t xml:space="preserve">Es habitual que las condiciones generales excluyan, o limiten severamente, la cobertura de determinados riesgos (típicamente, robo y daños por agua) cuando la vivienda ha permanecido desocupada durante un período prolongado —normalmente entre treinta y noventa días consecutivos, según póliza—, por el incremento objetivo de riesgo que la desocupación comporta</w:t>
      </w:r>
      <w:r>
        <w:rPr>
          <w:rStyle w:val="FootnoteReference"/>
        </w:rPr>
        <w:footnoteReference w:id="43"/>
      </w:r>
      <w:r>
        <w:rPr>
          <w:rFonts w:ascii="Archivo" w:cs="Archivo" w:eastAsia="Archivo" w:hAnsi="Archivo"/>
          <w:sz w:val="21"/>
          <w:szCs w:val="21"/>
        </w:rPr>
        <w:t xml:space="preserve">. Esta exclusión, formulada en términos objetivos de días de desocupación, se califica generalmente como delimitadora del riesgo si está formulada con claridad en las condiciones particulares, pero puede recalificarse como limitativa —y exigir, por tanto, el cumplimiento de los requisitos del art. 3 LCS— cuando su aplicación se extiende de forma sorpresiva a supuestos de desocupación ordinaria y previsible (vacaciones, segunda residencia de uso esporádico) no anunciados con claridad al contratar.</w:t>
      </w:r>
    </w:p>
    <w:p>
      <w:pPr>
        <w:pStyle w:val="Heading2"/>
        <w:spacing w:after="160" w:before="400"/>
      </w:pPr>
      <w:r>
        <w:rPr>
          <w:rFonts w:ascii="Fraunces" w:cs="Fraunces" w:eastAsia="Fraunces" w:hAnsi="Fraunces"/>
          <w:b/>
          <w:bCs/>
          <w:color w:val="0A2540"/>
          <w:sz w:val="24"/>
          <w:szCs w:val="24"/>
        </w:rPr>
        <w:t xml:space="preserve">16.6. El control de las exclusiones conforme al art. 3 LCS: síntesis metodológica</w:t>
      </w:r>
    </w:p>
    <w:p>
      <w:pPr>
        <w:spacing w:after="180" w:line="300"/>
        <w:jc w:val="both"/>
      </w:pPr>
      <w:r>
        <w:rPr>
          <w:rFonts w:ascii="Archivo" w:cs="Archivo" w:eastAsia="Archivo" w:hAnsi="Archivo"/>
          <w:sz w:val="21"/>
          <w:szCs w:val="21"/>
        </w:rPr>
        <w:t xml:space="preserve">Cierra este capítulo, y con él la Parte II de la obra, una síntesis de la metodología de análisis de cualquier exclusión invocada por una aseguradora, que recoge y unifica los criterios desarrollados a lo largo de los capítulos 1, 5, 8 y 16:</w:t>
      </w:r>
    </w:p>
    <w:p>
      <w:pPr>
        <w:pStyle w:val="ListParagraph"/>
        <w:numPr>
          <w:ilvl w:val="0"/>
          <w:numId w:val="2"/>
        </w:numPr>
        <w:spacing w:after="100" w:line="290"/>
      </w:pPr>
      <w:r>
        <w:rPr>
          <w:rFonts w:ascii="Archivo" w:cs="Archivo" w:eastAsia="Archivo" w:hAnsi="Archivo"/>
          <w:sz w:val="21"/>
          <w:szCs w:val="21"/>
        </w:rPr>
        <w:t xml:space="preserve">1. Calificar la naturaleza de la exclusión: legal de orden público (inderogable) o convencional (sujeta al art. 3 LCS).</w:t>
      </w:r>
    </w:p>
    <w:p>
      <w:pPr>
        <w:pStyle w:val="ListParagraph"/>
        <w:numPr>
          <w:ilvl w:val="0"/>
          <w:numId w:val="2"/>
        </w:numPr>
        <w:spacing w:after="100" w:line="290"/>
      </w:pPr>
      <w:r>
        <w:rPr>
          <w:rFonts w:ascii="Archivo" w:cs="Archivo" w:eastAsia="Archivo" w:hAnsi="Archivo"/>
          <w:sz w:val="21"/>
          <w:szCs w:val="21"/>
        </w:rPr>
        <w:t xml:space="preserve">2. Si es convencional, verificar su incorporación efectiva al contrato (arts. 5 y 7 LCGC, capítulo 5).</w:t>
      </w:r>
    </w:p>
    <w:p>
      <w:pPr>
        <w:pStyle w:val="ListParagraph"/>
        <w:numPr>
          <w:ilvl w:val="0"/>
          <w:numId w:val="2"/>
        </w:numPr>
        <w:spacing w:after="100" w:line="290"/>
      </w:pPr>
      <w:r>
        <w:rPr>
          <w:rFonts w:ascii="Archivo" w:cs="Archivo" w:eastAsia="Archivo" w:hAnsi="Archivo"/>
          <w:sz w:val="21"/>
          <w:szCs w:val="21"/>
        </w:rPr>
        <w:t xml:space="preserve">3. Calificarla como delimitadora o limitativa conforme al test de la cláusula sorpresiva (capítulo 1).</w:t>
      </w:r>
    </w:p>
    <w:p>
      <w:pPr>
        <w:pStyle w:val="ListParagraph"/>
        <w:numPr>
          <w:ilvl w:val="0"/>
          <w:numId w:val="2"/>
        </w:numPr>
        <w:spacing w:after="100" w:line="290"/>
      </w:pPr>
      <w:r>
        <w:rPr>
          <w:rFonts w:ascii="Archivo" w:cs="Archivo" w:eastAsia="Archivo" w:hAnsi="Archivo"/>
          <w:sz w:val="21"/>
          <w:szCs w:val="21"/>
        </w:rPr>
        <w:t xml:space="preserve">4. Si es limitativa, verificar el cumplimiento de los requisitos formales del art. 3 LCS (destacado y aceptación específica).</w:t>
      </w:r>
    </w:p>
    <w:p>
      <w:pPr>
        <w:pStyle w:val="ListParagraph"/>
        <w:numPr>
          <w:ilvl w:val="0"/>
          <w:numId w:val="2"/>
        </w:numPr>
        <w:spacing w:after="100" w:line="290"/>
      </w:pPr>
      <w:r>
        <w:rPr>
          <w:rFonts w:ascii="Archivo" w:cs="Archivo" w:eastAsia="Archivo" w:hAnsi="Archivo"/>
          <w:sz w:val="21"/>
          <w:szCs w:val="21"/>
        </w:rPr>
        <w:t xml:space="preserve">5. Ante la persistencia de duda razonable sobre su alcance, proyectar la regla contra proferentem del art. 1288 CC (capítulo 5).</w:t>
      </w:r>
    </w:p>
    <w:p>
      <w:pPr>
        <w:pStyle w:val="ListParagraph"/>
        <w:numPr>
          <w:ilvl w:val="0"/>
          <w:numId w:val="2"/>
        </w:numPr>
        <w:spacing w:after="100" w:line="290"/>
      </w:pPr>
      <w:r>
        <w:rPr>
          <w:rFonts w:ascii="Archivo" w:cs="Archivo" w:eastAsia="Archivo" w:hAnsi="Archivo"/>
          <w:sz w:val="21"/>
          <w:szCs w:val="21"/>
        </w:rPr>
        <w:t xml:space="preserve">6. Si el tomador es consumidor, verificar adicionalmente su conformidad con el TRLGDCU y la LCGC (capítulo 25).</w:t>
      </w:r>
    </w:p>
    <w:p>
      <w:pPr>
        <w:pStyle w:val="Heading2"/>
        <w:spacing w:after="160" w:before="400"/>
      </w:pPr>
      <w:r>
        <w:rPr>
          <w:rFonts w:ascii="Fraunces" w:cs="Fraunces" w:eastAsia="Fraunces" w:hAnsi="Fraunces"/>
          <w:b/>
          <w:bCs/>
          <w:color w:val="0A2540"/>
          <w:sz w:val="24"/>
          <w:szCs w:val="24"/>
        </w:rPr>
        <w:t xml:space="preserve">16.7.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cualquier exclusión invocada</w:t>
            </w:r>
          </w:p>
          <w:p>
            <w:pPr>
              <w:pStyle w:val="ListParagraph"/>
              <w:numPr>
                <w:ilvl w:val="0"/>
                <w:numId w:val="2"/>
              </w:numPr>
              <w:spacing w:after="80" w:line="280"/>
            </w:pPr>
            <w:r>
              <w:rPr>
                <w:rFonts w:ascii="Archivo" w:cs="Archivo" w:eastAsia="Archivo" w:hAnsi="Archivo"/>
                <w:sz w:val="19"/>
                <w:szCs w:val="19"/>
              </w:rPr>
              <w:t xml:space="preserve">Aplicar sistemáticamente la síntesis metodológica del epígrafe 16.6 antes de aceptar o impugnar una exclusión invocada por la aseguradora.</w:t>
            </w:r>
          </w:p>
          <w:p>
            <w:pPr>
              <w:pStyle w:val="ListParagraph"/>
              <w:numPr>
                <w:ilvl w:val="0"/>
                <w:numId w:val="2"/>
              </w:numPr>
              <w:spacing w:after="80" w:line="280"/>
            </w:pPr>
            <w:r>
              <w:rPr>
                <w:rFonts w:ascii="Archivo" w:cs="Archivo" w:eastAsia="Archivo" w:hAnsi="Archivo"/>
                <w:sz w:val="19"/>
                <w:szCs w:val="19"/>
              </w:rPr>
              <w:t xml:space="preserve">Distinguir siempre las exclusiones legales de orden público (dolo, mala fe) de las convencionales, porque su régimen de control es radicalmente distinto.</w:t>
            </w:r>
          </w:p>
          <w:p>
            <w:pPr>
              <w:pStyle w:val="ListParagraph"/>
              <w:numPr>
                <w:ilvl w:val="0"/>
                <w:numId w:val="2"/>
              </w:numPr>
              <w:spacing w:after="80" w:line="280"/>
            </w:pPr>
            <w:r>
              <w:rPr>
                <w:rFonts w:ascii="Archivo" w:cs="Archivo" w:eastAsia="Archivo" w:hAnsi="Archivo"/>
                <w:sz w:val="19"/>
                <w:szCs w:val="19"/>
              </w:rPr>
              <w:t xml:space="preserve">En exclusiones por vicio propio o desgaste, exigir prueba pericial cumplida de la causa técnica del daño, sin admitir afirmaciones genéricas de la aseguradora.</w:t>
            </w:r>
          </w:p>
          <w:p>
            <w:pPr>
              <w:pStyle w:val="ListParagraph"/>
              <w:numPr>
                <w:ilvl w:val="0"/>
                <w:numId w:val="2"/>
              </w:numPr>
              <w:spacing w:after="80" w:line="280"/>
            </w:pPr>
            <w:r>
              <w:rPr>
                <w:rFonts w:ascii="Archivo" w:cs="Archivo" w:eastAsia="Archivo" w:hAnsi="Archivo"/>
                <w:sz w:val="19"/>
                <w:szCs w:val="19"/>
              </w:rPr>
              <w:t xml:space="preserve">En exclusiones por desocupación, verificar si el período aplicado a la vivienda concreta constituye realmente un supuesto excepcional o una desocupación ordinaria y previsible.</w:t>
            </w:r>
          </w:p>
        </w:tc>
      </w:tr>
    </w:tbl>
    <w:p>
      <w:pPr>
        <w:pStyle w:val="Heading2"/>
        <w:spacing w:after="160" w:before="400"/>
      </w:pPr>
      <w:r>
        <w:rPr>
          <w:rFonts w:ascii="Fraunces" w:cs="Fraunces" w:eastAsia="Fraunces" w:hAnsi="Fraunces"/>
          <w:b/>
          <w:bCs/>
          <w:color w:val="0A2540"/>
          <w:sz w:val="24"/>
          <w:szCs w:val="24"/>
        </w:rPr>
        <w:t xml:space="preserve">16.8.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sobre las exclusiones de su póliza</w:t>
            </w:r>
          </w:p>
          <w:p>
            <w:pPr>
              <w:pStyle w:val="ListParagraph"/>
              <w:numPr>
                <w:ilvl w:val="0"/>
                <w:numId w:val="2"/>
              </w:numPr>
              <w:spacing w:after="80" w:line="280"/>
            </w:pPr>
            <w:r>
              <w:rPr>
                <w:rFonts w:ascii="Archivo" w:cs="Archivo" w:eastAsia="Archivo" w:hAnsi="Archivo"/>
                <w:sz w:val="19"/>
                <w:szCs w:val="19"/>
              </w:rPr>
              <w:t xml:space="preserve">Lea con atención el apartado de exclusiones de sus condiciones generales, no solo el de coberturas: le indicará qué situaciones quedan fuera de su protección.</w:t>
            </w:r>
          </w:p>
          <w:p>
            <w:pPr>
              <w:pStyle w:val="ListParagraph"/>
              <w:numPr>
                <w:ilvl w:val="0"/>
                <w:numId w:val="2"/>
              </w:numPr>
              <w:spacing w:after="80" w:line="280"/>
            </w:pPr>
            <w:r>
              <w:rPr>
                <w:rFonts w:ascii="Archivo" w:cs="Archivo" w:eastAsia="Archivo" w:hAnsi="Archivo"/>
                <w:sz w:val="19"/>
                <w:szCs w:val="19"/>
              </w:rPr>
              <w:t xml:space="preserve">Si va a dejar su vivienda desocupada por un período prolongado (obras, viaje largo, cambio de residencia), consulte a su aseguradora si esto afecta a su cobertura y, si es preciso, comunique la circunstancia.</w:t>
            </w:r>
          </w:p>
          <w:p>
            <w:pPr>
              <w:pStyle w:val="ListParagraph"/>
              <w:numPr>
                <w:ilvl w:val="0"/>
                <w:numId w:val="2"/>
              </w:numPr>
              <w:spacing w:after="80" w:line="280"/>
            </w:pPr>
            <w:r>
              <w:rPr>
                <w:rFonts w:ascii="Archivo" w:cs="Archivo" w:eastAsia="Archivo" w:hAnsi="Archivo"/>
                <w:sz w:val="19"/>
                <w:szCs w:val="19"/>
              </w:rPr>
              <w:t xml:space="preserve">Si le deniegan un siniestro invocando una exclusión, pida que se la citen literalmente y le expliquen por qué se aplica a su caso concreto.</w:t>
            </w:r>
          </w:p>
        </w:tc>
      </w:tr>
    </w:tbl>
    <w:p>
      <w:pPr>
        <w:pStyle w:val="Heading2"/>
        <w:spacing w:after="160" w:before="400"/>
      </w:pPr>
      <w:r>
        <w:rPr>
          <w:rFonts w:ascii="Fraunces" w:cs="Fraunces" w:eastAsia="Fraunces" w:hAnsi="Fraunces"/>
          <w:b/>
          <w:bCs/>
          <w:color w:val="0A2540"/>
          <w:sz w:val="24"/>
          <w:szCs w:val="24"/>
        </w:rPr>
        <w:t xml:space="preserve">16.9. Checklist: análisis de una exclusión invocada por la aseguradora</w:t>
      </w:r>
    </w:p>
    <w:p>
      <w:pPr>
        <w:pStyle w:val="ListParagraph"/>
        <w:numPr>
          <w:ilvl w:val="0"/>
          <w:numId w:val="2"/>
        </w:numPr>
        <w:spacing w:after="100" w:line="290"/>
      </w:pPr>
      <w:r>
        <w:rPr>
          <w:rFonts w:ascii="Archivo" w:cs="Archivo" w:eastAsia="Archivo" w:hAnsi="Archivo"/>
          <w:sz w:val="21"/>
          <w:szCs w:val="21"/>
        </w:rPr>
        <w:t xml:space="preserve">1. ¿Es una exclusión legal de orden público o una exclusión convencional?</w:t>
      </w:r>
    </w:p>
    <w:p>
      <w:pPr>
        <w:pStyle w:val="ListParagraph"/>
        <w:numPr>
          <w:ilvl w:val="0"/>
          <w:numId w:val="2"/>
        </w:numPr>
        <w:spacing w:after="100" w:line="290"/>
      </w:pPr>
      <w:r>
        <w:rPr>
          <w:rFonts w:ascii="Archivo" w:cs="Archivo" w:eastAsia="Archivo" w:hAnsi="Archivo"/>
          <w:sz w:val="21"/>
          <w:szCs w:val="21"/>
        </w:rPr>
        <w:t xml:space="preserve">2. ¿Está la cláusula efectivamente incorporada al contrato (entrega y accesibilidad real)?</w:t>
      </w:r>
    </w:p>
    <w:p>
      <w:pPr>
        <w:pStyle w:val="ListParagraph"/>
        <w:numPr>
          <w:ilvl w:val="0"/>
          <w:numId w:val="2"/>
        </w:numPr>
        <w:spacing w:after="100" w:line="290"/>
      </w:pPr>
      <w:r>
        <w:rPr>
          <w:rFonts w:ascii="Archivo" w:cs="Archivo" w:eastAsia="Archivo" w:hAnsi="Archivo"/>
          <w:sz w:val="21"/>
          <w:szCs w:val="21"/>
        </w:rPr>
        <w:t xml:space="preserve">3. ¿Es delimitadora o limitativa conforme al test de la cláusula sorpresiva?</w:t>
      </w:r>
    </w:p>
    <w:p>
      <w:pPr>
        <w:pStyle w:val="ListParagraph"/>
        <w:numPr>
          <w:ilvl w:val="0"/>
          <w:numId w:val="2"/>
        </w:numPr>
        <w:spacing w:after="100" w:line="290"/>
      </w:pPr>
      <w:r>
        <w:rPr>
          <w:rFonts w:ascii="Archivo" w:cs="Archivo" w:eastAsia="Archivo" w:hAnsi="Archivo"/>
          <w:sz w:val="21"/>
          <w:szCs w:val="21"/>
        </w:rPr>
        <w:t xml:space="preserve">4. Si es limitativa, ¿cumple los requisitos formales del art. 3 LCS?</w:t>
      </w:r>
    </w:p>
    <w:p>
      <w:pPr>
        <w:pStyle w:val="ListParagraph"/>
        <w:numPr>
          <w:ilvl w:val="0"/>
          <w:numId w:val="2"/>
        </w:numPr>
        <w:spacing w:after="100" w:line="290"/>
      </w:pPr>
      <w:r>
        <w:rPr>
          <w:rFonts w:ascii="Archivo" w:cs="Archivo" w:eastAsia="Archivo" w:hAnsi="Archivo"/>
          <w:sz w:val="21"/>
          <w:szCs w:val="21"/>
        </w:rPr>
        <w:t xml:space="preserve">5. ¿Existe duda razonable sobre su alcance que deba resolverse a favor del asegurado (art. 1288 CC)?</w:t>
      </w:r>
    </w:p>
    <w:p>
      <w:pPr>
        <w:pStyle w:val="ListParagraph"/>
        <w:numPr>
          <w:ilvl w:val="0"/>
          <w:numId w:val="2"/>
        </w:numPr>
        <w:spacing w:after="100" w:line="290"/>
      </w:pPr>
      <w:r>
        <w:rPr>
          <w:rFonts w:ascii="Archivo" w:cs="Archivo" w:eastAsia="Archivo" w:hAnsi="Archivo"/>
          <w:sz w:val="21"/>
          <w:szCs w:val="21"/>
        </w:rPr>
        <w:t xml:space="preserve">6. ¿Aporta la aseguradora prueba pericial suficiente de los hechos en que basa la exclusión?</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ageBreakBefore/>
        <w:spacing w:after="200" w:before="2000"/>
      </w:pPr>
      <w:r>
        <w:rPr>
          <w:rFonts w:ascii="Archivo" w:cs="Archivo" w:eastAsia="Archivo" w:hAnsi="Archivo"/>
          <w:b/>
          <w:bCs/>
          <w:color w:val="1B6DF0"/>
          <w:sz w:val="28"/>
          <w:szCs w:val="28"/>
        </w:rPr>
        <w:t xml:space="preserve">PARTE III</w:t>
      </w:r>
    </w:p>
    <w:p>
      <w:pPr>
        <w:pBdr>
          <w:bottom w:val="single" w:color="CBD5E1" w:sz="6" w:space="12"/>
        </w:pBdr>
        <w:spacing w:after="600"/>
      </w:pPr>
      <w:r>
        <w:rPr>
          <w:rFonts w:ascii="Fraunces" w:cs="Fraunces" w:eastAsia="Fraunces" w:hAnsi="Fraunces"/>
          <w:b/>
          <w:bCs/>
          <w:color w:val="0A2540"/>
          <w:sz w:val="44"/>
          <w:szCs w:val="44"/>
        </w:rPr>
        <w:t xml:space="preserve">La gestión del siniestro</w:t>
      </w:r>
    </w:p>
    <w:p>
      <w:pPr>
        <w:pStyle w:val="Heading1"/>
        <w:pageBreakBefore/>
        <w:spacing w:after="300" w:before="200"/>
      </w:pPr>
      <w:r>
        <w:rPr>
          <w:rFonts w:ascii="Archivo" w:cs="Archivo" w:eastAsia="Archivo" w:hAnsi="Archivo"/>
          <w:b/>
          <w:bCs/>
          <w:color w:val="1B6DF0"/>
          <w:sz w:val="22"/>
          <w:szCs w:val="22"/>
        </w:rPr>
        <w:t xml:space="preserve">Capítulo 17. </w:t>
      </w:r>
      <w:r>
        <w:rPr>
          <w:rFonts w:ascii="Fraunces" w:cs="Fraunces" w:eastAsia="Fraunces" w:hAnsi="Fraunces"/>
          <w:b/>
          <w:bCs/>
          <w:color w:val="0A2540"/>
          <w:sz w:val="30"/>
          <w:szCs w:val="30"/>
        </w:rPr>
        <w:t xml:space="preserve">Declaración y comunicación del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17.1. El deber de comunicación del siniestro (art. 16 LCS)</w:t>
            </w:r>
          </w:p>
          <w:p>
            <w:pPr>
              <w:spacing w:after="40" w:line="260"/>
            </w:pPr>
            <w:r>
              <w:rPr>
                <w:rFonts w:ascii="Archivo" w:cs="Archivo" w:eastAsia="Archivo" w:hAnsi="Archivo"/>
                <w:sz w:val="18"/>
                <w:szCs w:val="18"/>
              </w:rPr>
              <w:t xml:space="preserve">17.2. Plazo y consecuencias del incumplimiento</w:t>
            </w:r>
          </w:p>
          <w:p>
            <w:pPr>
              <w:spacing w:after="40" w:line="260"/>
            </w:pPr>
            <w:r>
              <w:rPr>
                <w:rFonts w:ascii="Archivo" w:cs="Archivo" w:eastAsia="Archivo" w:hAnsi="Archivo"/>
                <w:sz w:val="18"/>
                <w:szCs w:val="18"/>
              </w:rPr>
              <w:t xml:space="preserve">17.3. El deber de información sobre las circunstancias del siniestro</w:t>
            </w:r>
          </w:p>
          <w:p>
            <w:pPr>
              <w:spacing w:after="40" w:line="260"/>
            </w:pPr>
            <w:r>
              <w:rPr>
                <w:rFonts w:ascii="Archivo" w:cs="Archivo" w:eastAsia="Archivo" w:hAnsi="Archivo"/>
                <w:sz w:val="18"/>
                <w:szCs w:val="18"/>
              </w:rPr>
              <w:t xml:space="preserve">17.4. La prueba del conocimiento del siniestro por otro medio</w:t>
            </w:r>
          </w:p>
          <w:p>
            <w:pPr>
              <w:spacing w:after="40" w:line="260"/>
            </w:pPr>
            <w:r>
              <w:rPr>
                <w:rFonts w:ascii="Archivo" w:cs="Archivo" w:eastAsia="Archivo" w:hAnsi="Archivo"/>
                <w:sz w:val="18"/>
                <w:szCs w:val="18"/>
              </w:rPr>
              <w:t xml:space="preserve">17.5. Ficha para el profesional</w:t>
            </w:r>
          </w:p>
          <w:p>
            <w:pPr>
              <w:spacing w:after="40" w:line="260"/>
            </w:pPr>
            <w:r>
              <w:rPr>
                <w:rFonts w:ascii="Archivo" w:cs="Archivo" w:eastAsia="Archivo" w:hAnsi="Archivo"/>
                <w:sz w:val="18"/>
                <w:szCs w:val="18"/>
              </w:rPr>
              <w:t xml:space="preserve">17.6. Ficha para el asegurado</w:t>
            </w:r>
          </w:p>
          <w:p>
            <w:pPr>
              <w:spacing w:after="40" w:line="260"/>
            </w:pPr>
            <w:r>
              <w:rPr>
                <w:rFonts w:ascii="Archivo" w:cs="Archivo" w:eastAsia="Archivo" w:hAnsi="Archivo"/>
                <w:sz w:val="18"/>
                <w:szCs w:val="18"/>
              </w:rPr>
              <w:t xml:space="preserve">17.7. Checklist: comunicación de un siniestro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III, dedicada a la gestión del siniestro, con el estudio del deber de comunicación del art. 16 LCS: su plazo de siete días —dispositivo al alza pero no a la baja—, el régimen de consecuencias limitado a la indemnización de los daños y perjuicios efectivamente causados por el retraso (y no a la pérdida automática del derecho a la prestación), y el deber adicional de información sobre las circunstancias del siniestro, sometido a un estándar de dolo o culpa grave que lo diferencia sustancialmente del régimen del deber precontractual de declaración del riesgo estudiado en el capítulo 4.</w:t>
            </w:r>
          </w:p>
          <w:p>
            <w:pPr>
              <w:spacing w:after="160"/>
            </w:pPr>
            <w:r>
              <w:rPr>
                <w:rFonts w:ascii="Archivo" w:cs="Archivo" w:eastAsia="Archivo" w:hAnsi="Archivo"/>
                <w:b/>
                <w:bCs/>
                <w:sz w:val="17"/>
                <w:szCs w:val="17"/>
              </w:rPr>
              <w:t xml:space="preserve">Palabras clave: comunicación del siniestro, art. 16 LCS, plazo de siete días, deber de información.</w:t>
            </w:r>
          </w:p>
          <w:p>
            <w:pPr>
              <w:spacing w:after="100"/>
              <w:jc w:val="both"/>
            </w:pPr>
            <w:r>
              <w:rPr>
                <w:rFonts w:ascii="Archivo" w:cs="Archivo" w:eastAsia="Archivo" w:hAnsi="Archivo"/>
                <w:i/>
                <w:iCs/>
                <w:sz w:val="18"/>
                <w:szCs w:val="18"/>
              </w:rPr>
              <w:t xml:space="preserve">This chapter opens Part III, devoted to claims handling, examining the notification duty under Article 16 of the Insurance Contract Act: its seven-day period —which may be extended but not shortened by policy terms—, the consequences regime limited to indemnifying the loss actually caused by the delay (rather than automatic forfeiture of the claim), and the further duty to inform the insurer of the circumstances of the loss, subject to a wilful misconduct or gross negligence standard distinct from the pre-contractual disclosure duty examined in Chapter 3.</w:t>
            </w:r>
          </w:p>
          <w:p>
            <w:pPr>
              <w:spacing w:after="0"/>
            </w:pPr>
            <w:r>
              <w:rPr>
                <w:rFonts w:ascii="Archivo" w:cs="Archivo" w:eastAsia="Archivo" w:hAnsi="Archivo"/>
                <w:b/>
                <w:bCs/>
                <w:sz w:val="17"/>
                <w:szCs w:val="17"/>
              </w:rPr>
              <w:t xml:space="preserve">Keywords: claim notification, seven-day period, duty to inform, forfeiture.</w:t>
            </w:r>
          </w:p>
        </w:tc>
      </w:tr>
    </w:tbl>
    <w:p>
      <w:pPr>
        <w:spacing w:after="200"/>
      </w:pPr>
    </w:p>
    <w:p>
      <w:pPr>
        <w:pStyle w:val="Heading2"/>
        <w:spacing w:after="160" w:before="400"/>
      </w:pPr>
      <w:r>
        <w:rPr>
          <w:rFonts w:ascii="Fraunces" w:cs="Fraunces" w:eastAsia="Fraunces" w:hAnsi="Fraunces"/>
          <w:b/>
          <w:bCs/>
          <w:color w:val="0A2540"/>
          <w:sz w:val="24"/>
          <w:szCs w:val="24"/>
        </w:rPr>
        <w:t xml:space="preserve">17.1. El deber de comunicación del siniestro</w:t>
      </w:r>
    </w:p>
    <w:p>
      <w:pPr>
        <w:spacing w:after="180" w:line="300"/>
        <w:jc w:val="both"/>
      </w:pPr>
      <w:r>
        <w:rPr>
          <w:rFonts w:ascii="Archivo" w:cs="Archivo" w:eastAsia="Archivo" w:hAnsi="Archivo"/>
          <w:sz w:val="21"/>
          <w:szCs w:val="21"/>
        </w:rPr>
        <w:t xml:space="preserve">Producido el siniestro, el primer deber que recae sobre el tomador, el asegurado o el beneficiario es el de comunicarlo al asegurador, deber que la LCS configura con un rigor sensiblemente menor que el deber precontractual de declaración del riesgo estudiado en el capítulo 4, como revela la comparación de sus respectivos regímenes de consecuencias</w:t>
      </w:r>
      <w:r>
        <w:rPr>
          <w:rStyle w:val="FootnoteReference"/>
        </w:rPr>
        <w:footnoteReference w:id="4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16 LCS</w:t>
            </w:r>
          </w:p>
          <w:p>
            <w:pPr>
              <w:spacing w:after="0" w:line="280"/>
              <w:jc w:val="both"/>
            </w:pPr>
            <w:r>
              <w:rPr>
                <w:rFonts w:ascii="IBM Plex Mono" w:cs="IBM Plex Mono" w:eastAsia="IBM Plex Mono" w:hAnsi="IBM Plex Mono"/>
                <w:i/>
                <w:iCs/>
                <w:color w:val="0A2540"/>
                <w:sz w:val="18"/>
                <w:szCs w:val="18"/>
              </w:rPr>
              <w:t xml:space="preserve">El tomador del seguro o el asegurado o el beneficiario deberán comunicar al asegurador el acaecimiento del siniestro dentro del plazo máximo de siete días de haberlo conocido, salvo que se haya fijado en la póliza un plazo más amplio. En caso de incumplimiento, el asegurador podrá reclamar los daños y perjuicios causados por la falta de declaración. Este efecto no se producirá si se prueba que el asegurador ha tenido conocimiento del siniestro por otro medio. El tomador del seguro o el asegurado deberá, además, dar al asegurador toda clase de informaciones sobre las circunstancias y consecuencias del siniestro. En caso de violación de este deber, la pérdida del derecho a la indemnización sólo se producirá en el supuesto de que hubiese concurrido dolo o culpa grave.</w:t>
            </w:r>
          </w:p>
        </w:tc>
      </w:tr>
    </w:tbl>
    <w:p>
      <w:pPr>
        <w:spacing w:after="180" w:line="300"/>
        <w:jc w:val="both"/>
      </w:pPr>
      <w:r>
        <w:rPr>
          <w:rFonts w:ascii="Archivo" w:cs="Archivo" w:eastAsia="Archivo" w:hAnsi="Archivo"/>
          <w:sz w:val="21"/>
          <w:szCs w:val="21"/>
        </w:rPr>
        <w:t xml:space="preserve">El plazo legal de siete días es, expresamente, un mínimo dispositivo al alza: la póliza puede ampliarlo (y así lo hacen, en la práctica, numerosas condiciones generales, que conceden plazos de hasta treinta días), pero nunca reducirlo por debajo del umbral legal, por tratarse de una previsión de carácter imperativo relativo a favor del asegurado, en línea con la regla general del art. 2 LCS estudiada en el capítulo 1.</w:t>
      </w:r>
    </w:p>
    <w:p>
      <w:pPr>
        <w:pStyle w:val="Heading2"/>
        <w:spacing w:after="160" w:before="400"/>
      </w:pPr>
      <w:r>
        <w:rPr>
          <w:rFonts w:ascii="Fraunces" w:cs="Fraunces" w:eastAsia="Fraunces" w:hAnsi="Fraunces"/>
          <w:b/>
          <w:bCs/>
          <w:color w:val="0A2540"/>
          <w:sz w:val="24"/>
          <w:szCs w:val="24"/>
        </w:rPr>
        <w:t xml:space="preserve">17.2. Plazo y consecuencias del incumplimiento</w:t>
      </w:r>
    </w:p>
    <w:p>
      <w:pPr>
        <w:spacing w:after="180" w:line="300"/>
        <w:jc w:val="both"/>
      </w:pPr>
      <w:r>
        <w:rPr>
          <w:rFonts w:ascii="Archivo" w:cs="Archivo" w:eastAsia="Archivo" w:hAnsi="Archivo"/>
          <w:sz w:val="21"/>
          <w:szCs w:val="21"/>
        </w:rPr>
        <w:t xml:space="preserve">La consecuencia legal del incumplimiento del plazo de comunicación es, a diferencia de lo que erróneamente cree buena parte del público asegurado, no la pérdida automática del derecho a la indemnización, sino una acción de resarcimiento del asegurador limitada a los daños y perjuicios que la falta de declaración le haya efectivamente causado (por ejemplo, la imposibilidad de determinar con precisión la causa del siniestro por haberse alterado irreversiblemente el lugar de los hechos, o el agravamiento del daño por la demora en adoptar medidas de contención). En la práctica, esta consecuencia es de difícil aplicación efectiva, porque exige a la aseguradora acreditar tanto el daño concreto causado por el retraso como su cuantía, prueba que rara vez se aporta con el rigor exigible, lo que explica que la denegación total de cobertura por simple retraso en la comunicación —sin acreditación de un perjuicio concreto— carezca, en rigor, de cobertura legal en el art. 16 LCS.</w:t>
      </w:r>
    </w:p>
    <w:p>
      <w:pPr>
        <w:pStyle w:val="Heading2"/>
        <w:spacing w:after="160" w:before="400"/>
      </w:pPr>
      <w:r>
        <w:rPr>
          <w:rFonts w:ascii="Fraunces" w:cs="Fraunces" w:eastAsia="Fraunces" w:hAnsi="Fraunces"/>
          <w:b/>
          <w:bCs/>
          <w:color w:val="0A2540"/>
          <w:sz w:val="24"/>
          <w:szCs w:val="24"/>
        </w:rPr>
        <w:t xml:space="preserve">17.3. El deber de información sobre las circunstancias del siniestro</w:t>
      </w:r>
    </w:p>
    <w:p>
      <w:pPr>
        <w:spacing w:after="180" w:line="300"/>
        <w:jc w:val="both"/>
      </w:pPr>
      <w:r>
        <w:rPr>
          <w:rFonts w:ascii="Archivo" w:cs="Archivo" w:eastAsia="Archivo" w:hAnsi="Archivo"/>
          <w:sz w:val="21"/>
          <w:szCs w:val="21"/>
        </w:rPr>
        <w:t xml:space="preserve">El segundo párrafo del art. 16 LCS impone, además de la comunicación del acaecimiento del siniestro, un deber más amplio de suministrar «toda clase de informaciones sobre las circunstancias y consecuencias del siniestro» —lo que en la práctica incluye responder a los requerimientos del perito, facilitar el acceso a la vivienda para su inspección, y aportar la documentación acreditativa de los daños—, cuyo incumplimiento se somete a un estándar de imputación subjetiva mucho más exigente que el de la mera comunicación tardía: solo el dolo o la culpa grave del tomador o del asegurado en el incumplimiento de este deber de información determinan la pérdida del derecho a la indemnización, en un paralelismo estructural con el régimen del art. 10 LCS (deber precontractual) y del art. 48 LCS (seguro de incendio) ya estudiados.</w:t>
      </w:r>
    </w:p>
    <w:p>
      <w:pPr>
        <w:pStyle w:val="Heading2"/>
        <w:spacing w:after="160" w:before="400"/>
      </w:pPr>
      <w:r>
        <w:rPr>
          <w:rFonts w:ascii="Fraunces" w:cs="Fraunces" w:eastAsia="Fraunces" w:hAnsi="Fraunces"/>
          <w:b/>
          <w:bCs/>
          <w:color w:val="0A2540"/>
          <w:sz w:val="24"/>
          <w:szCs w:val="24"/>
        </w:rPr>
        <w:t xml:space="preserve">17.4. La prueba del conocimiento del siniestro por otro medio</w:t>
      </w:r>
    </w:p>
    <w:p>
      <w:pPr>
        <w:spacing w:after="180" w:line="300"/>
        <w:jc w:val="both"/>
      </w:pPr>
      <w:r>
        <w:rPr>
          <w:rFonts w:ascii="Archivo" w:cs="Archivo" w:eastAsia="Archivo" w:hAnsi="Archivo"/>
          <w:sz w:val="21"/>
          <w:szCs w:val="21"/>
        </w:rPr>
        <w:t xml:space="preserve">El propio art. 16 LCS neutraliza la consecuencia indemnizatoria del retraso cuando se acredita que el asegurador tuvo conocimiento del siniestro «por otro medio», previsión de notable relevancia práctica en el ramo de hogar cuando, por ejemplo, el mismo siniestro de agua o de incendio ha sido ya comunicado por un vecino afectado, por la comunidad de propietarios, o por el propio perito designado por otra póliza concurrente (capítulo 8): en tales casos, el asegurado que comunicó tardíamente su propio siniestro puede oponer válidamente que la aseguradora ya conocía los hechos por esa vía alternativa.</w:t>
      </w:r>
    </w:p>
    <w:p>
      <w:pPr>
        <w:pStyle w:val="Heading2"/>
        <w:spacing w:after="160" w:before="400"/>
      </w:pPr>
      <w:r>
        <w:rPr>
          <w:rFonts w:ascii="Fraunces" w:cs="Fraunces" w:eastAsia="Fraunces" w:hAnsi="Fraunces"/>
          <w:b/>
          <w:bCs/>
          <w:color w:val="0A2540"/>
          <w:sz w:val="24"/>
          <w:szCs w:val="24"/>
        </w:rPr>
        <w:t xml:space="preserve">17.5.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por comunicación tardía</w:t>
            </w:r>
          </w:p>
          <w:p>
            <w:pPr>
              <w:pStyle w:val="ListParagraph"/>
              <w:numPr>
                <w:ilvl w:val="0"/>
                <w:numId w:val="2"/>
              </w:numPr>
              <w:spacing w:after="80" w:line="280"/>
            </w:pPr>
            <w:r>
              <w:rPr>
                <w:rFonts w:ascii="Archivo" w:cs="Archivo" w:eastAsia="Archivo" w:hAnsi="Archivo"/>
                <w:sz w:val="19"/>
                <w:szCs w:val="19"/>
              </w:rPr>
              <w:t xml:space="preserve">Exigir a la aseguradora que concrete y acredite el daño y perjuicio efectivamente causado por el retraso en la comunicación, no una alegación genérica de incumplimiento del plazo.</w:t>
            </w:r>
          </w:p>
          <w:p>
            <w:pPr>
              <w:pStyle w:val="ListParagraph"/>
              <w:numPr>
                <w:ilvl w:val="0"/>
                <w:numId w:val="2"/>
              </w:numPr>
              <w:spacing w:after="80" w:line="280"/>
            </w:pPr>
            <w:r>
              <w:rPr>
                <w:rFonts w:ascii="Archivo" w:cs="Archivo" w:eastAsia="Archivo" w:hAnsi="Archivo"/>
                <w:sz w:val="19"/>
                <w:szCs w:val="19"/>
              </w:rPr>
              <w:t xml:space="preserve">Verificar si el plazo aplicable es el legal de siete días o un plazo ampliado pactado en las condiciones particulares o generales.</w:t>
            </w:r>
          </w:p>
          <w:p>
            <w:pPr>
              <w:pStyle w:val="ListParagraph"/>
              <w:numPr>
                <w:ilvl w:val="0"/>
                <w:numId w:val="2"/>
              </w:numPr>
              <w:spacing w:after="80" w:line="280"/>
            </w:pPr>
            <w:r>
              <w:rPr>
                <w:rFonts w:ascii="Archivo" w:cs="Archivo" w:eastAsia="Archivo" w:hAnsi="Archivo"/>
                <w:sz w:val="19"/>
                <w:szCs w:val="19"/>
              </w:rPr>
              <w:t xml:space="preserve">Explorar si existe prueba de que la aseguradora tuvo conocimiento del siniestro por otro medio (comunidad de propietarios, otro asegurado, actuación policial o de bomberos).</w:t>
            </w:r>
          </w:p>
          <w:p>
            <w:pPr>
              <w:pStyle w:val="ListParagraph"/>
              <w:numPr>
                <w:ilvl w:val="0"/>
                <w:numId w:val="2"/>
              </w:numPr>
              <w:spacing w:after="80" w:line="280"/>
            </w:pPr>
            <w:r>
              <w:rPr>
                <w:rFonts w:ascii="Archivo" w:cs="Archivo" w:eastAsia="Archivo" w:hAnsi="Archivo"/>
                <w:sz w:val="19"/>
                <w:szCs w:val="19"/>
              </w:rPr>
              <w:t xml:space="preserve">Distinguir con precisión el incumplimiento del deber de comunicación (régimen de resarcimiento de daños concretos) del incumplimiento del deber de información sobre las circunstancias del siniestro (régimen de dolo o culpa grave).</w:t>
            </w:r>
          </w:p>
        </w:tc>
      </w:tr>
    </w:tbl>
    <w:p>
      <w:pPr>
        <w:pStyle w:val="Heading2"/>
        <w:spacing w:after="160" w:before="400"/>
      </w:pPr>
      <w:r>
        <w:rPr>
          <w:rFonts w:ascii="Fraunces" w:cs="Fraunces" w:eastAsia="Fraunces" w:hAnsi="Fraunces"/>
          <w:b/>
          <w:bCs/>
          <w:color w:val="0A2540"/>
          <w:sz w:val="24"/>
          <w:szCs w:val="24"/>
        </w:rPr>
        <w:t xml:space="preserve">17.6.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y cuándo comunicar un siniestro</w:t>
            </w:r>
          </w:p>
          <w:p>
            <w:pPr>
              <w:pStyle w:val="ListParagraph"/>
              <w:numPr>
                <w:ilvl w:val="0"/>
                <w:numId w:val="2"/>
              </w:numPr>
              <w:spacing w:after="80" w:line="280"/>
            </w:pPr>
            <w:r>
              <w:rPr>
                <w:rFonts w:ascii="Archivo" w:cs="Archivo" w:eastAsia="Archivo" w:hAnsi="Archivo"/>
                <w:sz w:val="19"/>
                <w:szCs w:val="19"/>
              </w:rPr>
              <w:t xml:space="preserve">Comunique el siniestro a su aseguradora lo antes posible, idealmente el mismo día en que lo detecte, aunque el plazo legal sea de siete días: cuanto antes actúe, más fácil será probar la causa y el alcance del daño.</w:t>
            </w:r>
          </w:p>
          <w:p>
            <w:pPr>
              <w:pStyle w:val="ListParagraph"/>
              <w:numPr>
                <w:ilvl w:val="0"/>
                <w:numId w:val="2"/>
              </w:numPr>
              <w:spacing w:after="80" w:line="280"/>
            </w:pPr>
            <w:r>
              <w:rPr>
                <w:rFonts w:ascii="Archivo" w:cs="Archivo" w:eastAsia="Archivo" w:hAnsi="Archivo"/>
                <w:sz w:val="19"/>
                <w:szCs w:val="19"/>
              </w:rPr>
              <w:t xml:space="preserve">Conserve el justificante de la comunicación (número de expediente, correo electrónico, grabación telefónica).</w:t>
            </w:r>
          </w:p>
          <w:p>
            <w:pPr>
              <w:pStyle w:val="ListParagraph"/>
              <w:numPr>
                <w:ilvl w:val="0"/>
                <w:numId w:val="2"/>
              </w:numPr>
              <w:spacing w:after="80" w:line="280"/>
            </w:pPr>
            <w:r>
              <w:rPr>
                <w:rFonts w:ascii="Archivo" w:cs="Archivo" w:eastAsia="Archivo" w:hAnsi="Archivo"/>
                <w:sz w:val="19"/>
                <w:szCs w:val="19"/>
              </w:rPr>
              <w:t xml:space="preserve">Colabore con el perito y facilite toda la información y documentación que le soliciten sobre las circunstancias del siniestro: negarse u ocultar información deliberadamente sí puede hacerle perder el derecho a la indemnización.</w:t>
            </w:r>
          </w:p>
          <w:p>
            <w:pPr>
              <w:pStyle w:val="ListParagraph"/>
              <w:numPr>
                <w:ilvl w:val="0"/>
                <w:numId w:val="2"/>
              </w:numPr>
              <w:spacing w:after="80" w:line="280"/>
            </w:pPr>
            <w:r>
              <w:rPr>
                <w:rFonts w:ascii="Archivo" w:cs="Archivo" w:eastAsia="Archivo" w:hAnsi="Archivo"/>
                <w:sz w:val="19"/>
                <w:szCs w:val="19"/>
              </w:rPr>
              <w:t xml:space="preserve">Si se ha retrasado en la comunicación por causa justificada (por ejemplo, ausencia prolongada), explíquelo y aporte prueba: la ley solo permite a la aseguradora reclamar el perjuicio concreto causado, no denegar la cobertura sin más.</w:t>
            </w:r>
          </w:p>
        </w:tc>
      </w:tr>
    </w:tbl>
    <w:p>
      <w:pPr>
        <w:pStyle w:val="Heading2"/>
        <w:spacing w:after="160" w:before="400"/>
      </w:pPr>
      <w:r>
        <w:rPr>
          <w:rFonts w:ascii="Fraunces" w:cs="Fraunces" w:eastAsia="Fraunces" w:hAnsi="Fraunces"/>
          <w:b/>
          <w:bCs/>
          <w:color w:val="0A2540"/>
          <w:sz w:val="24"/>
          <w:szCs w:val="24"/>
        </w:rPr>
        <w:t xml:space="preserve">17.7. Checklist: comunicación de un siniestro de hogar</w:t>
      </w:r>
    </w:p>
    <w:p>
      <w:pPr>
        <w:pStyle w:val="ListParagraph"/>
        <w:numPr>
          <w:ilvl w:val="0"/>
          <w:numId w:val="2"/>
        </w:numPr>
        <w:spacing w:after="100" w:line="290"/>
      </w:pPr>
      <w:r>
        <w:rPr>
          <w:rFonts w:ascii="Archivo" w:cs="Archivo" w:eastAsia="Archivo" w:hAnsi="Archivo"/>
          <w:sz w:val="21"/>
          <w:szCs w:val="21"/>
        </w:rPr>
        <w:t xml:space="preserve">1. ¿Cuándo tuvo conocimiento el asegurado del siniestro y cuándo lo comunicó?</w:t>
      </w:r>
    </w:p>
    <w:p>
      <w:pPr>
        <w:pStyle w:val="ListParagraph"/>
        <w:numPr>
          <w:ilvl w:val="0"/>
          <w:numId w:val="2"/>
        </w:numPr>
        <w:spacing w:after="100" w:line="290"/>
      </w:pPr>
      <w:r>
        <w:rPr>
          <w:rFonts w:ascii="Archivo" w:cs="Archivo" w:eastAsia="Archivo" w:hAnsi="Archivo"/>
          <w:sz w:val="21"/>
          <w:szCs w:val="21"/>
        </w:rPr>
        <w:t xml:space="preserve">2. ¿Qué plazo de comunicación establece la póliza concreta (legal o ampliado)?</w:t>
      </w:r>
    </w:p>
    <w:p>
      <w:pPr>
        <w:pStyle w:val="ListParagraph"/>
        <w:numPr>
          <w:ilvl w:val="0"/>
          <w:numId w:val="2"/>
        </w:numPr>
        <w:spacing w:after="100" w:line="290"/>
      </w:pPr>
      <w:r>
        <w:rPr>
          <w:rFonts w:ascii="Archivo" w:cs="Archivo" w:eastAsia="Archivo" w:hAnsi="Archivo"/>
          <w:sz w:val="21"/>
          <w:szCs w:val="21"/>
        </w:rPr>
        <w:t xml:space="preserve">3. Si hubo retraso, ¿qué daño o perjuicio concreto alega la aseguradora, y lo acredita?</w:t>
      </w:r>
    </w:p>
    <w:p>
      <w:pPr>
        <w:pStyle w:val="ListParagraph"/>
        <w:numPr>
          <w:ilvl w:val="0"/>
          <w:numId w:val="2"/>
        </w:numPr>
        <w:spacing w:after="100" w:line="290"/>
      </w:pPr>
      <w:r>
        <w:rPr>
          <w:rFonts w:ascii="Archivo" w:cs="Archivo" w:eastAsia="Archivo" w:hAnsi="Archivo"/>
          <w:sz w:val="21"/>
          <w:szCs w:val="21"/>
        </w:rPr>
        <w:t xml:space="preserve">4. ¿Existe prueba de que la aseguradora conocía el siniestro por otro medio?</w:t>
      </w:r>
    </w:p>
    <w:p>
      <w:pPr>
        <w:pStyle w:val="ListParagraph"/>
        <w:numPr>
          <w:ilvl w:val="0"/>
          <w:numId w:val="2"/>
        </w:numPr>
        <w:spacing w:after="100" w:line="290"/>
      </w:pPr>
      <w:r>
        <w:rPr>
          <w:rFonts w:ascii="Archivo" w:cs="Archivo" w:eastAsia="Archivo" w:hAnsi="Archivo"/>
          <w:sz w:val="21"/>
          <w:szCs w:val="21"/>
        </w:rPr>
        <w:t xml:space="preserve">5. ¿Se ha cumplido el deber de información sobre las circunstancias del siniestro (documentación, acceso a la vivienda, colaboración con el perito)?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18. </w:t>
      </w:r>
      <w:r>
        <w:rPr>
          <w:rFonts w:ascii="Fraunces" w:cs="Fraunces" w:eastAsia="Fraunces" w:hAnsi="Fraunces"/>
          <w:b/>
          <w:bCs/>
          <w:color w:val="0A2540"/>
          <w:sz w:val="30"/>
          <w:szCs w:val="30"/>
        </w:rPr>
        <w:t xml:space="preserve">Peritación: designación, procedimiento y tercer perito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18.1. El procedimiento pericial del art. 38 LCS: naturaleza y función</w:t>
            </w:r>
          </w:p>
          <w:p>
            <w:pPr>
              <w:spacing w:after="40" w:line="260"/>
            </w:pPr>
            <w:r>
              <w:rPr>
                <w:rFonts w:ascii="Archivo" w:cs="Archivo" w:eastAsia="Archivo" w:hAnsi="Archivo"/>
                <w:sz w:val="18"/>
                <w:szCs w:val="18"/>
              </w:rPr>
              <w:t xml:space="preserve">18.2. Fases del procedimiento: designación, acuerdo y tercer perito</w:t>
            </w:r>
          </w:p>
          <w:p>
            <w:pPr>
              <w:spacing w:after="40" w:line="260"/>
            </w:pPr>
            <w:r>
              <w:rPr>
                <w:rFonts w:ascii="Archivo" w:cs="Archivo" w:eastAsia="Archivo" w:hAnsi="Archivo"/>
                <w:sz w:val="18"/>
                <w:szCs w:val="18"/>
              </w:rPr>
              <w:t xml:space="preserve">18.3. El alcance vinculante del dictamen: la distinción clave entre liquidación del daño e interpretación del contrato</w:t>
            </w:r>
          </w:p>
          <w:p>
            <w:pPr>
              <w:spacing w:after="40" w:line="260"/>
            </w:pPr>
            <w:r>
              <w:rPr>
                <w:rFonts w:ascii="Archivo" w:cs="Archivo" w:eastAsia="Archivo" w:hAnsi="Archivo"/>
                <w:sz w:val="18"/>
                <w:szCs w:val="18"/>
              </w:rPr>
              <w:t xml:space="preserve">18.4. La impugnación judicial del dictamen: plazos y requisitos</w:t>
            </w:r>
          </w:p>
          <w:p>
            <w:pPr>
              <w:spacing w:after="40" w:line="260"/>
            </w:pPr>
            <w:r>
              <w:rPr>
                <w:rFonts w:ascii="Archivo" w:cs="Archivo" w:eastAsia="Archivo" w:hAnsi="Archivo"/>
                <w:sz w:val="18"/>
                <w:szCs w:val="18"/>
              </w:rPr>
              <w:t xml:space="preserve">18.5. Retraso del asegurado en la iniciación del expediente y sus consecuencias sobre los intereses</w:t>
            </w:r>
          </w:p>
          <w:p>
            <w:pPr>
              <w:spacing w:after="40" w:line="260"/>
            </w:pPr>
            <w:r>
              <w:rPr>
                <w:rFonts w:ascii="Archivo" w:cs="Archivo" w:eastAsia="Archivo" w:hAnsi="Archivo"/>
                <w:sz w:val="18"/>
                <w:szCs w:val="18"/>
              </w:rPr>
              <w:t xml:space="preserve">18.6. Ficha para el profesional</w:t>
            </w:r>
          </w:p>
          <w:p>
            <w:pPr>
              <w:spacing w:after="40" w:line="260"/>
            </w:pPr>
            <w:r>
              <w:rPr>
                <w:rFonts w:ascii="Archivo" w:cs="Archivo" w:eastAsia="Archivo" w:hAnsi="Archivo"/>
                <w:sz w:val="18"/>
                <w:szCs w:val="18"/>
              </w:rPr>
              <w:t xml:space="preserve">18.7. Ficha para el asegurado</w:t>
            </w:r>
          </w:p>
          <w:p>
            <w:pPr>
              <w:spacing w:after="40" w:line="260"/>
            </w:pPr>
            <w:r>
              <w:rPr>
                <w:rFonts w:ascii="Archivo" w:cs="Archivo" w:eastAsia="Archivo" w:hAnsi="Archivo"/>
                <w:sz w:val="18"/>
                <w:szCs w:val="18"/>
              </w:rPr>
              <w:t xml:space="preserve">18.8. Checklist: gestión del procedimiento pericial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en profundidad el procedimiento de peritación contradictoria del art. 38 LCS, con especial atención a la distinción, fijada por reiterada jurisprudencia de la Sala Primera, entre el ámbito estrictamente vinculante del dictamen pericial —la liquidación cuantitativa del daño— y las cuestiones de naturaleza jurídica —interpretación del contrato y alcance de la cobertura— que quedan extramuros de dicho carácter vinculante y corresponden en exclusiva a los tribunales.</w:t>
            </w:r>
          </w:p>
          <w:p>
            <w:pPr>
              <w:spacing w:after="160"/>
            </w:pPr>
            <w:r>
              <w:rPr>
                <w:rFonts w:ascii="Archivo" w:cs="Archivo" w:eastAsia="Archivo" w:hAnsi="Archivo"/>
                <w:b/>
                <w:bCs/>
                <w:sz w:val="17"/>
                <w:szCs w:val="17"/>
              </w:rPr>
              <w:t xml:space="preserve">Palabras clave: peritación, art. 38 LCS, tercer perito, dictamen vinculante, interpretación del contrato.</w:t>
            </w:r>
          </w:p>
          <w:p>
            <w:pPr>
              <w:spacing w:after="100"/>
              <w:jc w:val="both"/>
            </w:pPr>
            <w:r>
              <w:rPr>
                <w:rFonts w:ascii="Archivo" w:cs="Archivo" w:eastAsia="Archivo" w:hAnsi="Archivo"/>
                <w:i/>
                <w:iCs/>
                <w:sz w:val="18"/>
                <w:szCs w:val="18"/>
              </w:rPr>
              <w:t xml:space="preserve">This chapter examines in depth the contradictory expert appraisal procedure under Article 38 of the Insurance Contract Act, focusing on the distinction, established by consistent Supreme Court case law, between the strictly binding scope of the expert report —the quantitative assessment of the loss— and matters of a legal nature —contract interpretation and the scope of cover— which fall outside that binding effect and remain exclusively within the courts' competence.</w:t>
            </w:r>
          </w:p>
          <w:p>
            <w:pPr>
              <w:spacing w:after="0"/>
            </w:pPr>
            <w:r>
              <w:rPr>
                <w:rFonts w:ascii="Archivo" w:cs="Archivo" w:eastAsia="Archivo" w:hAnsi="Archivo"/>
                <w:b/>
                <w:bCs/>
                <w:sz w:val="17"/>
                <w:szCs w:val="17"/>
              </w:rPr>
              <w:t xml:space="preserve">Keywords: expert appraisal, third expert, binding report, contract interpretation.</w:t>
            </w:r>
          </w:p>
        </w:tc>
      </w:tr>
    </w:tbl>
    <w:p>
      <w:pPr>
        <w:spacing w:after="200"/>
      </w:pPr>
    </w:p>
    <w:p>
      <w:pPr>
        <w:pStyle w:val="Heading2"/>
        <w:spacing w:after="160" w:before="400"/>
      </w:pPr>
      <w:r>
        <w:rPr>
          <w:rFonts w:ascii="Fraunces" w:cs="Fraunces" w:eastAsia="Fraunces" w:hAnsi="Fraunces"/>
          <w:b/>
          <w:bCs/>
          <w:color w:val="0A2540"/>
          <w:sz w:val="24"/>
          <w:szCs w:val="24"/>
        </w:rPr>
        <w:t xml:space="preserve">18.1. El procedimiento pericial del art. 38 LCS: naturaleza y función</w:t>
      </w:r>
    </w:p>
    <w:p>
      <w:pPr>
        <w:spacing w:after="180" w:line="300"/>
        <w:jc w:val="both"/>
      </w:pPr>
      <w:r>
        <w:rPr>
          <w:rFonts w:ascii="Archivo" w:cs="Archivo" w:eastAsia="Archivo" w:hAnsi="Archivo"/>
          <w:sz w:val="21"/>
          <w:szCs w:val="21"/>
        </w:rPr>
        <w:t xml:space="preserve">El artículo 38 LCS regula, con un grado de detalle procedimental infrecuente en la propia Ley, el mecanismo de determinación pericial contradictoria del daño en el seguro contra daños, aplicable con carácter general al seguro de hogar salvo que las partes alcancen un acuerdo directo sobre el importe de la indemnización</w:t>
      </w:r>
      <w:r>
        <w:rPr>
          <w:rStyle w:val="FootnoteReference"/>
        </w:rPr>
        <w:footnoteReference w:id="45"/>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38 LCS (extracto)</w:t>
            </w:r>
          </w:p>
          <w:p>
            <w:pPr>
              <w:spacing w:after="0" w:line="280"/>
              <w:jc w:val="both"/>
            </w:pPr>
            <w:r>
              <w:rPr>
                <w:rFonts w:ascii="IBM Plex Mono" w:cs="IBM Plex Mono" w:eastAsia="IBM Plex Mono" w:hAnsi="IBM Plex Mono"/>
                <w:i/>
                <w:iCs/>
                <w:color w:val="0A2540"/>
                <w:sz w:val="18"/>
                <w:szCs w:val="18"/>
              </w:rPr>
              <w:t xml:space="preserve">Si las partes se pusiesen de acuerdo en cualquier momento sobre el importe y la forma de la indemnización, el asegurador deberá pagar la suma convenida [...]. Si no se lograse el acuerdo [...], cada parte designará un Perito, debiendo constar por escrito la aceptación de éstos. [...] Cuando no haya acuerdo entre los peritos, ambas partes designarán un tercer perito de conformidad. De no existir esta, se podrá promover expediente en la forma prevista en la Ley de la Jurisdicción Voluntaria o en la legislación notarial [...]. El dictamen de los Peritos, por unanimidad o por mayoría, se notificará a las partes de manera inmediata y en forma indubitada, siendo vinculante para éstas, salvo que se impugne judicialmente por alguna de las partes, dentro del plazo de treinta días, en el caso del asegurador y ciento ochenta en el del asegurado, computados ambos desde la fecha de su notificación.</w:t>
            </w:r>
          </w:p>
        </w:tc>
      </w:tr>
    </w:tbl>
    <w:p>
      <w:pPr>
        <w:pStyle w:val="Heading2"/>
        <w:spacing w:after="160" w:before="400"/>
      </w:pPr>
      <w:r>
        <w:rPr>
          <w:rFonts w:ascii="Fraunces" w:cs="Fraunces" w:eastAsia="Fraunces" w:hAnsi="Fraunces"/>
          <w:b/>
          <w:bCs/>
          <w:color w:val="0A2540"/>
          <w:sz w:val="24"/>
          <w:szCs w:val="24"/>
        </w:rPr>
        <w:t xml:space="preserve">18.2. Fases del procedimiento: designación, acuerdo y tercer perito</w:t>
      </w:r>
    </w:p>
    <w:p>
      <w:pPr>
        <w:pStyle w:val="ListParagraph"/>
        <w:numPr>
          <w:ilvl w:val="0"/>
          <w:numId w:val="2"/>
        </w:numPr>
        <w:spacing w:after="100" w:line="290"/>
      </w:pPr>
      <w:r>
        <w:rPr>
          <w:rFonts w:ascii="Archivo" w:cs="Archivo" w:eastAsia="Archivo" w:hAnsi="Archivo"/>
          <w:b/>
          <w:bCs/>
          <w:sz w:val="21"/>
          <w:szCs w:val="21"/>
        </w:rPr>
        <w:t xml:space="preserve">Designación de peritos de parte: </w:t>
      </w:r>
      <w:r>
        <w:rPr>
          <w:rFonts w:ascii="Archivo" w:cs="Archivo" w:eastAsia="Archivo" w:hAnsi="Archivo"/>
          <w:sz w:val="21"/>
          <w:szCs w:val="21"/>
        </w:rPr>
        <w:t xml:space="preserve">cada parte nombra su propio perito; si una de ellas no lo hace en los ocho días siguientes al requerimiento de la otra, se entiende que acepta el dictamen del perito de la parte diligente, quedando vinculada por él.</w:t>
      </w:r>
    </w:p>
    <w:p>
      <w:pPr>
        <w:pStyle w:val="ListParagraph"/>
        <w:numPr>
          <w:ilvl w:val="0"/>
          <w:numId w:val="2"/>
        </w:numPr>
        <w:spacing w:after="100" w:line="290"/>
      </w:pPr>
      <w:r>
        <w:rPr>
          <w:rFonts w:ascii="Archivo" w:cs="Archivo" w:eastAsia="Archivo" w:hAnsi="Archivo"/>
          <w:b/>
          <w:bCs/>
          <w:sz w:val="21"/>
          <w:szCs w:val="21"/>
        </w:rPr>
        <w:t xml:space="preserve">Acuerdo entre peritos: </w:t>
      </w:r>
      <w:r>
        <w:rPr>
          <w:rFonts w:ascii="Archivo" w:cs="Archivo" w:eastAsia="Archivo" w:hAnsi="Archivo"/>
          <w:sz w:val="21"/>
          <w:szCs w:val="21"/>
        </w:rPr>
        <w:t xml:space="preserve">si los peritos de parte alcanzan acuerdo, lo reflejan en un acta conjunta con las causas del siniestro, la valoración de los daños y la propuesta de indemnización.</w:t>
      </w:r>
    </w:p>
    <w:p>
      <w:pPr>
        <w:pStyle w:val="ListParagraph"/>
        <w:numPr>
          <w:ilvl w:val="0"/>
          <w:numId w:val="2"/>
        </w:numPr>
        <w:spacing w:after="100" w:line="290"/>
      </w:pPr>
      <w:r>
        <w:rPr>
          <w:rFonts w:ascii="Archivo" w:cs="Archivo" w:eastAsia="Archivo" w:hAnsi="Archivo"/>
          <w:b/>
          <w:bCs/>
          <w:sz w:val="21"/>
          <w:szCs w:val="21"/>
        </w:rPr>
        <w:t xml:space="preserve">Tercer perito: </w:t>
      </w:r>
      <w:r>
        <w:rPr>
          <w:rFonts w:ascii="Archivo" w:cs="Archivo" w:eastAsia="Archivo" w:hAnsi="Archivo"/>
          <w:sz w:val="21"/>
          <w:szCs w:val="21"/>
        </w:rPr>
        <w:t xml:space="preserve">de no alcanzarse acuerdo, las partes designan de común acuerdo un tercer perito; en su defecto, cualquiera de ellas puede promover expediente de jurisdicción voluntaria o notarial para su designación judicial o notarial.</w:t>
      </w:r>
    </w:p>
    <w:p>
      <w:pPr>
        <w:pStyle w:val="ListParagraph"/>
        <w:numPr>
          <w:ilvl w:val="0"/>
          <w:numId w:val="2"/>
        </w:numPr>
        <w:spacing w:after="100" w:line="290"/>
      </w:pPr>
      <w:r>
        <w:rPr>
          <w:rFonts w:ascii="Archivo" w:cs="Archivo" w:eastAsia="Archivo" w:hAnsi="Archivo"/>
          <w:b/>
          <w:bCs/>
          <w:sz w:val="21"/>
          <w:szCs w:val="21"/>
        </w:rPr>
        <w:t xml:space="preserve">Dictamen final: </w:t>
      </w:r>
      <w:r>
        <w:rPr>
          <w:rFonts w:ascii="Archivo" w:cs="Archivo" w:eastAsia="Archivo" w:hAnsi="Archivo"/>
          <w:sz w:val="21"/>
          <w:szCs w:val="21"/>
        </w:rPr>
        <w:t xml:space="preserve">el dictamen de los peritos, por unanimidad o mayoría, se notifica a las partes y deviene vinculante, salvo impugnación judicial en plazo.</w:t>
      </w:r>
    </w:p>
    <w:p>
      <w:pPr>
        <w:pStyle w:val="Heading2"/>
        <w:spacing w:after="160" w:before="400"/>
      </w:pPr>
      <w:r>
        <w:rPr>
          <w:rFonts w:ascii="Fraunces" w:cs="Fraunces" w:eastAsia="Fraunces" w:hAnsi="Fraunces"/>
          <w:b/>
          <w:bCs/>
          <w:color w:val="0A2540"/>
          <w:sz w:val="24"/>
          <w:szCs w:val="24"/>
        </w:rPr>
        <w:t xml:space="preserve">18.3. El alcance vinculante del dictamen: liquidación del daño frente a interpretación del contrato</w:t>
      </w:r>
    </w:p>
    <w:p>
      <w:pPr>
        <w:spacing w:after="180" w:line="300"/>
        <w:jc w:val="both"/>
      </w:pPr>
      <w:r>
        <w:rPr>
          <w:rFonts w:ascii="Archivo" w:cs="Archivo" w:eastAsia="Archivo" w:hAnsi="Archivo"/>
          <w:sz w:val="21"/>
          <w:szCs w:val="21"/>
        </w:rPr>
        <w:t xml:space="preserve">La cuestión de mayor trascendencia práctica en este ámbito es la del alcance exacto del carácter vinculante del dictamen pericial. La jurisprudencia más reciente de la Sala Primera ha fijado, con particular claridad, una distinción capital que el profesional debe dominar</w:t>
      </w:r>
      <w:r>
        <w:rPr>
          <w:rStyle w:val="FootnoteReference"/>
        </w:rPr>
        <w:footnoteReference w:id="46"/>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26 de julio de 2021 (ROJ: STS 3193/2021; ECLI:ES:TS:2021:3193; MP: Seoane Spiegelberg)</w:t>
            </w:r>
          </w:p>
          <w:p>
            <w:pPr>
              <w:spacing w:after="0" w:line="280"/>
              <w:jc w:val="both"/>
            </w:pPr>
            <w:r>
              <w:rPr>
                <w:rFonts w:ascii="Archivo" w:cs="Archivo" w:eastAsia="Archivo" w:hAnsi="Archivo"/>
                <w:color w:val="0A2540"/>
                <w:sz w:val="19"/>
                <w:szCs w:val="19"/>
              </w:rPr>
              <w:t xml:space="preserve">«El ámbito vinculante del informe pericial [está] circunscrito a la determinación de la valoración de las cosas y no a la decisión sobre el ámbito de la cobertura del seguro litigioso, al ser la primera una cuestión propia de la pericia, mientras que la segunda es de naturaleza jurídica reservada a los órganos jurisdiccionales con intervención de los letrados de las partes [...]. La discrepancia de las partes en la valoración del daño convierte en preceptivo el procedimiento extrajudicial, constituyendo objeto exclusivo de la actividad pericial que se desarrolla la función liquidadora del mismo, determinando la fuerza vinculante del dictamen [...] una vez firme, que, en buena lógica, alcanza exclusivamente a lo que es objeto de la actividad pericial, la liquidación del daño.»</w:t>
            </w:r>
          </w:p>
        </w:tc>
      </w:tr>
    </w:tbl>
    <w:p>
      <w:pPr>
        <w:spacing w:after="180" w:line="300"/>
        <w:jc w:val="both"/>
      </w:pPr>
      <w:r>
        <w:rPr>
          <w:rFonts w:ascii="Archivo" w:cs="Archivo" w:eastAsia="Archivo" w:hAnsi="Archivo"/>
          <w:sz w:val="21"/>
          <w:szCs w:val="21"/>
        </w:rPr>
        <w:t xml:space="preserve">La consecuencia práctica de esta doctrina es doble y de enorme utilidad para el profesional. De un lado, un dictamen pericial firme e inatacado por el cauce específico del art. 38 LCS impide reabrir, por vía judicial ordinaria, la discusión sobre el importe del daño ya liquidado. De otro lado —y este es el matiz decisivo—, dicho dictamen no impide en absoluto discutir judicialmente si un determinado concepto está o no cubierto por la póliza, si resulta aplicable una exclusión, o cuál es la interpretación correcta de una cláusula controvertida: estas son, en toda circunstancia, cuestiones jurídicas ajenas al objeto de la pericia y reservadas a los tribunales, con independencia de que el dictamen pericial haya adquirido firmeza.</w:t>
      </w:r>
    </w:p>
    <w:p>
      <w:pPr>
        <w:pStyle w:val="Heading2"/>
        <w:spacing w:after="160" w:before="400"/>
      </w:pPr>
      <w:r>
        <w:rPr>
          <w:rFonts w:ascii="Fraunces" w:cs="Fraunces" w:eastAsia="Fraunces" w:hAnsi="Fraunces"/>
          <w:b/>
          <w:bCs/>
          <w:color w:val="0A2540"/>
          <w:sz w:val="24"/>
          <w:szCs w:val="24"/>
        </w:rPr>
        <w:t xml:space="preserve">18.4. La impugnación judicial del dictamen: plazos y requisitos</w:t>
      </w:r>
    </w:p>
    <w:p>
      <w:pPr>
        <w:spacing w:after="180" w:line="300"/>
        <w:jc w:val="both"/>
      </w:pPr>
      <w:r>
        <w:rPr>
          <w:rFonts w:ascii="Archivo" w:cs="Archivo" w:eastAsia="Archivo" w:hAnsi="Archivo"/>
          <w:sz w:val="21"/>
          <w:szCs w:val="21"/>
        </w:rPr>
        <w:t xml:space="preserve">La firmeza del dictamen —y, con ella, su fuerza vinculante en el ámbito estrictamente liquidador— exige que no se impugne judicialmente dentro de los plazos legales (treinta días para el asegurador, ciento ochenta para el asegurado, desde la notificación). La jurisprudencia exige que dicha impugnación sea expresa, no bastando reservas genéricas o disconformidades extraprocesales: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septiembre de 2016 (ROJ: STS 4056/2016; ECLI:ES:TS:2016:4056; MP: Baena Ruiz)</w:t>
            </w:r>
          </w:p>
          <w:p>
            <w:pPr>
              <w:spacing w:after="0" w:line="280"/>
              <w:jc w:val="both"/>
            </w:pPr>
            <w:r>
              <w:rPr>
                <w:rFonts w:ascii="Archivo" w:cs="Archivo" w:eastAsia="Archivo" w:hAnsi="Archivo"/>
                <w:color w:val="0A2540"/>
                <w:sz w:val="19"/>
                <w:szCs w:val="19"/>
              </w:rPr>
              <w:t xml:space="preserve">«El dictamen por unanimidad o por mayoría es vinculante para las partes, salvo que se impugne judicialmente dentro de los plazos que se establecen. Tal impugnación ha de ser expresa y si no se lleva a cabo el dictamen pericial deviene en inatacable [...]. El dictamen de peritos [...] será vinculante cuando adquiera firmeza por no haber sido impugnado expresamente en los plazos que establece el artículo 38 LCS, pero, sin embargo, en el presente supuesto se ha impugnado de modo expreso, detallándose minuciosamente las causas de impugnación, por lo que procede decidir sobre ella.»</w:t>
            </w:r>
          </w:p>
        </w:tc>
      </w:tr>
    </w:tbl>
    <w:p>
      <w:pPr>
        <w:spacing w:after="180" w:line="300"/>
        <w:jc w:val="both"/>
      </w:pPr>
      <w:r>
        <w:rPr>
          <w:rFonts w:ascii="Archivo" w:cs="Archivo" w:eastAsia="Archivo" w:hAnsi="Archivo"/>
          <w:sz w:val="21"/>
          <w:szCs w:val="21"/>
        </w:rPr>
        <w:t xml:space="preserve">La determinación del dies a quo del plazo de impugnación puede complicarse cuando la designación del tercer perito se ha tramitado mediante expediente de jurisdicción voluntaria, supuesto en el que la Sala Primera ha debido precisar desde qué notificación concreta —la del propio dictamen o la de la resolución del expediente de designación— comienza a correr el plazo, remitiendo en todo caso a la fecha de notificación indubitada del dictamen definitivo conforme al tenor literal del art. 38 LCS.</w:t>
      </w:r>
    </w:p>
    <w:p>
      <w:pPr>
        <w:pStyle w:val="Heading2"/>
        <w:spacing w:after="160" w:before="400"/>
      </w:pPr>
      <w:r>
        <w:rPr>
          <w:rFonts w:ascii="Fraunces" w:cs="Fraunces" w:eastAsia="Fraunces" w:hAnsi="Fraunces"/>
          <w:b/>
          <w:bCs/>
          <w:color w:val="0A2540"/>
          <w:sz w:val="24"/>
          <w:szCs w:val="24"/>
        </w:rPr>
        <w:t xml:space="preserve">18.5. Retraso del asegurado en la iniciación del expediente y sus consecuencias sobre los intereses</w:t>
      </w:r>
    </w:p>
    <w:p>
      <w:pPr>
        <w:spacing w:after="180" w:line="300"/>
        <w:jc w:val="both"/>
      </w:pPr>
      <w:r>
        <w:rPr>
          <w:rFonts w:ascii="Archivo" w:cs="Archivo" w:eastAsia="Archivo" w:hAnsi="Archivo"/>
          <w:sz w:val="21"/>
          <w:szCs w:val="21"/>
        </w:rPr>
        <w:t xml:space="preserve">Cuando el retraso en la tramitación del expediente pericial es imputable al propio asegurado —por ejemplo, por demorar la designación de su perito o la aportación de la documentación necesaria—, dicho retraso puede repercutir en el cómputo de los intereses de demora del art. 20 LCS, estudiados en el capítulo 20, en la medida en que la falta de liquidez de la indemnización durante ese período pueda considerarse, según las circunstancias del caso, causa justificada de exoneración parcial de la aseguradora, sin que ello suponga alterar el término inicial legal del cómputo (la fecha del siniestro), sino modular la eventual concurrencia de causa justificada durante el período de demora efectivamente imputable al asegurado.</w:t>
      </w:r>
    </w:p>
    <w:p>
      <w:pPr>
        <w:pStyle w:val="Heading2"/>
        <w:spacing w:after="160" w:before="400"/>
      </w:pPr>
      <w:r>
        <w:rPr>
          <w:rFonts w:ascii="Fraunces" w:cs="Fraunces" w:eastAsia="Fraunces" w:hAnsi="Fraunces"/>
          <w:b/>
          <w:bCs/>
          <w:color w:val="0A2540"/>
          <w:sz w:val="24"/>
          <w:szCs w:val="24"/>
        </w:rPr>
        <w:t xml:space="preserve">18.6.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el procedimiento del art. 38 LCS</w:t>
            </w:r>
          </w:p>
          <w:p>
            <w:pPr>
              <w:pStyle w:val="ListParagraph"/>
              <w:numPr>
                <w:ilvl w:val="0"/>
                <w:numId w:val="2"/>
              </w:numPr>
              <w:spacing w:after="80" w:line="280"/>
            </w:pPr>
            <w:r>
              <w:rPr>
                <w:rFonts w:ascii="Archivo" w:cs="Archivo" w:eastAsia="Archivo" w:hAnsi="Archivo"/>
                <w:sz w:val="19"/>
                <w:szCs w:val="19"/>
              </w:rPr>
              <w:t xml:space="preserve">Distinguir siempre si la discrepancia versa sobre la valoración cuantitativa del daño (vinculante tras la firmeza del dictamen) o sobre la interpretación del contrato y el alcance de la cobertura (siempre revisable judicialmente, conforme a la STS 3193/2021, ROJ: STS 3193/2021).</w:t>
            </w:r>
          </w:p>
          <w:p>
            <w:pPr>
              <w:pStyle w:val="ListParagraph"/>
              <w:numPr>
                <w:ilvl w:val="0"/>
                <w:numId w:val="2"/>
              </w:numPr>
              <w:spacing w:after="80" w:line="280"/>
            </w:pPr>
            <w:r>
              <w:rPr>
                <w:rFonts w:ascii="Archivo" w:cs="Archivo" w:eastAsia="Archivo" w:hAnsi="Archivo"/>
                <w:sz w:val="19"/>
                <w:szCs w:val="19"/>
              </w:rPr>
              <w:t xml:space="preserve">Verificar el cumplimiento estricto de los plazos de designación de peritos y de impugnación (treinta días para la aseguradora, ciento ochenta para el asegurado), y que la impugnación, si procede, sea expresa y motivada (STS 4056/2016, ROJ: STS 4056/2016).</w:t>
            </w:r>
          </w:p>
          <w:p>
            <w:pPr>
              <w:pStyle w:val="ListParagraph"/>
              <w:numPr>
                <w:ilvl w:val="0"/>
                <w:numId w:val="2"/>
              </w:numPr>
              <w:spacing w:after="80" w:line="280"/>
            </w:pPr>
            <w:r>
              <w:rPr>
                <w:rFonts w:ascii="Archivo" w:cs="Archivo" w:eastAsia="Archivo" w:hAnsi="Archivo"/>
                <w:sz w:val="19"/>
                <w:szCs w:val="19"/>
              </w:rPr>
              <w:t xml:space="preserve">Ante un dictamen desfavorable por cuestiones de cobertura, no combatirlo únicamente como error pericial, sino plantear directamente la cuestión jurídica de interpretación del contrato ante los tribunales.</w:t>
            </w:r>
          </w:p>
          <w:p>
            <w:pPr>
              <w:pStyle w:val="ListParagraph"/>
              <w:numPr>
                <w:ilvl w:val="0"/>
                <w:numId w:val="2"/>
              </w:numPr>
              <w:spacing w:after="80" w:line="280"/>
            </w:pPr>
            <w:r>
              <w:rPr>
                <w:rFonts w:ascii="Archivo" w:cs="Archivo" w:eastAsia="Archivo" w:hAnsi="Archivo"/>
                <w:sz w:val="19"/>
                <w:szCs w:val="19"/>
              </w:rPr>
              <w:t xml:space="preserve">Evaluar si el retraso en la tramitación del expediente pericial es imputable al asegurado, a efectos de su incidencia en los intereses del art. 20 LCS.</w:t>
            </w:r>
          </w:p>
        </w:tc>
      </w:tr>
    </w:tbl>
    <w:p>
      <w:pPr>
        <w:pStyle w:val="Heading2"/>
        <w:spacing w:after="160" w:before="400"/>
      </w:pPr>
      <w:r>
        <w:rPr>
          <w:rFonts w:ascii="Fraunces" w:cs="Fraunces" w:eastAsia="Fraunces" w:hAnsi="Fraunces"/>
          <w:b/>
          <w:bCs/>
          <w:color w:val="0A2540"/>
          <w:sz w:val="24"/>
          <w:szCs w:val="24"/>
        </w:rPr>
        <w:t xml:space="preserve">18.7.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peritación de su siniestro</w:t>
            </w:r>
          </w:p>
          <w:p>
            <w:pPr>
              <w:pStyle w:val="ListParagraph"/>
              <w:numPr>
                <w:ilvl w:val="0"/>
                <w:numId w:val="2"/>
              </w:numPr>
              <w:spacing w:after="80" w:line="280"/>
            </w:pPr>
            <w:r>
              <w:rPr>
                <w:rFonts w:ascii="Archivo" w:cs="Archivo" w:eastAsia="Archivo" w:hAnsi="Archivo"/>
                <w:sz w:val="19"/>
                <w:szCs w:val="19"/>
              </w:rPr>
              <w:t xml:space="preserve">Si no está de acuerdo con la valoración del perito de la aseguradora, tiene derecho a designar su propio perito: hágalo cuanto antes para no demorar el proceso.</w:t>
            </w:r>
          </w:p>
          <w:p>
            <w:pPr>
              <w:pStyle w:val="ListParagraph"/>
              <w:numPr>
                <w:ilvl w:val="0"/>
                <w:numId w:val="2"/>
              </w:numPr>
              <w:spacing w:after="80" w:line="280"/>
            </w:pPr>
            <w:r>
              <w:rPr>
                <w:rFonts w:ascii="Archivo" w:cs="Archivo" w:eastAsia="Archivo" w:hAnsi="Archivo"/>
                <w:sz w:val="19"/>
                <w:szCs w:val="19"/>
              </w:rPr>
              <w:t xml:space="preserve">Si tras el dictamen de los peritos sigue sin estar de acuerdo, puede impugnarlo judicialmente, pero debe hacerlo dentro del plazo de ciento ochenta días desde su notificación.</w:t>
            </w:r>
          </w:p>
          <w:p>
            <w:pPr>
              <w:pStyle w:val="ListParagraph"/>
              <w:numPr>
                <w:ilvl w:val="0"/>
                <w:numId w:val="2"/>
              </w:numPr>
              <w:spacing w:after="80" w:line="280"/>
            </w:pPr>
            <w:r>
              <w:rPr>
                <w:rFonts w:ascii="Archivo" w:cs="Archivo" w:eastAsia="Archivo" w:hAnsi="Archivo"/>
                <w:sz w:val="19"/>
                <w:szCs w:val="19"/>
              </w:rPr>
              <w:t xml:space="preserve">Recuerde que, aunque el dictamen pericial sobre el importe del daño llegue a ser firme, usted siempre puede discutir judicialmente si ese daño estaba o no cubierto por su póliza.</w:t>
            </w:r>
          </w:p>
          <w:p>
            <w:pPr>
              <w:pStyle w:val="ListParagraph"/>
              <w:numPr>
                <w:ilvl w:val="0"/>
                <w:numId w:val="2"/>
              </w:numPr>
              <w:spacing w:after="80" w:line="280"/>
            </w:pPr>
            <w:r>
              <w:rPr>
                <w:rFonts w:ascii="Archivo" w:cs="Archivo" w:eastAsia="Archivo" w:hAnsi="Archivo"/>
                <w:sz w:val="19"/>
                <w:szCs w:val="19"/>
              </w:rPr>
              <w:t xml:space="preserve">Colabore diligentemente con el proceso pericial: los retrasos que le sean imputables pueden afectar a los intereses de demora que, en otro caso, le corresponderían.</w:t>
            </w:r>
          </w:p>
        </w:tc>
      </w:tr>
    </w:tbl>
    <w:p>
      <w:pPr>
        <w:pStyle w:val="Heading2"/>
        <w:spacing w:after="160" w:before="400"/>
      </w:pPr>
      <w:r>
        <w:rPr>
          <w:rFonts w:ascii="Fraunces" w:cs="Fraunces" w:eastAsia="Fraunces" w:hAnsi="Fraunces"/>
          <w:b/>
          <w:bCs/>
          <w:color w:val="0A2540"/>
          <w:sz w:val="24"/>
          <w:szCs w:val="24"/>
        </w:rPr>
        <w:t xml:space="preserve">18.8. Checklist: gestión del procedimiento pericial</w:t>
      </w:r>
    </w:p>
    <w:p>
      <w:pPr>
        <w:pStyle w:val="ListParagraph"/>
        <w:numPr>
          <w:ilvl w:val="0"/>
          <w:numId w:val="2"/>
        </w:numPr>
        <w:spacing w:after="100" w:line="290"/>
      </w:pPr>
      <w:r>
        <w:rPr>
          <w:rFonts w:ascii="Archivo" w:cs="Archivo" w:eastAsia="Archivo" w:hAnsi="Archivo"/>
          <w:sz w:val="21"/>
          <w:szCs w:val="21"/>
        </w:rPr>
        <w:t xml:space="preserve">1. ¿Se ha designado perito de parte por ambas partes en el plazo debido?</w:t>
      </w:r>
    </w:p>
    <w:p>
      <w:pPr>
        <w:pStyle w:val="ListParagraph"/>
        <w:numPr>
          <w:ilvl w:val="0"/>
          <w:numId w:val="2"/>
        </w:numPr>
        <w:spacing w:after="100" w:line="290"/>
      </w:pPr>
      <w:r>
        <w:rPr>
          <w:rFonts w:ascii="Archivo" w:cs="Archivo" w:eastAsia="Archivo" w:hAnsi="Archivo"/>
          <w:sz w:val="21"/>
          <w:szCs w:val="21"/>
        </w:rPr>
        <w:t xml:space="preserve">2. ¿Existe acuerdo entre los peritos, o es necesario acudir a un tercer perito?</w:t>
      </w:r>
    </w:p>
    <w:p>
      <w:pPr>
        <w:pStyle w:val="ListParagraph"/>
        <w:numPr>
          <w:ilvl w:val="0"/>
          <w:numId w:val="2"/>
        </w:numPr>
        <w:spacing w:after="100" w:line="290"/>
      </w:pPr>
      <w:r>
        <w:rPr>
          <w:rFonts w:ascii="Archivo" w:cs="Archivo" w:eastAsia="Archivo" w:hAnsi="Archivo"/>
          <w:sz w:val="21"/>
          <w:szCs w:val="21"/>
        </w:rPr>
        <w:t xml:space="preserve">3. ¿El dictamen se ha notificado de forma indubitada y en qué fecha?</w:t>
      </w:r>
    </w:p>
    <w:p>
      <w:pPr>
        <w:pStyle w:val="ListParagraph"/>
        <w:numPr>
          <w:ilvl w:val="0"/>
          <w:numId w:val="2"/>
        </w:numPr>
        <w:spacing w:after="100" w:line="290"/>
      </w:pPr>
      <w:r>
        <w:rPr>
          <w:rFonts w:ascii="Archivo" w:cs="Archivo" w:eastAsia="Archivo" w:hAnsi="Archivo"/>
          <w:sz w:val="21"/>
          <w:szCs w:val="21"/>
        </w:rPr>
        <w:t xml:space="preserve">4. ¿La discrepancia versa sobre la valoración del daño o sobre la interpretación del contrato/cobertura?</w:t>
      </w:r>
    </w:p>
    <w:p>
      <w:pPr>
        <w:pStyle w:val="ListParagraph"/>
        <w:numPr>
          <w:ilvl w:val="0"/>
          <w:numId w:val="2"/>
        </w:numPr>
        <w:spacing w:after="100" w:line="290"/>
      </w:pPr>
      <w:r>
        <w:rPr>
          <w:rFonts w:ascii="Archivo" w:cs="Archivo" w:eastAsia="Archivo" w:hAnsi="Archivo"/>
          <w:sz w:val="21"/>
          <w:szCs w:val="21"/>
        </w:rPr>
        <w:t xml:space="preserve">5. Si procede impugnación, ¿se ha formulado expresamente y dentro de plazo?</w:t>
      </w:r>
    </w:p>
    <w:p>
      <w:pPr>
        <w:pStyle w:val="ListParagraph"/>
        <w:numPr>
          <w:ilvl w:val="0"/>
          <w:numId w:val="2"/>
        </w:numPr>
        <w:spacing w:after="100" w:line="290"/>
      </w:pPr>
      <w:r>
        <w:rPr>
          <w:rFonts w:ascii="Archivo" w:cs="Archivo" w:eastAsia="Archivo" w:hAnsi="Archivo"/>
          <w:sz w:val="21"/>
          <w:szCs w:val="21"/>
        </w:rPr>
        <w:t xml:space="preserve">6. ¿Existe retraso imputable a alguna de las partes con incidencia en los intereses del art. 20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19. </w:t>
      </w:r>
      <w:r>
        <w:rPr>
          <w:rFonts w:ascii="Fraunces" w:cs="Fraunces" w:eastAsia="Fraunces" w:hAnsi="Fraunces"/>
          <w:b/>
          <w:bCs/>
          <w:color w:val="0A2540"/>
          <w:sz w:val="30"/>
          <w:szCs w:val="30"/>
        </w:rPr>
        <w:t xml:space="preserve">Infraseguro, sobreseguro y regla proporcional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19.1. El principio indemnizatorio como fundamento de la regla proporcional</w:t>
            </w:r>
          </w:p>
          <w:p>
            <w:pPr>
              <w:spacing w:after="40" w:line="260"/>
            </w:pPr>
            <w:r>
              <w:rPr>
                <w:rFonts w:ascii="Archivo" w:cs="Archivo" w:eastAsia="Archivo" w:hAnsi="Archivo"/>
                <w:sz w:val="18"/>
                <w:szCs w:val="18"/>
              </w:rPr>
              <w:t xml:space="preserve">19.2. El infraseguro y la regla proporcional del art. 30 LCS</w:t>
            </w:r>
          </w:p>
          <w:p>
            <w:pPr>
              <w:spacing w:after="40" w:line="260"/>
            </w:pPr>
            <w:r>
              <w:rPr>
                <w:rFonts w:ascii="Archivo" w:cs="Archivo" w:eastAsia="Archivo" w:hAnsi="Archivo"/>
                <w:sz w:val="18"/>
                <w:szCs w:val="18"/>
              </w:rPr>
              <w:t xml:space="preserve">19.3. La exclusión pactada de la regla proporcional</w:t>
            </w:r>
          </w:p>
          <w:p>
            <w:pPr>
              <w:spacing w:after="40" w:line="260"/>
            </w:pPr>
            <w:r>
              <w:rPr>
                <w:rFonts w:ascii="Archivo" w:cs="Archivo" w:eastAsia="Archivo" w:hAnsi="Archivo"/>
                <w:sz w:val="18"/>
                <w:szCs w:val="18"/>
              </w:rPr>
              <w:t xml:space="preserve">19.4. El sobreseguro (art. 27 LCS)</w:t>
            </w:r>
          </w:p>
          <w:p>
            <w:pPr>
              <w:spacing w:after="40" w:line="260"/>
            </w:pPr>
            <w:r>
              <w:rPr>
                <w:rFonts w:ascii="Archivo" w:cs="Archivo" w:eastAsia="Archivo" w:hAnsi="Archivo"/>
                <w:sz w:val="18"/>
                <w:szCs w:val="18"/>
              </w:rPr>
              <w:t xml:space="preserve">19.5. Infraseguro y concurrencia de seguros: dos figuras que no deben confundirse</w:t>
            </w:r>
          </w:p>
          <w:p>
            <w:pPr>
              <w:spacing w:after="40" w:line="260"/>
            </w:pPr>
            <w:r>
              <w:rPr>
                <w:rFonts w:ascii="Archivo" w:cs="Archivo" w:eastAsia="Archivo" w:hAnsi="Archivo"/>
                <w:sz w:val="18"/>
                <w:szCs w:val="18"/>
              </w:rPr>
              <w:t xml:space="preserve">19.6. Partidas excluidas de la regla proporcional por pacto expreso</w:t>
            </w:r>
          </w:p>
          <w:p>
            <w:pPr>
              <w:spacing w:after="40" w:line="260"/>
            </w:pPr>
            <w:r>
              <w:rPr>
                <w:rFonts w:ascii="Archivo" w:cs="Archivo" w:eastAsia="Archivo" w:hAnsi="Archivo"/>
                <w:sz w:val="18"/>
                <w:szCs w:val="18"/>
              </w:rPr>
              <w:t xml:space="preserve">19.7. ¿Quién fija la suma asegurada? La regla proporcional frente al deber de asesoramiento</w:t>
            </w:r>
          </w:p>
          <w:p>
            <w:pPr>
              <w:spacing w:after="40" w:line="260"/>
            </w:pPr>
            <w:r>
              <w:rPr>
                <w:rFonts w:ascii="Archivo" w:cs="Archivo" w:eastAsia="Archivo" w:hAnsi="Archivo"/>
                <w:sz w:val="18"/>
                <w:szCs w:val="18"/>
              </w:rPr>
              <w:t xml:space="preserve">19.8. Ficha para el profesional</w:t>
            </w:r>
          </w:p>
          <w:p>
            <w:pPr>
              <w:spacing w:after="40" w:line="260"/>
            </w:pPr>
            <w:r>
              <w:rPr>
                <w:rFonts w:ascii="Archivo" w:cs="Archivo" w:eastAsia="Archivo" w:hAnsi="Archivo"/>
                <w:sz w:val="18"/>
                <w:szCs w:val="18"/>
              </w:rPr>
              <w:t xml:space="preserve">19.9. Ficha para el asegurado</w:t>
            </w:r>
          </w:p>
          <w:p>
            <w:pPr>
              <w:spacing w:after="40" w:line="260"/>
            </w:pPr>
            <w:r>
              <w:rPr>
                <w:rFonts w:ascii="Archivo" w:cs="Archivo" w:eastAsia="Archivo" w:hAnsi="Archivo"/>
                <w:sz w:val="18"/>
                <w:szCs w:val="18"/>
              </w:rPr>
              <w:t xml:space="preserve">19.10. Checklist: verificación de la suma asegurada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regla proporcional del art. 30 LCS, aplicable cuando la suma asegurada es inferior al valor real del interés asegurado en el momento del siniestro, y su reverso, el sobreseguro del art. 27 LCS. Se dedica especial atención a la distinción, frecuentemente confundida en la práctica y clarificada por la jurisprudencia, entre el infraseguro (defecto de suma asegurada en una única póliza) y la concurrencia de seguros (pluralidad de pólizas sobre un mismo interés), cuyos regímenes jurídicos, aunque inspirados en el mismo principio indemnizatorio, son sustancialmente distintos.</w:t>
            </w:r>
          </w:p>
          <w:p>
            <w:pPr>
              <w:spacing w:after="160"/>
            </w:pPr>
            <w:r>
              <w:rPr>
                <w:rFonts w:ascii="Archivo" w:cs="Archivo" w:eastAsia="Archivo" w:hAnsi="Archivo"/>
                <w:b/>
                <w:bCs/>
                <w:sz w:val="17"/>
                <w:szCs w:val="17"/>
              </w:rPr>
              <w:t xml:space="preserve">Palabras clave: infraseguro, regla proporcional, art. 30 LCS, sobreseguro, concurrencia de seguros.</w:t>
            </w:r>
          </w:p>
          <w:p>
            <w:pPr>
              <w:spacing w:after="100"/>
              <w:jc w:val="both"/>
            </w:pPr>
            <w:r>
              <w:rPr>
                <w:rFonts w:ascii="Archivo" w:cs="Archivo" w:eastAsia="Archivo" w:hAnsi="Archivo"/>
                <w:i/>
                <w:iCs/>
                <w:sz w:val="18"/>
                <w:szCs w:val="18"/>
              </w:rPr>
              <w:t xml:space="preserve">This chapter examines the proportional rule of Article 30 of the Insurance Contract Act, applicable when the sum insured is lower than the actual value of the insured interest at the time of loss, and its counterpart, over-insurance under Article 27. Particular attention is paid to the distinction — frequently blurred in practice and clarified by case law — between under-insurance (an insufficient sum insured under a single policy) and concurrent insurance (multiple policies over the same interest), whose legal regimes, though both rooted in the indemnity principle, differ substantially.</w:t>
            </w:r>
          </w:p>
          <w:p>
            <w:pPr>
              <w:spacing w:after="0"/>
            </w:pPr>
            <w:r>
              <w:rPr>
                <w:rFonts w:ascii="Archivo" w:cs="Archivo" w:eastAsia="Archivo" w:hAnsi="Archivo"/>
                <w:b/>
                <w:bCs/>
                <w:sz w:val="17"/>
                <w:szCs w:val="17"/>
              </w:rPr>
              <w:t xml:space="preserve">Keywords: under-insurance, proportional rule, over-insurance, concurrent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19.1. El principio indemnizatorio como fundamento de la regla proporcional</w:t>
      </w:r>
    </w:p>
    <w:p>
      <w:pPr>
        <w:spacing w:after="180" w:line="300"/>
        <w:jc w:val="both"/>
      </w:pPr>
      <w:r>
        <w:rPr>
          <w:rFonts w:ascii="Archivo" w:cs="Archivo" w:eastAsia="Archivo" w:hAnsi="Archivo"/>
          <w:sz w:val="21"/>
          <w:szCs w:val="21"/>
        </w:rPr>
        <w:t xml:space="preserve">Como se anticipó en el capítulo 2, el seguro de daños está gobernado por el principio indemnizatorio del art. 26 LCS, que prohíbe el enriquecimiento del asegurado a través del seguro. La regla proporcional del infraseguro es una manifestación directa de este principio: si el asegurado ha declarado y asegurado un valor inferior al real del interés, pagando en consecuencia una prima también inferior a la que técnicamente correspondería al riesgo real, resultaría contrario a la mutualidad aseguradora que, producido un siniestro parcial, percibiera una indemnización íntegra sin haber soportado el coste actuarial correspondiente</w:t>
      </w:r>
      <w:r>
        <w:rPr>
          <w:rStyle w:val="FootnoteReference"/>
        </w:rPr>
        <w:footnoteReference w:id="4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19.2. El infraseguro y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30 LCS</w:t>
            </w:r>
          </w:p>
          <w:p>
            <w:pPr>
              <w:spacing w:after="0" w:line="280"/>
              <w:jc w:val="both"/>
            </w:pPr>
            <w:r>
              <w:rPr>
                <w:rFonts w:ascii="IBM Plex Mono" w:cs="IBM Plex Mono" w:eastAsia="IBM Plex Mono" w:hAnsi="IBM Plex Mono"/>
                <w:i/>
                <w:iCs/>
                <w:color w:val="0A2540"/>
                <w:sz w:val="18"/>
                <w:szCs w:val="18"/>
              </w:rPr>
              <w:t xml:space="preserve">Si en el momento de la producción del siniestro la suma asegurada es inferior al valor del interés, el asegurador indemnizará el daño causado en la misma proporción en la que aquélla cubre el interés asegurado. Las partes, de común acuerdo, podrán excluir en la póliza o con posterioridad a la celebración del contrato, la aplicación de la regla proporcional prevista en el párrafo anterior.</w:t>
            </w:r>
          </w:p>
        </w:tc>
      </w:tr>
    </w:tbl>
    <w:p>
      <w:pPr>
        <w:spacing w:after="180" w:line="300"/>
        <w:jc w:val="both"/>
      </w:pPr>
      <w:r>
        <w:rPr>
          <w:rFonts w:ascii="Archivo" w:cs="Archivo" w:eastAsia="Archivo" w:hAnsi="Archivo"/>
          <w:sz w:val="21"/>
          <w:szCs w:val="21"/>
        </w:rPr>
        <w:t xml:space="preserve">La aplicación práctica de la regla se resume en una fórmula que todo profesional del ramo debe manejar con soltura: indemnización = daño × (suma asegurada / valor real del interés). Así, si una vivienda tiene un valor de reconstrucción de 300.000 euros y solo está asegurada por 200.000 euros, y sufre un daño parcial de 30.000 euros, la indemnización se reducirá a 20.000 euros (30.000 × 200.000/300.000), con independencia de que el daño concreto no agote la suma asegurada contratada. Esta consecuencia —contraintuitiva para el asegurado medio, que suele creer que basta con que el daño no supere la suma asegurada para obtener indemnización íntegra— exige una labor pedagógica constante del profesional al explicar el resultado de la liquidación.</w:t>
      </w:r>
    </w:p>
    <w:p>
      <w:pPr>
        <w:pStyle w:val="Heading2"/>
        <w:spacing w:after="160" w:before="400"/>
      </w:pPr>
      <w:r>
        <w:rPr>
          <w:rFonts w:ascii="Fraunces" w:cs="Fraunces" w:eastAsia="Fraunces" w:hAnsi="Fraunces"/>
          <w:b/>
          <w:bCs/>
          <w:color w:val="0A2540"/>
          <w:sz w:val="24"/>
          <w:szCs w:val="24"/>
        </w:rPr>
        <w:t xml:space="preserve">19.3. La exclusión pactada de la regla proporcional</w:t>
      </w:r>
    </w:p>
    <w:p>
      <w:pPr>
        <w:spacing w:after="180" w:line="300"/>
        <w:jc w:val="both"/>
      </w:pPr>
      <w:r>
        <w:rPr>
          <w:rFonts w:ascii="Archivo" w:cs="Archivo" w:eastAsia="Archivo" w:hAnsi="Archivo"/>
          <w:sz w:val="21"/>
          <w:szCs w:val="21"/>
        </w:rPr>
        <w:t xml:space="preserve">El segundo párrafo del art. 30 LCS permite a las partes excluir convencionalmente la regla proporcional, posibilidad que la práctica aseguradora ha convertido en habitual mediante las cláusulas de «seguro a primer riesgo», frecuentes en pólizas de hogar para determinadas partidas (por ejemplo, gastos de desescombro, honorarios de arquitecto, o incluso el contenido en su conjunto en determinados productos), en las que la aseguradora renuncia a aplicar la regla proporcional hasta el límite pactado, indemnizando el daño real hasta dicho límite con independencia de la relación entre suma asegurada y valor total del interés.</w:t>
      </w:r>
    </w:p>
    <w:p>
      <w:pPr>
        <w:pStyle w:val="Heading2"/>
        <w:spacing w:after="160" w:before="400"/>
      </w:pPr>
      <w:r>
        <w:rPr>
          <w:rFonts w:ascii="Fraunces" w:cs="Fraunces" w:eastAsia="Fraunces" w:hAnsi="Fraunces"/>
          <w:b/>
          <w:bCs/>
          <w:color w:val="0A2540"/>
          <w:sz w:val="24"/>
          <w:szCs w:val="24"/>
        </w:rPr>
        <w:t xml:space="preserve">19.4. El sobreseguro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27 LCS</w:t>
            </w:r>
          </w:p>
          <w:p>
            <w:pPr>
              <w:spacing w:after="0" w:line="280"/>
              <w:jc w:val="both"/>
            </w:pPr>
            <w:r>
              <w:rPr>
                <w:rFonts w:ascii="IBM Plex Mono" w:cs="IBM Plex Mono" w:eastAsia="IBM Plex Mono" w:hAnsi="IBM Plex Mono"/>
                <w:i/>
                <w:iCs/>
                <w:color w:val="0A2540"/>
                <w:sz w:val="18"/>
                <w:szCs w:val="18"/>
              </w:rPr>
              <w:t xml:space="preserve">La suma asegurada representa el límite máximo de la indemnización a pagar por el asegurador en cada siniestro.</w:t>
            </w:r>
          </w:p>
        </w:tc>
      </w:tr>
    </w:tbl>
    <w:p>
      <w:pPr>
        <w:spacing w:after="180" w:line="300"/>
        <w:jc w:val="both"/>
      </w:pPr>
      <w:r>
        <w:rPr>
          <w:rFonts w:ascii="Archivo" w:cs="Archivo" w:eastAsia="Archivo" w:hAnsi="Archivo"/>
          <w:sz w:val="21"/>
          <w:szCs w:val="21"/>
        </w:rPr>
        <w:t xml:space="preserve">El reverso del infraseguro es el sobreseguro: la suma asegurada excede notablemente el valor real del interés. Puesto que el art. 27 LCS fija la suma asegurada como límite máximo —nunca como derecho a una indemnización automática por ese importe—, el sobreseguro no genera, por sí mismo, derecho a una indemnización superior al daño realmente sufrido; su efecto práctico principal es, más bien, el pago de una prima superior a la técnicamente necesaria, sin beneficio indemnizatorio correlativo, lo que aconseja al profesional revisar periódicamente la adecuación de la suma asegurada al valor real del inmueble, tanto para evitar el infraseguro como el sobreseguro.</w:t>
      </w:r>
    </w:p>
    <w:p>
      <w:pPr>
        <w:pStyle w:val="Heading2"/>
        <w:spacing w:after="160" w:before="400"/>
      </w:pPr>
      <w:r>
        <w:rPr>
          <w:rFonts w:ascii="Fraunces" w:cs="Fraunces" w:eastAsia="Fraunces" w:hAnsi="Fraunces"/>
          <w:b/>
          <w:bCs/>
          <w:color w:val="0A2540"/>
          <w:sz w:val="24"/>
          <w:szCs w:val="24"/>
        </w:rPr>
        <w:t xml:space="preserve">19.5. Infraseguro y concurrencia de seguros: dos figuras que no deben confundirse</w:t>
      </w:r>
    </w:p>
    <w:p>
      <w:pPr>
        <w:spacing w:after="180" w:line="300"/>
        <w:jc w:val="both"/>
      </w:pPr>
      <w:r>
        <w:rPr>
          <w:rFonts w:ascii="Archivo" w:cs="Archivo" w:eastAsia="Archivo" w:hAnsi="Archivo"/>
          <w:sz w:val="21"/>
          <w:szCs w:val="21"/>
        </w:rPr>
        <w:t xml:space="preserve">La distinción entre infraseguro (defecto de suma asegurada dentro de una misma póliza) y concurrencia de seguros (pluralidad de pólizas sobre un mismo riesgo e interés, estudiada en el capítulo 8 a propósito del art. 32 LCS) es, pese a su aparente sencillez conceptual, fuente frecuente de confusión práctica, como ilustra una sentencia ya clásica de la Sala Primera dictada precisamente en un supuesto en que el asegurado pretendió, sin éxito, reconducir un problema de infraseguro a la figura de la concurrencia de seguros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noviembre de 2002 (ROJ: STS 7531/2002; ECLI:ES:TS:2002:7531; MP: Marín Castán)</w:t>
            </w:r>
          </w:p>
          <w:p>
            <w:pPr>
              <w:spacing w:after="0" w:line="280"/>
              <w:jc w:val="both"/>
            </w:pPr>
            <w:r>
              <w:rPr>
                <w:rFonts w:ascii="Archivo" w:cs="Archivo" w:eastAsia="Archivo" w:hAnsi="Archivo"/>
                <w:color w:val="0A2540"/>
                <w:sz w:val="19"/>
                <w:szCs w:val="19"/>
              </w:rPr>
              <w:t xml:space="preserve">«[La parte recurrente] vuelve a insistir aquí en mezclar el infraseguro con la concurrencia de seguros [...]. [No] es que a los gastos de desescombro no se les deba aplicar la regla proporcional como seguro a primer riesgo, sino la interpretación de las cláusulas de la póliza concretamente dedicadas a este punto estableciendo una suma porcentual, supuesto habitual en la práctica aseguradora que modifica esa pauta general de inaplicabilidad de la regla proporcional a este concepto.»</w:t>
            </w:r>
          </w:p>
        </w:tc>
      </w:tr>
    </w:tbl>
    <w:p>
      <w:pPr>
        <w:spacing w:after="180" w:line="300"/>
        <w:jc w:val="both"/>
      </w:pPr>
      <w:r>
        <w:rPr>
          <w:rFonts w:ascii="Archivo" w:cs="Archivo" w:eastAsia="Archivo" w:hAnsi="Archivo"/>
          <w:sz w:val="21"/>
          <w:szCs w:val="21"/>
        </w:rPr>
        <w:t xml:space="preserve">La sentencia ilustra dos ideas de utilidad práctica constante. Primera, la incomunicabilidad de pólizas distintas —aunque suscritas con el mismo tomador para centros o inmuebles diferentes— impide sumar sus respectivas sumas aseguradas para evitar la aplicación de la regla proporcional a una de ellas: cada póliza responde con su propia suma asegurada en relación con el interés que específicamente cubre. Segunda, determinadas partidas (como los gastos de desescombro) pueden quedar excluidas de la regla proporcional general no por la vía del art. 30, párrafo segundo, sino por la propia configuración de la cláusula que las regula como garantía a primer riesgo con un porcentaje o cuantía autónoma sobre la suma general.</w:t>
      </w:r>
    </w:p>
    <w:p>
      <w:pPr>
        <w:pStyle w:val="Heading2"/>
        <w:spacing w:after="160" w:before="400"/>
      </w:pPr>
      <w:r>
        <w:rPr>
          <w:rFonts w:ascii="Fraunces" w:cs="Fraunces" w:eastAsia="Fraunces" w:hAnsi="Fraunces"/>
          <w:b/>
          <w:bCs/>
          <w:color w:val="0A2540"/>
          <w:sz w:val="24"/>
          <w:szCs w:val="24"/>
        </w:rPr>
        <w:t xml:space="preserve">19.6. Partidas excluidas de la regla proporcional por pacto expreso</w:t>
      </w:r>
    </w:p>
    <w:p>
      <w:pPr>
        <w:spacing w:after="180" w:line="300"/>
        <w:jc w:val="both"/>
      </w:pPr>
      <w:r>
        <w:rPr>
          <w:rFonts w:ascii="Archivo" w:cs="Archivo" w:eastAsia="Archivo" w:hAnsi="Archivo"/>
          <w:sz w:val="21"/>
          <w:szCs w:val="21"/>
        </w:rPr>
        <w:t xml:space="preserve">En la práctica de las pólizas de hogar, es habitual encontrar excluidas de la regla proporcional general —mediante su configuración como garantías a primer riesgo— partidas como los gastos de desescombro y demolición, los honorarios técnicos de reconstrucción, los gastos de realojo provisional y, en ocasiones, la propia garantía de contenido hasta un determinado porcentaje de la suma de continente. La correcta identificación de estas partidas exige una lectura atenta de las condiciones particulares, pues su existencia puede alterar sustancialmente el resultado económico de una liquidación afectada por infraseguro en el resto de la póliza.</w:t>
      </w:r>
    </w:p>
    <w:p>
      <w:pPr>
        <w:pStyle w:val="Heading2"/>
        <w:spacing w:after="160" w:before="400"/>
      </w:pPr>
      <w:r>
        <w:rPr>
          <w:rFonts w:ascii="Fraunces" w:cs="Fraunces" w:eastAsia="Fraunces" w:hAnsi="Fraunces"/>
          <w:b/>
          <w:bCs/>
          <w:color w:val="0A2540"/>
          <w:sz w:val="24"/>
          <w:szCs w:val="24"/>
        </w:rPr>
        <w:t xml:space="preserve">19.7. ¿Quién fija la suma asegurada? La regla proporcional frente al deber de asesoramiento</w:t>
      </w:r>
    </w:p>
    <w:p>
      <w:pPr>
        <w:spacing w:after="180" w:line="300"/>
        <w:jc w:val="both"/>
      </w:pPr>
      <w:r>
        <w:rPr>
          <w:rFonts w:ascii="Archivo" w:cs="Archivo" w:eastAsia="Archivo" w:hAnsi="Archivo"/>
          <w:sz w:val="21"/>
          <w:szCs w:val="21"/>
        </w:rPr>
        <w:t xml:space="preserve">El estudio clásico de la regla proporcional presupone, de forma implícita, que la suma asegurada es una declaración del tomador: es él quien afirma cuánto vale su interés y, si lo infravalora, soporta la consecuencia. Ese presupuesto describe con fidelidad el seguro de daños empresarial, pero no siempre el multirriesgo de hogar, donde la suma asegurada del continente la propone habitualmente la propia entidad mediante sus tablas internas de valoración por metro cuadrado, aplicadas sobre los datos —superficie, antigüedad, calidad de la construcción— que se recaban en el proceso de contratación. Cuando es así, aplicar después la regla proporcional al asegurado por una infraestimación que él no diseñó ni pudo controlar merece, cuando menos, un examen más detenido del que suele recibir.</w:t>
      </w:r>
    </w:p>
    <w:p>
      <w:pPr>
        <w:spacing w:after="180" w:line="300"/>
        <w:jc w:val="both"/>
      </w:pPr>
      <w:r>
        <w:rPr>
          <w:rFonts w:ascii="Archivo" w:cs="Archivo" w:eastAsia="Archivo" w:hAnsi="Archivo"/>
          <w:sz w:val="21"/>
          <w:szCs w:val="21"/>
        </w:rPr>
        <w:t xml:space="preserve">El fundamento normativo de este examen no está en el art. 30 LCS, sino en la normativa de distribución de seguros, que impone al distribuidor —entidad aseguradora incluida— un deber activo de determinar las exigencias y necesidades del cliente y de proponer un contrato que las respete</w:t>
      </w:r>
      <w:r>
        <w:rPr>
          <w:rStyle w:val="FootnoteReference"/>
        </w:rPr>
        <w:footnoteReference w:id="4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175.1 del RD-ley 3/2020</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distribuidor de seguros determinará, basándose en informaciones obtenidas del cliente, las exigencias y las necesidades de dicho cliente y facilitará al mismo información objetiva acerca del producto de seguro de forma comprensible, de modo que el cliente pueda tomar una decisión fundada. Cualquier contrato que se proponga debe respetar las exigencias y necesidades del cliente en materia de seguros.</w:t>
            </w:r>
          </w:p>
        </w:tc>
      </w:tr>
    </w:tbl>
    <w:p>
      <w:pPr>
        <w:spacing w:after="180" w:line="300"/>
        <w:jc w:val="both"/>
      </w:pPr>
      <w:r>
        <w:rPr>
          <w:rFonts w:ascii="Archivo" w:cs="Archivo" w:eastAsia="Archivo" w:hAnsi="Archivo"/>
          <w:sz w:val="21"/>
          <w:szCs w:val="21"/>
        </w:rPr>
        <w:t xml:space="preserve">La articulación del argumento, cuando los hechos lo permiten, discurre en tres pasos. Primero, acreditar que la suma asegurada no fue una declaración libre del tomador, sino el resultado de una herramienta de valoración de la propia entidad o de una recomendación de su red de distribución —extremo que suele constar en la solicitud, en el documento de información previa del art. 176 del RD-ley 3/2020 o en la propia mecánica de contratación telefónica o telemática—. Segundo, sostener que una suma asegurada que aboca estructuralmente al infraseguro no «respeta las exigencias y necesidades del cliente» en el sentido del art. 175.1, pues frustra la finalidad económica misma del contrato: quien contrata un seguro de hogar quiere quedar indemne, no percibir una fracción del daño. Tercero, deducir de ahí que la aplicación de la regla proporcional constituye, en ese escenario concreto, un incumplimiento del deber de asesoramiento cuya consecuencia indemnizatoria neutraliza —total o parcialmente— la reducción proporcional de la prestación.</w:t>
      </w:r>
    </w:p>
    <w:p>
      <w:pPr>
        <w:spacing w:after="180" w:line="300"/>
        <w:jc w:val="both"/>
      </w:pPr>
      <w:r>
        <w:rPr>
          <w:rFonts w:ascii="Archivo" w:cs="Archivo" w:eastAsia="Archivo" w:hAnsi="Archivo"/>
          <w:sz w:val="21"/>
          <w:szCs w:val="21"/>
        </w:rPr>
        <w:t xml:space="preserve">Conviene ser preciso sobre el alcance y los límites de esta línea argumental, para no sobrevalorarla ante el cliente. No se trata de impugnar la regla proporcional en sí, que es común a los principales ordenamientos de nuestro entorno y responde a una lógica actuarial difícilmente discutible, sino de discutir su aplicación a quien no determinó el capital</w:t>
      </w:r>
      <w:r>
        <w:rPr>
          <w:rStyle w:val="FootnoteReference"/>
        </w:rPr>
        <w:footnoteReference w:id="49"/>
      </w:r>
      <w:r>
        <w:rPr>
          <w:rFonts w:ascii="Archivo" w:cs="Archivo" w:eastAsia="Archivo" w:hAnsi="Archivo"/>
          <w:sz w:val="21"/>
          <w:szCs w:val="21"/>
        </w:rPr>
        <w:t xml:space="preserve">. Se trata, además, de una línea de defensa en construcción, no de doctrina jurisprudencial consolidada: exige prueba cumplida del origen de la suma asegurada y no puede invocarse con éxito cuando el tomador declaró un valor por su cuenta o rechazó una recomendación de actualización documentada por la entidad. Su rendimiento es, por ello, marcadamente casuístico, pero en los supuestos en que los hechos la sostienen constituye hoy el argumento más prometedor frente a una liquidación por infraseguro.</w:t>
      </w:r>
    </w:p>
    <w:p>
      <w:pPr>
        <w:pStyle w:val="Heading2"/>
        <w:spacing w:after="160" w:before="400"/>
      </w:pPr>
      <w:r>
        <w:rPr>
          <w:rFonts w:ascii="Fraunces" w:cs="Fraunces" w:eastAsia="Fraunces" w:hAnsi="Fraunces"/>
          <w:b/>
          <w:bCs/>
          <w:color w:val="0A2540"/>
          <w:sz w:val="24"/>
          <w:szCs w:val="24"/>
        </w:rPr>
        <w:t xml:space="preserve">19.8.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la aplicación de la regla proporcional</w:t>
            </w:r>
          </w:p>
          <w:p>
            <w:pPr>
              <w:pStyle w:val="ListParagraph"/>
              <w:numPr>
                <w:ilvl w:val="0"/>
                <w:numId w:val="2"/>
              </w:numPr>
              <w:spacing w:after="80" w:line="280"/>
            </w:pPr>
            <w:r>
              <w:rPr>
                <w:rFonts w:ascii="Archivo" w:cs="Archivo" w:eastAsia="Archivo" w:hAnsi="Archivo"/>
                <w:sz w:val="19"/>
                <w:szCs w:val="19"/>
              </w:rPr>
              <w:t xml:space="preserve">Verificar el valor real del interés asegurado en el momento del siniestro (normalmente, el valor de reconstrucción del continente o de reposición del contenido) frente a la suma asegurada contratada.</w:t>
            </w:r>
          </w:p>
          <w:p>
            <w:pPr>
              <w:pStyle w:val="ListParagraph"/>
              <w:numPr>
                <w:ilvl w:val="0"/>
                <w:numId w:val="2"/>
              </w:numPr>
              <w:spacing w:after="80" w:line="280"/>
            </w:pPr>
            <w:r>
              <w:rPr>
                <w:rFonts w:ascii="Archivo" w:cs="Archivo" w:eastAsia="Archivo" w:hAnsi="Archivo"/>
                <w:sz w:val="19"/>
                <w:szCs w:val="19"/>
              </w:rPr>
              <w:t xml:space="preserve">Comprobar si existe pacto expreso de exclusión de la regla proporcional, general o limitado a determinadas partidas (garantías a primer riesgo).</w:t>
            </w:r>
          </w:p>
          <w:p>
            <w:pPr>
              <w:pStyle w:val="ListParagraph"/>
              <w:numPr>
                <w:ilvl w:val="0"/>
                <w:numId w:val="2"/>
              </w:numPr>
              <w:spacing w:after="80" w:line="280"/>
            </w:pPr>
            <w:r>
              <w:rPr>
                <w:rFonts w:ascii="Archivo" w:cs="Archivo" w:eastAsia="Archivo" w:hAnsi="Archivo"/>
                <w:sz w:val="19"/>
                <w:szCs w:val="19"/>
              </w:rPr>
              <w:t xml:space="preserve">Distinguir con precisión el infraseguro de la concurrencia de seguros, conforme a la doctrina de la STS de 14 de noviembre de 2002 (ROJ: STS 7531/2002): pólizas distintas no se suman para evitar la regla proporcional.</w:t>
            </w:r>
          </w:p>
          <w:p>
            <w:pPr>
              <w:pStyle w:val="ListParagraph"/>
              <w:numPr>
                <w:ilvl w:val="0"/>
                <w:numId w:val="2"/>
              </w:numPr>
              <w:spacing w:after="80" w:line="280"/>
            </w:pPr>
            <w:r>
              <w:rPr>
                <w:rFonts w:ascii="Archivo" w:cs="Archivo" w:eastAsia="Archivo" w:hAnsi="Archivo"/>
                <w:sz w:val="19"/>
                <w:szCs w:val="19"/>
              </w:rPr>
              <w:t xml:space="preserve">Recalcular la fórmula de la regla proporcional (daño × suma asegurada / valor real) con precisión aritmética antes de aceptar o impugnar la liquidación de la aseguradora.</w:t>
            </w:r>
          </w:p>
          <w:p>
            <w:pPr>
              <w:pStyle w:val="ListParagraph"/>
              <w:numPr>
                <w:ilvl w:val="0"/>
                <w:numId w:val="2"/>
              </w:numPr>
              <w:spacing w:after="80" w:line="280"/>
            </w:pPr>
            <w:r>
              <w:rPr>
                <w:rFonts w:ascii="Archivo" w:cs="Archivo" w:eastAsia="Archivo" w:hAnsi="Archivo"/>
                <w:sz w:val="19"/>
                <w:szCs w:val="19"/>
              </w:rPr>
              <w:t xml:space="preserve">Averiguar quién fijó materialmente la suma asegurada: si fue la propia entidad mediante sus tablas de valoración, valorar la línea argumental del deber de asesoramiento del art. 175.1 del RD-ley 3/2020 (epígrafe 19.7), recabando la solicitud, el documento de información previa y la grabación o el rastro de la contratación.</w:t>
            </w:r>
          </w:p>
        </w:tc>
      </w:tr>
    </w:tbl>
    <w:p>
      <w:pPr>
        <w:pStyle w:val="Heading2"/>
        <w:spacing w:after="160" w:before="400"/>
      </w:pPr>
      <w:r>
        <w:rPr>
          <w:rFonts w:ascii="Fraunces" w:cs="Fraunces" w:eastAsia="Fraunces" w:hAnsi="Fraunces"/>
          <w:b/>
          <w:bCs/>
          <w:color w:val="0A2540"/>
          <w:sz w:val="24"/>
          <w:szCs w:val="24"/>
        </w:rPr>
        <w:t xml:space="preserve">19.9.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evitar el infraseguro en su vivienda</w:t>
            </w:r>
          </w:p>
          <w:p>
            <w:pPr>
              <w:pStyle w:val="ListParagraph"/>
              <w:numPr>
                <w:ilvl w:val="0"/>
                <w:numId w:val="2"/>
              </w:numPr>
              <w:spacing w:after="80" w:line="280"/>
            </w:pPr>
            <w:r>
              <w:rPr>
                <w:rFonts w:ascii="Archivo" w:cs="Archivo" w:eastAsia="Archivo" w:hAnsi="Archivo"/>
                <w:sz w:val="19"/>
                <w:szCs w:val="19"/>
              </w:rPr>
              <w:t xml:space="preserve">Revise periódicamente si la suma asegurada de su póliza (continente y contenido) sigue correspondiéndose con el valor real de su vivienda y sus enseres, especialmente tras reformas o revalorizaciones.</w:t>
            </w:r>
          </w:p>
          <w:p>
            <w:pPr>
              <w:pStyle w:val="ListParagraph"/>
              <w:numPr>
                <w:ilvl w:val="0"/>
                <w:numId w:val="2"/>
              </w:numPr>
              <w:spacing w:after="80" w:line="280"/>
            </w:pPr>
            <w:r>
              <w:rPr>
                <w:rFonts w:ascii="Archivo" w:cs="Archivo" w:eastAsia="Archivo" w:hAnsi="Archivo"/>
                <w:sz w:val="19"/>
                <w:szCs w:val="19"/>
              </w:rPr>
              <w:t xml:space="preserve">Recuerde que un daño parcial no se indemniza necesariamente en su totalidad si su vivienda está infraasegurada: la indemnización se reduce proporcionalmente aunque el daño no agote la suma asegurada.</w:t>
            </w:r>
          </w:p>
          <w:p>
            <w:pPr>
              <w:pStyle w:val="ListParagraph"/>
              <w:numPr>
                <w:ilvl w:val="0"/>
                <w:numId w:val="2"/>
              </w:numPr>
              <w:spacing w:after="80" w:line="280"/>
            </w:pPr>
            <w:r>
              <w:rPr>
                <w:rFonts w:ascii="Archivo" w:cs="Archivo" w:eastAsia="Archivo" w:hAnsi="Archivo"/>
                <w:sz w:val="19"/>
                <w:szCs w:val="19"/>
              </w:rPr>
              <w:t xml:space="preserve">Pregunte a su aseguradora si existen garantías contratadas «a primer riesgo» (sin regla proporcional) para gastos de desescombro, honorarios técnicos o realojo.</w:t>
            </w:r>
          </w:p>
          <w:p>
            <w:pPr>
              <w:pStyle w:val="ListParagraph"/>
              <w:numPr>
                <w:ilvl w:val="0"/>
                <w:numId w:val="2"/>
              </w:numPr>
              <w:spacing w:after="80" w:line="280"/>
            </w:pPr>
            <w:r>
              <w:rPr>
                <w:rFonts w:ascii="Archivo" w:cs="Archivo" w:eastAsia="Archivo" w:hAnsi="Archivo"/>
                <w:sz w:val="19"/>
                <w:szCs w:val="19"/>
              </w:rPr>
              <w:t xml:space="preserve">Si la cifra que figura como suma asegurada se la calculó la propia aseguradora (por metros cuadrados, al contratar por teléfono o por internet) y ahora le aplican una reducción por infraseguro, consulte a un profesional: existe un argumento de defensa basado en el deber legal de asesoramiento de la entidad.</w:t>
            </w:r>
          </w:p>
        </w:tc>
      </w:tr>
    </w:tbl>
    <w:p>
      <w:pPr>
        <w:pStyle w:val="Heading2"/>
        <w:spacing w:after="160" w:before="400"/>
      </w:pPr>
      <w:r>
        <w:rPr>
          <w:rFonts w:ascii="Fraunces" w:cs="Fraunces" w:eastAsia="Fraunces" w:hAnsi="Fraunces"/>
          <w:b/>
          <w:bCs/>
          <w:color w:val="0A2540"/>
          <w:sz w:val="24"/>
          <w:szCs w:val="24"/>
        </w:rPr>
        <w:t xml:space="preserve">19.10. Checklist: verificación de la suma asegurada</w:t>
      </w:r>
    </w:p>
    <w:p>
      <w:pPr>
        <w:pStyle w:val="ListParagraph"/>
        <w:numPr>
          <w:ilvl w:val="0"/>
          <w:numId w:val="2"/>
        </w:numPr>
        <w:spacing w:after="100" w:line="290"/>
      </w:pPr>
      <w:r>
        <w:rPr>
          <w:rFonts w:ascii="Archivo" w:cs="Archivo" w:eastAsia="Archivo" w:hAnsi="Archivo"/>
          <w:sz w:val="21"/>
          <w:szCs w:val="21"/>
        </w:rPr>
        <w:t xml:space="preserve">1. ¿Cuál es la suma asegurada de continente y de contenido, por separado?</w:t>
      </w:r>
    </w:p>
    <w:p>
      <w:pPr>
        <w:pStyle w:val="ListParagraph"/>
        <w:numPr>
          <w:ilvl w:val="0"/>
          <w:numId w:val="2"/>
        </w:numPr>
        <w:spacing w:after="100" w:line="290"/>
      </w:pPr>
      <w:r>
        <w:rPr>
          <w:rFonts w:ascii="Archivo" w:cs="Archivo" w:eastAsia="Archivo" w:hAnsi="Archivo"/>
          <w:sz w:val="21"/>
          <w:szCs w:val="21"/>
        </w:rPr>
        <w:t xml:space="preserve">2. ¿Cuál es el valor real del interés asegurado en el momento del siniestro?</w:t>
      </w:r>
    </w:p>
    <w:p>
      <w:pPr>
        <w:pStyle w:val="ListParagraph"/>
        <w:numPr>
          <w:ilvl w:val="0"/>
          <w:numId w:val="2"/>
        </w:numPr>
        <w:spacing w:after="100" w:line="290"/>
      </w:pPr>
      <w:r>
        <w:rPr>
          <w:rFonts w:ascii="Archivo" w:cs="Archivo" w:eastAsia="Archivo" w:hAnsi="Archivo"/>
          <w:sz w:val="21"/>
          <w:szCs w:val="21"/>
        </w:rPr>
        <w:t xml:space="preserve">3. ¿Existe infraseguro? En su caso, ¿cuál es la proporción aplicable?</w:t>
      </w:r>
    </w:p>
    <w:p>
      <w:pPr>
        <w:pStyle w:val="ListParagraph"/>
        <w:numPr>
          <w:ilvl w:val="0"/>
          <w:numId w:val="2"/>
        </w:numPr>
        <w:spacing w:after="100" w:line="290"/>
      </w:pPr>
      <w:r>
        <w:rPr>
          <w:rFonts w:ascii="Archivo" w:cs="Archivo" w:eastAsia="Archivo" w:hAnsi="Archivo"/>
          <w:sz w:val="21"/>
          <w:szCs w:val="21"/>
        </w:rPr>
        <w:t xml:space="preserve">4. ¿Existe pacto de exclusión de la regla proporcional, general o para partidas concretas?</w:t>
      </w:r>
    </w:p>
    <w:p>
      <w:pPr>
        <w:pStyle w:val="ListParagraph"/>
        <w:numPr>
          <w:ilvl w:val="0"/>
          <w:numId w:val="2"/>
        </w:numPr>
        <w:spacing w:after="100" w:line="290"/>
      </w:pPr>
      <w:r>
        <w:rPr>
          <w:rFonts w:ascii="Archivo" w:cs="Archivo" w:eastAsia="Archivo" w:hAnsi="Archivo"/>
          <w:sz w:val="21"/>
          <w:szCs w:val="21"/>
        </w:rPr>
        <w:t xml:space="preserve">5. ¿Existen otras pólizas sobre el mismo inmueble? ¿Se trata de infraseguro o de concurrencia de seguros?</w:t>
      </w:r>
    </w:p>
    <w:p>
      <w:pPr>
        <w:pStyle w:val="ListParagraph"/>
        <w:numPr>
          <w:ilvl w:val="0"/>
          <w:numId w:val="2"/>
        </w:numPr>
        <w:spacing w:after="100" w:line="290"/>
      </w:pPr>
      <w:r>
        <w:rPr>
          <w:rFonts w:ascii="Archivo" w:cs="Archivo" w:eastAsia="Archivo" w:hAnsi="Archivo"/>
          <w:sz w:val="21"/>
          <w:szCs w:val="21"/>
        </w:rPr>
        <w:t xml:space="preserve">6. ¿Es la suma asegurada manifiestamente superior al valor real (sobreseguro), con la consiguiente prima excesiva?</w:t>
      </w:r>
    </w:p>
    <w:p>
      <w:pPr>
        <w:pStyle w:val="ListParagraph"/>
        <w:numPr>
          <w:ilvl w:val="0"/>
          <w:numId w:val="2"/>
        </w:numPr>
        <w:spacing w:after="100" w:line="290"/>
      </w:pPr>
      <w:r>
        <w:rPr>
          <w:rFonts w:ascii="Archivo" w:cs="Archivo" w:eastAsia="Archivo" w:hAnsi="Archivo"/>
          <w:sz w:val="21"/>
          <w:szCs w:val="21"/>
        </w:rPr>
        <w:t xml:space="preserve">7. ¿Quién determinó materialmente la suma asegurada: el tomador por declaración propia, o la entidad mediante sus tablas de valoración?</w:t>
      </w:r>
    </w:p>
    <w:p>
      <w:pPr>
        <w:pStyle w:val="ListParagraph"/>
        <w:numPr>
          <w:ilvl w:val="0"/>
          <w:numId w:val="2"/>
        </w:numPr>
        <w:spacing w:after="100" w:line="290"/>
      </w:pPr>
      <w:r>
        <w:rPr>
          <w:rFonts w:ascii="Archivo" w:cs="Archivo" w:eastAsia="Archivo" w:hAnsi="Archivo"/>
          <w:sz w:val="21"/>
          <w:szCs w:val="21"/>
        </w:rPr>
        <w:t xml:space="preserve">8. ¿Consta documentado el proceso de contratación (solicitud, documento de información previa, recomendación de actualización) a efectos del deber de asesoramiento del art. 175.1 del RD-ley 3/2020?</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GIRGADO PERANDONES, P., El principio indemnizatorio en los seguros de daños: una aproximación a su significado, Comares, Granada, 2005.</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20. </w:t>
      </w:r>
      <w:r>
        <w:rPr>
          <w:rFonts w:ascii="Fraunces" w:cs="Fraunces" w:eastAsia="Fraunces" w:hAnsi="Fraunces"/>
          <w:b/>
          <w:bCs/>
          <w:color w:val="0A2540"/>
          <w:sz w:val="30"/>
          <w:szCs w:val="30"/>
        </w:rPr>
        <w:t xml:space="preserve">Pago de la indemnización, mora del asegurador e intereses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20.1. El pago del importe mínimo (art. 18 LCS)</w:t>
            </w:r>
          </w:p>
          <w:p>
            <w:pPr>
              <w:spacing w:after="40" w:line="260"/>
            </w:pPr>
            <w:r>
              <w:rPr>
                <w:rFonts w:ascii="Archivo" w:cs="Archivo" w:eastAsia="Archivo" w:hAnsi="Archivo"/>
                <w:sz w:val="18"/>
                <w:szCs w:val="18"/>
              </w:rPr>
              <w:t xml:space="preserve">20.2. La mora del asegurador y su régimen especial (art. 20 LCS)</w:t>
            </w:r>
          </w:p>
          <w:p>
            <w:pPr>
              <w:spacing w:after="40" w:line="260"/>
            </w:pPr>
            <w:r>
              <w:rPr>
                <w:rFonts w:ascii="Archivo" w:cs="Archivo" w:eastAsia="Archivo" w:hAnsi="Archivo"/>
                <w:sz w:val="18"/>
                <w:szCs w:val="18"/>
              </w:rPr>
              <w:t xml:space="preserve">20.3. Cálculo de los intereses de demora</w:t>
            </w:r>
          </w:p>
          <w:p>
            <w:pPr>
              <w:spacing w:after="40" w:line="260"/>
            </w:pPr>
            <w:r>
              <w:rPr>
                <w:rFonts w:ascii="Archivo" w:cs="Archivo" w:eastAsia="Archivo" w:hAnsi="Archivo"/>
                <w:sz w:val="18"/>
                <w:szCs w:val="18"/>
              </w:rPr>
              <w:t xml:space="preserve">20.4. La causa justificada de exoneración: doctrina restrictiva del Tribunal Supremo</w:t>
            </w:r>
          </w:p>
          <w:p>
            <w:pPr>
              <w:spacing w:after="40" w:line="260"/>
            </w:pPr>
            <w:r>
              <w:rPr>
                <w:rFonts w:ascii="Archivo" w:cs="Archivo" w:eastAsia="Archivo" w:hAnsi="Archivo"/>
                <w:sz w:val="18"/>
                <w:szCs w:val="18"/>
              </w:rPr>
              <w:t xml:space="preserve">20.5. La pendencia de un proceso judicial como (in)suficiente causa justificada</w:t>
            </w:r>
          </w:p>
          <w:p>
            <w:pPr>
              <w:spacing w:after="40" w:line="260"/>
            </w:pPr>
            <w:r>
              <w:rPr>
                <w:rFonts w:ascii="Archivo" w:cs="Archivo" w:eastAsia="Archivo" w:hAnsi="Archivo"/>
                <w:sz w:val="18"/>
                <w:szCs w:val="18"/>
              </w:rPr>
              <w:t xml:space="preserve">20.6. Ficha para el profesional</w:t>
            </w:r>
          </w:p>
          <w:p>
            <w:pPr>
              <w:spacing w:after="40" w:line="260"/>
            </w:pPr>
            <w:r>
              <w:rPr>
                <w:rFonts w:ascii="Archivo" w:cs="Archivo" w:eastAsia="Archivo" w:hAnsi="Archivo"/>
                <w:sz w:val="18"/>
                <w:szCs w:val="18"/>
              </w:rPr>
              <w:t xml:space="preserve">20.7. Ficha para el asegurado</w:t>
            </w:r>
          </w:p>
          <w:p>
            <w:pPr>
              <w:spacing w:after="40" w:line="260"/>
            </w:pPr>
            <w:r>
              <w:rPr>
                <w:rFonts w:ascii="Archivo" w:cs="Archivo" w:eastAsia="Archivo" w:hAnsi="Archivo"/>
                <w:sz w:val="18"/>
                <w:szCs w:val="18"/>
              </w:rPr>
              <w:t xml:space="preserve">20.8. Checklist: reclamación de intereses del art. 20 LCS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de la mora del asegurador del art. 20 LCS, uno de los preceptos de mayor eficacia disuasoria de todo el ordenamiento asegurador español, con especial atención a la doctrina jurisprudencial —marcadamente restrictiva hacia el asegurador— sobre qué constituye «causa justificada» de exoneración, y en particular a la reiterada afirmación de la Sala Primera de que la simple pendencia de un proceso judicial no exonera, por sí sola, del pago de estos intereses.</w:t>
            </w:r>
          </w:p>
          <w:p>
            <w:pPr>
              <w:spacing w:after="160"/>
            </w:pPr>
            <w:r>
              <w:rPr>
                <w:rFonts w:ascii="Archivo" w:cs="Archivo" w:eastAsia="Archivo" w:hAnsi="Archivo"/>
                <w:b/>
                <w:bCs/>
                <w:sz w:val="17"/>
                <w:szCs w:val="17"/>
              </w:rPr>
              <w:t xml:space="preserve">Palabras clave: mora del asegurador, art. 20 LCS, intereses de demora, causa justificada.</w:t>
            </w:r>
          </w:p>
          <w:p>
            <w:pPr>
              <w:spacing w:after="100"/>
              <w:jc w:val="both"/>
            </w:pPr>
            <w:r>
              <w:rPr>
                <w:rFonts w:ascii="Archivo" w:cs="Archivo" w:eastAsia="Archivo" w:hAnsi="Archivo"/>
                <w:i/>
                <w:iCs/>
                <w:sz w:val="18"/>
                <w:szCs w:val="18"/>
              </w:rPr>
              <w:t xml:space="preserve">This chapter examines the insurer's default regime under Article 20 of the Insurance Contract Act, one of the most deterrent provisions in Spanish insurance law, focusing on the markedly restrictive case law on what constitutes 'justified cause' for exoneration, and in particular on the Supreme Court's consistent holding that the mere pendency of judicial proceedings does not, on its own, excuse the insurer from paying default interest.</w:t>
            </w:r>
          </w:p>
          <w:p>
            <w:pPr>
              <w:spacing w:after="0"/>
            </w:pPr>
            <w:r>
              <w:rPr>
                <w:rFonts w:ascii="Archivo" w:cs="Archivo" w:eastAsia="Archivo" w:hAnsi="Archivo"/>
                <w:b/>
                <w:bCs/>
                <w:sz w:val="17"/>
                <w:szCs w:val="17"/>
              </w:rPr>
              <w:t xml:space="preserve">Keywords: insurer default, default interest, justified cause, litigation pendency.</w:t>
            </w:r>
          </w:p>
        </w:tc>
      </w:tr>
    </w:tbl>
    <w:p>
      <w:pPr>
        <w:spacing w:after="200"/>
      </w:pPr>
    </w:p>
    <w:p>
      <w:pPr>
        <w:pStyle w:val="Heading2"/>
        <w:spacing w:after="160" w:before="400"/>
      </w:pPr>
      <w:r>
        <w:rPr>
          <w:rFonts w:ascii="Fraunces" w:cs="Fraunces" w:eastAsia="Fraunces" w:hAnsi="Fraunces"/>
          <w:b/>
          <w:bCs/>
          <w:color w:val="0A2540"/>
          <w:sz w:val="24"/>
          <w:szCs w:val="24"/>
        </w:rPr>
        <w:t xml:space="preserve">20.1. El pago del importe mínimo</w:t>
      </w:r>
    </w:p>
    <w:p>
      <w:pPr>
        <w:spacing w:after="180" w:line="300"/>
        <w:jc w:val="both"/>
      </w:pPr>
      <w:r>
        <w:rPr>
          <w:rFonts w:ascii="Archivo" w:cs="Archivo" w:eastAsia="Archivo" w:hAnsi="Archivo"/>
          <w:sz w:val="21"/>
          <w:szCs w:val="21"/>
        </w:rPr>
        <w:t xml:space="preserve">Antes de examinar el régimen de mora propiamente dicho, conviene recordar la obligación, ya avanzada en capítulos anteriores, de pago del importe mínimo debido: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18 LCS</w:t>
            </w:r>
          </w:p>
          <w:p>
            <w:pPr>
              <w:spacing w:after="0" w:line="280"/>
              <w:jc w:val="both"/>
            </w:pPr>
            <w:r>
              <w:rPr>
                <w:rFonts w:ascii="IBM Plex Mono" w:cs="IBM Plex Mono" w:eastAsia="IBM Plex Mono" w:hAnsi="IBM Plex Mono"/>
                <w:i/>
                <w:iCs/>
                <w:color w:val="0A2540"/>
                <w:sz w:val="18"/>
                <w:szCs w:val="18"/>
              </w:rPr>
              <w:t xml:space="preserve">El asegurador está obligado a satisfacer la indemnización al término de las investigaciones y peritaciones necesarias para establecer la existencia del siniestro y, en su caso, el importe de los daños que resulten del mismo. En cualquier supuesto, el asegurador deberá efectuar, dentro de los cuarenta días, a partir de la recepción de la declaración del siniestro, el pago del importe mínimo de lo que el asegurador pueda deber, según las circunstancias por él conocidas.</w:t>
            </w:r>
          </w:p>
        </w:tc>
      </w:tr>
    </w:tbl>
    <w:p>
      <w:pPr>
        <w:spacing w:after="180" w:line="300"/>
        <w:jc w:val="both"/>
      </w:pPr>
      <w:r>
        <w:rPr>
          <w:rFonts w:ascii="Archivo" w:cs="Archivo" w:eastAsia="Archivo" w:hAnsi="Archivo"/>
          <w:sz w:val="21"/>
          <w:szCs w:val="21"/>
        </w:rPr>
        <w:t xml:space="preserve">Esta obligación de pago del importe mínimo dentro de los cuarenta días —con independencia de que la liquidación definitiva del daño requiera más tiempo— es el primer umbral temporal relevante para el cómputo de los intereses de demora, según se desarrolla en el epígrafe siguiente.</w:t>
      </w:r>
    </w:p>
    <w:p>
      <w:pPr>
        <w:pStyle w:val="Heading2"/>
        <w:spacing w:after="160" w:before="400"/>
      </w:pPr>
      <w:r>
        <w:rPr>
          <w:rFonts w:ascii="Fraunces" w:cs="Fraunces" w:eastAsia="Fraunces" w:hAnsi="Fraunces"/>
          <w:b/>
          <w:bCs/>
          <w:color w:val="0A2540"/>
          <w:sz w:val="24"/>
          <w:szCs w:val="24"/>
        </w:rPr>
        <w:t xml:space="preserve">20.2. La mora del asegurador y su régimen especial</w:t>
      </w:r>
    </w:p>
    <w:p>
      <w:pPr>
        <w:spacing w:after="180" w:line="300"/>
        <w:jc w:val="both"/>
      </w:pPr>
      <w:r>
        <w:rPr>
          <w:rFonts w:ascii="Archivo" w:cs="Archivo" w:eastAsia="Archivo" w:hAnsi="Archivo"/>
          <w:sz w:val="21"/>
          <w:szCs w:val="21"/>
        </w:rPr>
        <w:t xml:space="preserve">El artículo 20 LCS, ya reproducido íntegramente en el capítulo 1, articula un régimen de intereses moratorios especial y más gravoso que el general de los arts. 1108 CC y 576 LEC, cuya aplicación excluye expresamente</w:t>
      </w:r>
      <w:r>
        <w:rPr>
          <w:rStyle w:val="FootnoteReference"/>
        </w:rPr>
        <w:footnoteReference w:id="50"/>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Los elementos esenciales de este régimen, sistematizados a partir del art. 20 LCS, son:</w:t>
      </w:r>
    </w:p>
    <w:p>
      <w:pPr>
        <w:pStyle w:val="ListParagraph"/>
        <w:numPr>
          <w:ilvl w:val="0"/>
          <w:numId w:val="2"/>
        </w:numPr>
        <w:spacing w:after="100" w:line="290"/>
      </w:pPr>
      <w:r>
        <w:rPr>
          <w:rFonts w:ascii="Archivo" w:cs="Archivo" w:eastAsia="Archivo" w:hAnsi="Archivo"/>
          <w:b/>
          <w:bCs/>
          <w:sz w:val="21"/>
          <w:szCs w:val="21"/>
        </w:rPr>
        <w:t xml:space="preserve">Presupuesto de la mora: </w:t>
      </w:r>
      <w:r>
        <w:rPr>
          <w:rFonts w:ascii="Archivo" w:cs="Archivo" w:eastAsia="Archivo" w:hAnsi="Archivo"/>
          <w:sz w:val="21"/>
          <w:szCs w:val="21"/>
        </w:rPr>
        <w:t xml:space="preserve">no satisfacer la prestación en tres meses desde el siniestro, o no pagar el importe mínimo en cuarenta días desde la declaración.</w:t>
      </w:r>
    </w:p>
    <w:p>
      <w:pPr>
        <w:pStyle w:val="ListParagraph"/>
        <w:numPr>
          <w:ilvl w:val="0"/>
          <w:numId w:val="2"/>
        </w:numPr>
        <w:spacing w:after="100" w:line="290"/>
      </w:pPr>
      <w:r>
        <w:rPr>
          <w:rFonts w:ascii="Archivo" w:cs="Archivo" w:eastAsia="Archivo" w:hAnsi="Archivo"/>
          <w:b/>
          <w:bCs/>
          <w:sz w:val="21"/>
          <w:szCs w:val="21"/>
        </w:rPr>
        <w:t xml:space="preserve">Imposición de oficio: </w:t>
      </w:r>
      <w:r>
        <w:rPr>
          <w:rFonts w:ascii="Archivo" w:cs="Archivo" w:eastAsia="Archivo" w:hAnsi="Archivo"/>
          <w:sz w:val="21"/>
          <w:szCs w:val="21"/>
        </w:rPr>
        <w:t xml:space="preserve">el juez debe imponer estos intereses de oficio, sin necesidad de que se soliciten expresamente ni de reclamación judicial previa para su devengo día a día.</w:t>
      </w:r>
    </w:p>
    <w:p>
      <w:pPr>
        <w:pStyle w:val="ListParagraph"/>
        <w:numPr>
          <w:ilvl w:val="0"/>
          <w:numId w:val="2"/>
        </w:numPr>
        <w:spacing w:after="100" w:line="290"/>
      </w:pPr>
      <w:r>
        <w:rPr>
          <w:rFonts w:ascii="Archivo" w:cs="Archivo" w:eastAsia="Archivo" w:hAnsi="Archivo"/>
          <w:b/>
          <w:bCs/>
          <w:sz w:val="21"/>
          <w:szCs w:val="21"/>
        </w:rPr>
        <w:t xml:space="preserve">Cuantía: </w:t>
      </w:r>
      <w:r>
        <w:rPr>
          <w:rFonts w:ascii="Archivo" w:cs="Archivo" w:eastAsia="Archivo" w:hAnsi="Archivo"/>
          <w:sz w:val="21"/>
          <w:szCs w:val="21"/>
        </w:rPr>
        <w:t xml:space="preserve">interés legal del dinero incrementado en un 50 %; transcurridos dos años desde el siniestro sin pago, el interés anual no podrá ser inferior al 20 %.</w:t>
      </w:r>
    </w:p>
    <w:p>
      <w:pPr>
        <w:pStyle w:val="ListParagraph"/>
        <w:numPr>
          <w:ilvl w:val="0"/>
          <w:numId w:val="2"/>
        </w:numPr>
        <w:spacing w:after="100" w:line="290"/>
      </w:pPr>
      <w:r>
        <w:rPr>
          <w:rFonts w:ascii="Archivo" w:cs="Archivo" w:eastAsia="Archivo" w:hAnsi="Archivo"/>
          <w:b/>
          <w:bCs/>
          <w:sz w:val="21"/>
          <w:szCs w:val="21"/>
        </w:rPr>
        <w:t xml:space="preserve">Dies a quo: </w:t>
      </w:r>
      <w:r>
        <w:rPr>
          <w:rFonts w:ascii="Archivo" w:cs="Archivo" w:eastAsia="Archivo" w:hAnsi="Archivo"/>
          <w:sz w:val="21"/>
          <w:szCs w:val="21"/>
        </w:rPr>
        <w:t xml:space="preserve">la fecha del siniestro, salvo incumplimiento del deber de comunicación en plazo, en cuyo caso el término inicial se traslada a la fecha de la comunicación (capítulo 17).</w:t>
      </w:r>
    </w:p>
    <w:p>
      <w:pPr>
        <w:pStyle w:val="ListParagraph"/>
        <w:numPr>
          <w:ilvl w:val="0"/>
          <w:numId w:val="2"/>
        </w:numPr>
        <w:spacing w:after="100" w:line="290"/>
      </w:pPr>
      <w:r>
        <w:rPr>
          <w:rFonts w:ascii="Archivo" w:cs="Archivo" w:eastAsia="Archivo" w:hAnsi="Archivo"/>
          <w:b/>
          <w:bCs/>
          <w:sz w:val="21"/>
          <w:szCs w:val="21"/>
        </w:rPr>
        <w:t xml:space="preserve">Inaplicabilidad del régimen general: </w:t>
      </w:r>
      <w:r>
        <w:rPr>
          <w:rFonts w:ascii="Archivo" w:cs="Archivo" w:eastAsia="Archivo" w:hAnsi="Archivo"/>
          <w:sz w:val="21"/>
          <w:szCs w:val="21"/>
        </w:rPr>
        <w:t xml:space="preserve">expresamente excluidos el art. 1108 CC y el párrafo cuarto del art. 921 LEC (hoy, en sustancia, el art. 576 LEC), salvo las previsiones de este último sobre revocación total o parcial de la sentencia.</w:t>
      </w:r>
    </w:p>
    <w:p>
      <w:pPr>
        <w:pStyle w:val="Heading2"/>
        <w:spacing w:after="160" w:before="400"/>
      </w:pPr>
      <w:r>
        <w:rPr>
          <w:rFonts w:ascii="Fraunces" w:cs="Fraunces" w:eastAsia="Fraunces" w:hAnsi="Fraunces"/>
          <w:b/>
          <w:bCs/>
          <w:color w:val="0A2540"/>
          <w:sz w:val="24"/>
          <w:szCs w:val="24"/>
        </w:rPr>
        <w:t xml:space="preserve">20.3. Cálculo de los intereses de demora</w:t>
      </w:r>
    </w:p>
    <w:p>
      <w:pPr>
        <w:spacing w:after="180" w:line="300"/>
        <w:jc w:val="both"/>
      </w:pPr>
      <w:r>
        <w:rPr>
          <w:rFonts w:ascii="Archivo" w:cs="Archivo" w:eastAsia="Archivo" w:hAnsi="Archivo"/>
          <w:sz w:val="21"/>
          <w:szCs w:val="21"/>
        </w:rPr>
        <w:t xml:space="preserve">La práctica de la liquidación de estos intereses exige distinguir dos tramos temporales: durante los dos primeros años desde el siniestro, el interés aplicable es el legal del dinero vigente en cada momento incrementado en un 50 %; transcurridos esos dos años sin que la indemnización haya sido satisfecha, el interés no podrá ser en ningún caso inferior al 20 % anual, con independencia de cuál sea el interés legal del dinero vigente en ese momento, lo que en la práctica convierte a este segundo tramo en un severo desincentivo económico a la dilación prolongada por parte de la aseguradora.</w:t>
      </w:r>
    </w:p>
    <w:p>
      <w:pPr>
        <w:pStyle w:val="Heading2"/>
        <w:spacing w:after="160" w:before="400"/>
      </w:pPr>
      <w:r>
        <w:rPr>
          <w:rFonts w:ascii="Fraunces" w:cs="Fraunces" w:eastAsia="Fraunces" w:hAnsi="Fraunces"/>
          <w:b/>
          <w:bCs/>
          <w:color w:val="0A2540"/>
          <w:sz w:val="24"/>
          <w:szCs w:val="24"/>
        </w:rPr>
        <w:t xml:space="preserve">20.4. La causa justificada de exoneración: doctrina restrictiva del Tribunal Supremo</w:t>
      </w:r>
    </w:p>
    <w:p>
      <w:pPr>
        <w:spacing w:after="180" w:line="300"/>
        <w:jc w:val="both"/>
      </w:pPr>
      <w:r>
        <w:rPr>
          <w:rFonts w:ascii="Archivo" w:cs="Archivo" w:eastAsia="Archivo" w:hAnsi="Archivo"/>
          <w:sz w:val="21"/>
          <w:szCs w:val="21"/>
        </w:rPr>
        <w:t xml:space="preserve">El único cauce legal de exoneración de estos intereses es la concurrencia de «causa justificada» (art. 20.8.º LCS) por parte de la aseguradora, concepto jurídico indeterminado cuya interpretación jurisprudencial ha sido, de forma constante, marcadamente restrictiva, en coherencia con la finalidad disuasoria del precepto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27 de septiembre de 2023 (ROJ: STS 3983/2023; ECLI:ES:TS:2023:3983; MP: Seoane Spiegelberg)</w:t>
            </w:r>
          </w:p>
          <w:p>
            <w:pPr>
              <w:spacing w:after="0" w:line="280"/>
              <w:jc w:val="both"/>
            </w:pPr>
            <w:r>
              <w:rPr>
                <w:rFonts w:ascii="Archivo" w:cs="Archivo" w:eastAsia="Archivo" w:hAnsi="Archivo"/>
                <w:color w:val="0A2540"/>
                <w:sz w:val="19"/>
                <w:szCs w:val="19"/>
              </w:rPr>
              <w:t xml:space="preserve">«La simple pendencia de un proceso no puede constituir, por sí solo, causa justificada para obviar la imposición de los intereses moratorios; pues entonces las compañías de seguros no liquidarían los siniestros y esperarían a que se promovieran acciones judiciales contra ellas, lo que conduciría a la frustración de la finalidad perseguida por el art. 20 de la LCS, que se convertiría en papel mojado en contra de la voluntad del legislador.»</w:t>
            </w:r>
          </w:p>
        </w:tc>
      </w:tr>
    </w:tbl>
    <w:p>
      <w:pPr>
        <w:spacing w:after="180" w:line="300"/>
        <w:jc w:val="both"/>
      </w:pPr>
      <w:r>
        <w:rPr>
          <w:rFonts w:ascii="Archivo" w:cs="Archivo" w:eastAsia="Archivo" w:hAnsi="Archivo"/>
          <w:sz w:val="21"/>
          <w:szCs w:val="21"/>
        </w:rPr>
        <w:t xml:space="preserve">La misma sentencia matiza, no obstante, que esta regla general admite excepciones cuando concurren circunstancias verdaderamente singulares: en el caso concreto enjuiciado, se apreció causa justificada porque existía una vía administrativa previa cuyo pronunciamiento alteraba sustancialmente los conceptos indemnizables respecto de los finalmente reclamados en vía judicial, lo que permitía calificar como razonable la prudencia de la aseguradora en esperar dicho pronunciamiento antes de liquidar. Estas excepciones deben interpretarse, en todo caso, restrictivamente y de forma casuística, sin que puedan generalizarse como excusa sistemática frente a cualquier litigio.</w:t>
      </w:r>
    </w:p>
    <w:p>
      <w:pPr>
        <w:pStyle w:val="Heading2"/>
        <w:spacing w:after="160" w:before="400"/>
      </w:pPr>
      <w:r>
        <w:rPr>
          <w:rFonts w:ascii="Fraunces" w:cs="Fraunces" w:eastAsia="Fraunces" w:hAnsi="Fraunces"/>
          <w:b/>
          <w:bCs/>
          <w:color w:val="0A2540"/>
          <w:sz w:val="24"/>
          <w:szCs w:val="24"/>
        </w:rPr>
        <w:t xml:space="preserve">20.5. La pendencia de un proceso judicial como (in)suficiente causa justificada</w:t>
      </w:r>
    </w:p>
    <w:p>
      <w:pPr>
        <w:spacing w:after="180" w:line="300"/>
        <w:jc w:val="both"/>
      </w:pPr>
      <w:r>
        <w:rPr>
          <w:rFonts w:ascii="Archivo" w:cs="Archivo" w:eastAsia="Archivo" w:hAnsi="Archivo"/>
          <w:sz w:val="21"/>
          <w:szCs w:val="21"/>
        </w:rPr>
        <w:t xml:space="preserve">La regla de la STS 3983/2023 no es aislada: la jurisprudencia reciente reitera de forma constante que la mera existencia de un litigio sobre la procedencia o cuantía de la indemnización —incluida la propia discrepancia sobre la interpretación de una cláusula de la póliza— no constituye, por sí misma, causa justificada de exoneración, correspondiendo a la aseguradora acreditar una razón objetiva y específica, distinta de la mera resistencia procesal, que justifique su falta de pago en plazo. Esta doctrina, de aplicación transversal a todas las coberturas del seguro de hogar estudiadas en la Parte II de esta obra, convierte a los intereses del art. 20 LCS en un instrumento de negociación de primer orden en cualquier reclamación extrajudicial: la amenaza fundada de su devengo —especialmente una vez transcurridos los dos años que activan el suelo del 20 % anual— incentiva poderosamente el pago temprano por parte de la aseguradora.</w:t>
      </w:r>
    </w:p>
    <w:p>
      <w:pPr>
        <w:pStyle w:val="Heading2"/>
        <w:spacing w:after="160" w:before="400"/>
      </w:pPr>
      <w:r>
        <w:rPr>
          <w:rFonts w:ascii="Fraunces" w:cs="Fraunces" w:eastAsia="Fraunces" w:hAnsi="Fraunces"/>
          <w:b/>
          <w:bCs/>
          <w:color w:val="0A2540"/>
          <w:sz w:val="24"/>
          <w:szCs w:val="24"/>
        </w:rPr>
        <w:t xml:space="preserve">20.6.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para la reclamación de intereses del art. 20 LCS</w:t>
            </w:r>
          </w:p>
          <w:p>
            <w:pPr>
              <w:pStyle w:val="ListParagraph"/>
              <w:numPr>
                <w:ilvl w:val="0"/>
                <w:numId w:val="2"/>
              </w:numPr>
              <w:spacing w:after="80" w:line="280"/>
            </w:pPr>
            <w:r>
              <w:rPr>
                <w:rFonts w:ascii="Archivo" w:cs="Archivo" w:eastAsia="Archivo" w:hAnsi="Archivo"/>
                <w:sz w:val="19"/>
                <w:szCs w:val="19"/>
              </w:rPr>
              <w:t xml:space="preserve">Fijar con precisión la fecha del siniestro como dies a quo, salvo incumplimiento del deber de comunicación en plazo (capítulo 17).</w:t>
            </w:r>
          </w:p>
          <w:p>
            <w:pPr>
              <w:pStyle w:val="ListParagraph"/>
              <w:numPr>
                <w:ilvl w:val="0"/>
                <w:numId w:val="2"/>
              </w:numPr>
              <w:spacing w:after="80" w:line="280"/>
            </w:pPr>
            <w:r>
              <w:rPr>
                <w:rFonts w:ascii="Archivo" w:cs="Archivo" w:eastAsia="Archivo" w:hAnsi="Archivo"/>
                <w:sz w:val="19"/>
                <w:szCs w:val="19"/>
              </w:rPr>
              <w:t xml:space="preserve">Calcular los intereses por tramos: interés legal + 50 % durante los dos primeros años; suelo del 20 % anual a partir de entonces.</w:t>
            </w:r>
          </w:p>
          <w:p>
            <w:pPr>
              <w:pStyle w:val="ListParagraph"/>
              <w:numPr>
                <w:ilvl w:val="0"/>
                <w:numId w:val="2"/>
              </w:numPr>
              <w:spacing w:after="80" w:line="280"/>
            </w:pPr>
            <w:r>
              <w:rPr>
                <w:rFonts w:ascii="Archivo" w:cs="Archivo" w:eastAsia="Archivo" w:hAnsi="Archivo"/>
                <w:sz w:val="19"/>
                <w:szCs w:val="19"/>
              </w:rPr>
              <w:t xml:space="preserve">Ante la alegación de causa justificada por la aseguradora, exigir la acreditación de una razón objetiva y específica, recordando que la mera pendencia del proceso no basta (STS 3983/2023, ROJ: STS 3983/2023).</w:t>
            </w:r>
          </w:p>
          <w:p>
            <w:pPr>
              <w:pStyle w:val="ListParagraph"/>
              <w:numPr>
                <w:ilvl w:val="0"/>
                <w:numId w:val="2"/>
              </w:numPr>
              <w:spacing w:after="80" w:line="280"/>
            </w:pPr>
            <w:r>
              <w:rPr>
                <w:rFonts w:ascii="Archivo" w:cs="Archivo" w:eastAsia="Archivo" w:hAnsi="Archivo"/>
                <w:sz w:val="19"/>
                <w:szCs w:val="19"/>
              </w:rPr>
              <w:t xml:space="preserve">Solicitar la imposición de oficio de estos intereses en la demanda, sin perjuicio de argumentarlos expresamente para reforzar su aplicación.</w:t>
            </w:r>
          </w:p>
        </w:tc>
      </w:tr>
    </w:tbl>
    <w:p>
      <w:pPr>
        <w:pStyle w:val="Heading2"/>
        <w:spacing w:after="160" w:before="400"/>
      </w:pPr>
      <w:r>
        <w:rPr>
          <w:rFonts w:ascii="Fraunces" w:cs="Fraunces" w:eastAsia="Fraunces" w:hAnsi="Fraunces"/>
          <w:b/>
          <w:bCs/>
          <w:color w:val="0A2540"/>
          <w:sz w:val="24"/>
          <w:szCs w:val="24"/>
        </w:rPr>
        <w:t xml:space="preserve">20.7.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los intereses por retraso de su aseguradora</w:t>
            </w:r>
          </w:p>
          <w:p>
            <w:pPr>
              <w:pStyle w:val="ListParagraph"/>
              <w:numPr>
                <w:ilvl w:val="0"/>
                <w:numId w:val="2"/>
              </w:numPr>
              <w:spacing w:after="80" w:line="280"/>
            </w:pPr>
            <w:r>
              <w:rPr>
                <w:rFonts w:ascii="Archivo" w:cs="Archivo" w:eastAsia="Archivo" w:hAnsi="Archivo"/>
                <w:sz w:val="19"/>
                <w:szCs w:val="19"/>
              </w:rPr>
              <w:t xml:space="preserve">Si su aseguradora tarda más de tres meses desde el siniestro en pagarle, o más de cuarenta días en abonarle al menos el importe mínimo, tiene derecho a intereses de demora, que se suman a la indemnización.</w:t>
            </w:r>
          </w:p>
          <w:p>
            <w:pPr>
              <w:pStyle w:val="ListParagraph"/>
              <w:numPr>
                <w:ilvl w:val="0"/>
                <w:numId w:val="2"/>
              </w:numPr>
              <w:spacing w:after="80" w:line="280"/>
            </w:pPr>
            <w:r>
              <w:rPr>
                <w:rFonts w:ascii="Archivo" w:cs="Archivo" w:eastAsia="Archivo" w:hAnsi="Archivo"/>
                <w:sz w:val="19"/>
                <w:szCs w:val="19"/>
              </w:rPr>
              <w:t xml:space="preserve">Estos intereses son muy superiores a los intereses legales ordinarios: pueden alcanzar el interés legal del dinero incrementado en un 50 %, y un mínimo del 20 % anual si el retraso supera los dos años.</w:t>
            </w:r>
          </w:p>
          <w:p>
            <w:pPr>
              <w:pStyle w:val="ListParagraph"/>
              <w:numPr>
                <w:ilvl w:val="0"/>
                <w:numId w:val="2"/>
              </w:numPr>
              <w:spacing w:after="80" w:line="280"/>
            </w:pPr>
            <w:r>
              <w:rPr>
                <w:rFonts w:ascii="Archivo" w:cs="Archivo" w:eastAsia="Archivo" w:hAnsi="Archivo"/>
                <w:sz w:val="19"/>
                <w:szCs w:val="19"/>
              </w:rPr>
              <w:t xml:space="preserve">No necesita reclamarlos expresamente ante un tribunal para que se devenguen día a día desde el siniestro, aunque conviene mencionarlos siempre en cualquier reclamación.</w:t>
            </w:r>
          </w:p>
        </w:tc>
      </w:tr>
    </w:tbl>
    <w:p>
      <w:pPr>
        <w:pStyle w:val="Heading2"/>
        <w:spacing w:after="160" w:before="400"/>
      </w:pPr>
      <w:r>
        <w:rPr>
          <w:rFonts w:ascii="Fraunces" w:cs="Fraunces" w:eastAsia="Fraunces" w:hAnsi="Fraunces"/>
          <w:b/>
          <w:bCs/>
          <w:color w:val="0A2540"/>
          <w:sz w:val="24"/>
          <w:szCs w:val="24"/>
        </w:rPr>
        <w:t xml:space="preserve">20.8. Checklist: reclamación de intereses del art. 20 LCS</w:t>
      </w:r>
    </w:p>
    <w:p>
      <w:pPr>
        <w:pStyle w:val="ListParagraph"/>
        <w:numPr>
          <w:ilvl w:val="0"/>
          <w:numId w:val="2"/>
        </w:numPr>
        <w:spacing w:after="100" w:line="290"/>
      </w:pPr>
      <w:r>
        <w:rPr>
          <w:rFonts w:ascii="Archivo" w:cs="Archivo" w:eastAsia="Archivo" w:hAnsi="Archivo"/>
          <w:sz w:val="21"/>
          <w:szCs w:val="21"/>
        </w:rPr>
        <w:t xml:space="preserve">1. ¿Cuál es la fecha del siniestro y la de comunicación a la aseguradora?</w:t>
      </w:r>
    </w:p>
    <w:p>
      <w:pPr>
        <w:pStyle w:val="ListParagraph"/>
        <w:numPr>
          <w:ilvl w:val="0"/>
          <w:numId w:val="2"/>
        </w:numPr>
        <w:spacing w:after="100" w:line="290"/>
      </w:pPr>
      <w:r>
        <w:rPr>
          <w:rFonts w:ascii="Archivo" w:cs="Archivo" w:eastAsia="Archivo" w:hAnsi="Archivo"/>
          <w:sz w:val="21"/>
          <w:szCs w:val="21"/>
        </w:rPr>
        <w:t xml:space="preserve">2. ¿Se abonó el importe mínimo dentro de los cuarenta días desde la declaración?</w:t>
      </w:r>
    </w:p>
    <w:p>
      <w:pPr>
        <w:pStyle w:val="ListParagraph"/>
        <w:numPr>
          <w:ilvl w:val="0"/>
          <w:numId w:val="2"/>
        </w:numPr>
        <w:spacing w:after="100" w:line="290"/>
      </w:pPr>
      <w:r>
        <w:rPr>
          <w:rFonts w:ascii="Archivo" w:cs="Archivo" w:eastAsia="Archivo" w:hAnsi="Archivo"/>
          <w:sz w:val="21"/>
          <w:szCs w:val="21"/>
        </w:rPr>
        <w:t xml:space="preserve">3. ¿Se satisfizo la indemnización completa dentro de los tres meses desde el siniestro?</w:t>
      </w:r>
    </w:p>
    <w:p>
      <w:pPr>
        <w:pStyle w:val="ListParagraph"/>
        <w:numPr>
          <w:ilvl w:val="0"/>
          <w:numId w:val="2"/>
        </w:numPr>
        <w:spacing w:after="100" w:line="290"/>
      </w:pPr>
      <w:r>
        <w:rPr>
          <w:rFonts w:ascii="Archivo" w:cs="Archivo" w:eastAsia="Archivo" w:hAnsi="Archivo"/>
          <w:sz w:val="21"/>
          <w:szCs w:val="21"/>
        </w:rPr>
        <w:t xml:space="preserve">4. En caso de retraso, ¿invoca la aseguradora una causa justificada? ¿Es objetiva y específica, o meramente procesal?</w:t>
      </w:r>
    </w:p>
    <w:p>
      <w:pPr>
        <w:pStyle w:val="ListParagraph"/>
        <w:numPr>
          <w:ilvl w:val="0"/>
          <w:numId w:val="2"/>
        </w:numPr>
        <w:spacing w:after="100" w:line="290"/>
      </w:pPr>
      <w:r>
        <w:rPr>
          <w:rFonts w:ascii="Archivo" w:cs="Archivo" w:eastAsia="Archivo" w:hAnsi="Archivo"/>
          <w:sz w:val="21"/>
          <w:szCs w:val="21"/>
        </w:rPr>
        <w:t xml:space="preserve">5. ¿Han transcurrido más de dos años desde el siniestro sin pago (activación del suelo del 20 % anual)?</w:t>
      </w:r>
    </w:p>
    <w:p>
      <w:pPr>
        <w:pStyle w:val="ListParagraph"/>
        <w:numPr>
          <w:ilvl w:val="0"/>
          <w:numId w:val="2"/>
        </w:numPr>
        <w:spacing w:after="100" w:line="290"/>
      </w:pPr>
      <w:r>
        <w:rPr>
          <w:rFonts w:ascii="Archivo" w:cs="Archivo" w:eastAsia="Archivo" w:hAnsi="Archivo"/>
          <w:sz w:val="21"/>
          <w:szCs w:val="21"/>
        </w:rPr>
        <w:t xml:space="preserve">6. ¿Se han calculado correctamente los intereses por tramos temporales?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JIMÉNEZ BAUTISTA, S., «Los intereses de mora de las aseguradoras, artículo 20 de la Ley del Contrato de Seguro: examen especial de la consignación», Boletín del Ministerio de Justicia, vol. 57, núm. 1942, 2003, pp. 1773-1800.</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21. </w:t>
      </w:r>
      <w:r>
        <w:rPr>
          <w:rFonts w:ascii="Fraunces" w:cs="Fraunces" w:eastAsia="Fraunces" w:hAnsi="Fraunces"/>
          <w:b/>
          <w:bCs/>
          <w:color w:val="0A2540"/>
          <w:sz w:val="30"/>
          <w:szCs w:val="30"/>
        </w:rPr>
        <w:t xml:space="preserve">Dolo y culpa grave: causas de exoneración del asegurador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21.1. Sistemática general: dolo, mala fe y culpa grave en la LCS</w:t>
            </w:r>
          </w:p>
          <w:p>
            <w:pPr>
              <w:spacing w:after="40" w:line="260"/>
            </w:pPr>
            <w:r>
              <w:rPr>
                <w:rFonts w:ascii="Archivo" w:cs="Archivo" w:eastAsia="Archivo" w:hAnsi="Archivo"/>
                <w:sz w:val="18"/>
                <w:szCs w:val="18"/>
              </w:rPr>
              <w:t xml:space="preserve">21.2. El estándar probatorio: la carga de la prueba corresponde al asegurador</w:t>
            </w:r>
          </w:p>
          <w:p>
            <w:pPr>
              <w:spacing w:after="40" w:line="260"/>
            </w:pPr>
            <w:r>
              <w:rPr>
                <w:rFonts w:ascii="Archivo" w:cs="Archivo" w:eastAsia="Archivo" w:hAnsi="Archivo"/>
                <w:sz w:val="18"/>
                <w:szCs w:val="18"/>
              </w:rPr>
              <w:t xml:space="preserve">21.3. La exigencia de nexo causal entre el dolo y el siniestro</w:t>
            </w:r>
          </w:p>
          <w:p>
            <w:pPr>
              <w:spacing w:after="40" w:line="260"/>
            </w:pPr>
            <w:r>
              <w:rPr>
                <w:rFonts w:ascii="Archivo" w:cs="Archivo" w:eastAsia="Archivo" w:hAnsi="Archivo"/>
                <w:sz w:val="18"/>
                <w:szCs w:val="18"/>
              </w:rPr>
              <w:t xml:space="preserve">21.4. El umbral de la culpa grave frente a la negligencia simple</w:t>
            </w:r>
          </w:p>
          <w:p>
            <w:pPr>
              <w:spacing w:after="40" w:line="260"/>
            </w:pPr>
            <w:r>
              <w:rPr>
                <w:rFonts w:ascii="Archivo" w:cs="Archivo" w:eastAsia="Archivo" w:hAnsi="Archivo"/>
                <w:sz w:val="18"/>
                <w:szCs w:val="18"/>
              </w:rPr>
              <w:t xml:space="preserve">21.5. Proyección sobre las distintas coberturas del hogar</w:t>
            </w:r>
          </w:p>
          <w:p>
            <w:pPr>
              <w:spacing w:after="40" w:line="260"/>
            </w:pPr>
            <w:r>
              <w:rPr>
                <w:rFonts w:ascii="Archivo" w:cs="Archivo" w:eastAsia="Archivo" w:hAnsi="Archivo"/>
                <w:sz w:val="18"/>
                <w:szCs w:val="18"/>
              </w:rPr>
              <w:t xml:space="preserve">21.6. Ficha para el profesional</w:t>
            </w:r>
          </w:p>
          <w:p>
            <w:pPr>
              <w:spacing w:after="40" w:line="260"/>
            </w:pPr>
            <w:r>
              <w:rPr>
                <w:rFonts w:ascii="Archivo" w:cs="Archivo" w:eastAsia="Archivo" w:hAnsi="Archivo"/>
                <w:sz w:val="18"/>
                <w:szCs w:val="18"/>
              </w:rPr>
              <w:t xml:space="preserve">21.7. Ficha para el asegurado</w:t>
            </w:r>
          </w:p>
          <w:p>
            <w:pPr>
              <w:spacing w:after="40" w:line="260"/>
            </w:pPr>
            <w:r>
              <w:rPr>
                <w:rFonts w:ascii="Archivo" w:cs="Archivo" w:eastAsia="Archivo" w:hAnsi="Archivo"/>
                <w:sz w:val="18"/>
                <w:szCs w:val="18"/>
              </w:rPr>
              <w:t xml:space="preserve">21.8. Checklist: análisis de una imputación de dolo o culpa grave</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tratamiento del dolo y la culpa grave como causas de exoneración del asegurador a lo largo de la LCS —arts. 19, 48 y 52, entre otros—, con atención especial a dos reglas jurisprudenciales de aplicación transversal: la carga de la prueba del dolo o la culpa grave corresponde siempre a quien los invoca, es decir, al asegurador, y dicha prueba debe extenderse tanto a la conducta subjetivamente reprochable como a su nexo causal específico con el siniestro finalmente producido.</w:t>
            </w:r>
          </w:p>
          <w:p>
            <w:pPr>
              <w:spacing w:after="160"/>
            </w:pPr>
            <w:r>
              <w:rPr>
                <w:rFonts w:ascii="Archivo" w:cs="Archivo" w:eastAsia="Archivo" w:hAnsi="Archivo"/>
                <w:b/>
                <w:bCs/>
                <w:sz w:val="17"/>
                <w:szCs w:val="17"/>
              </w:rPr>
              <w:t xml:space="preserve">Palabras clave: dolo, mala fe, culpa grave, art. 19 LCS, carga de la prueba, nexo causal.</w:t>
            </w:r>
          </w:p>
          <w:p>
            <w:pPr>
              <w:spacing w:after="100"/>
              <w:jc w:val="both"/>
            </w:pPr>
            <w:r>
              <w:rPr>
                <w:rFonts w:ascii="Archivo" w:cs="Archivo" w:eastAsia="Archivo" w:hAnsi="Archivo"/>
                <w:i/>
                <w:iCs/>
                <w:sz w:val="18"/>
                <w:szCs w:val="18"/>
              </w:rPr>
              <w:t xml:space="preserve">This chapter systematises the treatment of wilful misconduct and gross negligence as grounds for insurer exoneration throughout the Insurance Contract Act — Articles 19, 48 and 52, among others — focusing on two cross-cutting case-law rules: the burden of proving wilful misconduct or gross negligence always falls on the party invoking it, namely the insurer, and that proof must extend both to the subjectively reprehensible conduct and to its specific causal link with the loss that actually occurred.</w:t>
            </w:r>
          </w:p>
          <w:p>
            <w:pPr>
              <w:spacing w:after="0"/>
            </w:pPr>
            <w:r>
              <w:rPr>
                <w:rFonts w:ascii="Archivo" w:cs="Archivo" w:eastAsia="Archivo" w:hAnsi="Archivo"/>
                <w:b/>
                <w:bCs/>
                <w:sz w:val="17"/>
                <w:szCs w:val="17"/>
              </w:rPr>
              <w:t xml:space="preserve">Keywords: wilful misconduct, bad faith, gross negligence, burden of proof, causation.</w:t>
            </w:r>
          </w:p>
        </w:tc>
      </w:tr>
    </w:tbl>
    <w:p>
      <w:pPr>
        <w:spacing w:after="200"/>
      </w:pPr>
    </w:p>
    <w:p>
      <w:pPr>
        <w:pStyle w:val="Heading2"/>
        <w:spacing w:after="160" w:before="400"/>
      </w:pPr>
      <w:r>
        <w:rPr>
          <w:rFonts w:ascii="Fraunces" w:cs="Fraunces" w:eastAsia="Fraunces" w:hAnsi="Fraunces"/>
          <w:b/>
          <w:bCs/>
          <w:color w:val="0A2540"/>
          <w:sz w:val="24"/>
          <w:szCs w:val="24"/>
        </w:rPr>
        <w:t xml:space="preserve">21.1. Sistemática general: dolo, mala fe y culpa grave en la LCS</w:t>
      </w:r>
    </w:p>
    <w:p>
      <w:pPr>
        <w:spacing w:after="180" w:line="300"/>
        <w:jc w:val="both"/>
      </w:pPr>
      <w:r>
        <w:rPr>
          <w:rFonts w:ascii="Archivo" w:cs="Archivo" w:eastAsia="Archivo" w:hAnsi="Archivo"/>
          <w:sz w:val="21"/>
          <w:szCs w:val="21"/>
        </w:rPr>
        <w:t xml:space="preserve">La LCS emplea, a lo largo de su articulado, una terminología que conviene sistematizar antes de entrar en el análisis probatorio: «mala fe» (art. 19 LCS, regla general del seguro de daños), «dolo o culpa grave» (arts. 10, 11, 12, 48 y 52 LCS, entre otros, en contextos más específicos), términos que la doctrina y la jurisprudencia consideran, en lo sustancial, equivalentes a efectos de exoneración del asegurador, aunque con matices de umbral según el precepto y la cobertura concreta de que se trate</w:t>
      </w:r>
      <w:r>
        <w:rPr>
          <w:rStyle w:val="FootnoteReference"/>
        </w:rPr>
        <w:footnoteReference w:id="5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Se trata de la norma más severa de todo el sistema: exige la provocación intencionada del propio siniestro por el asegurado, sin que la negligencia, por grave que sea, baste por sí sola para exonerar al asegurador bajo este precepto general (a diferencia de lo que ocurre en el régimen específico del seguro de incendio y del seguro de robo, según se expone en el epígrafe 21.4).</w:t>
      </w:r>
    </w:p>
    <w:p>
      <w:pPr>
        <w:pStyle w:val="Heading2"/>
        <w:spacing w:after="160" w:before="400"/>
      </w:pPr>
      <w:r>
        <w:rPr>
          <w:rFonts w:ascii="Fraunces" w:cs="Fraunces" w:eastAsia="Fraunces" w:hAnsi="Fraunces"/>
          <w:b/>
          <w:bCs/>
          <w:color w:val="0A2540"/>
          <w:sz w:val="24"/>
          <w:szCs w:val="24"/>
        </w:rPr>
        <w:t xml:space="preserve">21.2. El estándar probatorio: la carga de la prueba corresponde al asegurador</w:t>
      </w:r>
    </w:p>
    <w:p>
      <w:pPr>
        <w:spacing w:after="180" w:line="300"/>
        <w:jc w:val="both"/>
      </w:pPr>
      <w:r>
        <w:rPr>
          <w:rFonts w:ascii="Archivo" w:cs="Archivo" w:eastAsia="Archivo" w:hAnsi="Archivo"/>
          <w:sz w:val="21"/>
          <w:szCs w:val="21"/>
        </w:rPr>
        <w:t xml:space="preserve">La regla probatoria aplicable a toda invocación de dolo o culpa grave por la aseguradora es de una claridad meridiana en la jurisprudencia reciente, y constituye, junto con la doctrina sobre cláusulas limitativas del capítulo 1, uno de los pilares de protección del asegurado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17 de julio de 2012 (ROJ: STS 5990/2012; ECLI:ES:TS:2012:5990; MP: Arroyo Fiestas)</w:t>
            </w:r>
          </w:p>
          <w:p>
            <w:pPr>
              <w:spacing w:after="0" w:line="280"/>
              <w:jc w:val="both"/>
            </w:pPr>
            <w:r>
              <w:rPr>
                <w:rFonts w:ascii="Archivo" w:cs="Archivo" w:eastAsia="Archivo" w:hAnsi="Archivo"/>
                <w:color w:val="0A2540"/>
                <w:sz w:val="19"/>
                <w:szCs w:val="19"/>
              </w:rPr>
              <w:t xml:space="preserve">«El propio art. 48 LCS [...] solo exime al asegurador de su obligación de indemnizar los daños cuando el incendio ‘se origine por dolo o culpa grave del asegurado’, lo que exige probar no solo el dolo o la culpa grave del asegurado sino también su relación causal con el origen del incendio, incumbiendo al asegurador, según la doctrina científica y la jurisprudencia, la carga de esta prueba. [...] Si no consta probado que el incendio haya sido provocado, directa ni indirectamente, por el asegurado no se da el supuesto contemplado en la norma [...], y huelga discurrir acerca del dolo o culpa grave del asegurado y del nexo causal.»</w:t>
            </w:r>
          </w:p>
        </w:tc>
      </w:tr>
    </w:tbl>
    <w:p>
      <w:pPr>
        <w:spacing w:after="180" w:line="300"/>
        <w:jc w:val="both"/>
      </w:pPr>
      <w:r>
        <w:rPr>
          <w:rFonts w:ascii="Archivo" w:cs="Archivo" w:eastAsia="Archivo" w:hAnsi="Archivo"/>
          <w:sz w:val="21"/>
          <w:szCs w:val="21"/>
        </w:rPr>
        <w:t xml:space="preserve">De esta doctrina se extrae una regla de aplicación general a cualquier cobertura del hogar: no basta con que existan indicios de que el siniestro pudo ser provocado —por ejemplo, la presencia de trazas de un acelerante en un incendio—; es necesario que la aseguradora acredite, con la certeza exigible en el proceso civil, tanto la conducta dolosa o gravemente negligente como su autoría por el asegurado. Indicios débiles, ambiguos o que «abren el campo más a las dudas y a las hipótesis» que a la certeza —en los términos empleados por la propia sentencia— no son suficientes para exonerar al asegurador de su obligación de indemnizar.</w:t>
      </w:r>
    </w:p>
    <w:p>
      <w:pPr>
        <w:pStyle w:val="Heading2"/>
        <w:spacing w:after="160" w:before="400"/>
      </w:pPr>
      <w:r>
        <w:rPr>
          <w:rFonts w:ascii="Fraunces" w:cs="Fraunces" w:eastAsia="Fraunces" w:hAnsi="Fraunces"/>
          <w:b/>
          <w:bCs/>
          <w:color w:val="0A2540"/>
          <w:sz w:val="24"/>
          <w:szCs w:val="24"/>
        </w:rPr>
        <w:t xml:space="preserve">21.3. La exigencia de nexo causal entre el dolo y el siniestro</w:t>
      </w:r>
    </w:p>
    <w:p>
      <w:pPr>
        <w:spacing w:after="180" w:line="300"/>
        <w:jc w:val="both"/>
      </w:pPr>
      <w:r>
        <w:rPr>
          <w:rFonts w:ascii="Archivo" w:cs="Archivo" w:eastAsia="Archivo" w:hAnsi="Archivo"/>
          <w:sz w:val="21"/>
          <w:szCs w:val="21"/>
        </w:rPr>
        <w:t xml:space="preserve">Como se anticipó en el capítulo 13 a propósito de la STS 1544/2023 (ROJ: STS 1544/2023), la exigencia de nexo causal no se limita a la autoría material del hecho inicial, sino que debe extenderse específicamente al resultado dañoso finalmente producido. La distinción es sutil pero decisiva: un acto inicial voluntario o incluso doloso (por ejemplo, sustraer combustible) no determina automáticamente la calificación dolosa del siniestro final (el incendio subsiguiente) si este último no fue querido ni siquiera aceptado como consecuencia altamente probable de aquel. El profesional debe, por ello, descomponer analíticamente la cadena causal completa del siniestro antes de aceptar o rechazar una imputación de dolo formulada por la aseguradora.</w:t>
      </w:r>
    </w:p>
    <w:p>
      <w:pPr>
        <w:spacing w:after="180" w:line="300"/>
        <w:jc w:val="both"/>
      </w:pPr>
      <w:r>
        <w:rPr>
          <w:rFonts w:ascii="Archivo" w:cs="Archivo" w:eastAsia="Archivo" w:hAnsi="Archivo"/>
          <w:sz w:val="21"/>
          <w:szCs w:val="21"/>
        </w:rPr>
        <w:t xml:space="preserve">Esta regla no nace con la STS 1544/2023, sino que reitera una doctrina consolidada casi dos décadas antes, formulada con particular claridad a propósito de un seguro de accidentes pero de proyección general sobre el requisito de la «intencionalidad»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7 de julio de 2006 (ROJ: STS 5884/2006; ECLI:ES:TS:2006:5884; MP: Xiol Ríos)</w:t>
            </w:r>
          </w:p>
          <w:p>
            <w:pPr>
              <w:spacing w:after="0" w:line="280"/>
              <w:jc w:val="both"/>
            </w:pPr>
            <w:r>
              <w:rPr>
                <w:rFonts w:ascii="Archivo" w:cs="Archivo" w:eastAsia="Archivo" w:hAnsi="Archivo"/>
                <w:color w:val="0A2540"/>
                <w:sz w:val="19"/>
                <w:szCs w:val="19"/>
              </w:rPr>
              <w:t xml:space="preserve">«La intencionalidad que exige la LCS para que concurra esta exclusión no se refiere en abstracto a cualquier conducta de la que se siga el resultado del siniestro, sino a la causación o provocación de éste [...]. [E]sto es, los supuestos de dolo directo o eventual sobre el resultado, sin extenderlo a supuestos en que se comete intencionadamente una infracción, pero no se persigue la consecuencia dañosa producida o no se asume o representa como altamente probable. No todo supuesto de dolo penal, en su modalidad de dolo eventual, comporta dolo del asegurado equivalente a la producción intencional del siniestro [...]. La exclusión de las conductas dolosas del ámbito del seguro no responde [...] como un reproche de la conducta en sí misma, sino en cuanto integra una intencionalidad del asegurado en la provocación del siniestro.»</w:t>
            </w:r>
          </w:p>
        </w:tc>
      </w:tr>
    </w:tbl>
    <w:p>
      <w:pPr>
        <w:spacing w:after="180" w:line="300"/>
        <w:jc w:val="both"/>
      </w:pPr>
      <w:r>
        <w:rPr>
          <w:rFonts w:ascii="Archivo" w:cs="Archivo" w:eastAsia="Archivo" w:hAnsi="Archivo"/>
          <w:sz w:val="21"/>
          <w:szCs w:val="21"/>
        </w:rPr>
        <w:t xml:space="preserve">Esta doctrina de 2006 —que distingue con precisión el dolo referido a una conducta arriesgada o incluso ilícita del dolo referido específicamente al resultado dañoso— es el precedente directo sobre el que se construye la más reciente STS 1544/2023 en materia de responsabilidad civil del hogar, y resulta de particular utilidad práctica en los siniestros protagonizados por menores convivientes, en los que con frecuencia concurre un acto inicial imprudente o incluso deliberado (un juego de riesgo, la manipulación de un objeto peligroso) sin que el resultado dañoso final haya sido ni querido ni aceptado como probable</w:t>
      </w:r>
      <w:r>
        <w:rPr>
          <w:rStyle w:val="FootnoteReference"/>
        </w:rPr>
        <w:footnoteReference w:id="52"/>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21.4. El umbral de la culpa grave frente a la negligencia simple</w:t>
      </w:r>
    </w:p>
    <w:p>
      <w:pPr>
        <w:spacing w:after="180" w:line="300"/>
        <w:jc w:val="both"/>
      </w:pPr>
      <w:r>
        <w:rPr>
          <w:rFonts w:ascii="Archivo" w:cs="Archivo" w:eastAsia="Archivo" w:hAnsi="Archivo"/>
          <w:sz w:val="21"/>
          <w:szCs w:val="21"/>
        </w:rPr>
        <w:t xml:space="preserve">Como se estudió en los capítulos 7 y 9, el umbral de imputación subjetiva varía según la cobertura y el precepto aplicable, lo que exige al profesional identificar con precisión cuál es el estándar exigible en cada caso concreto:</w:t>
      </w:r>
    </w:p>
    <w:p>
      <w:pPr>
        <w:pStyle w:val="ListParagraph"/>
        <w:numPr>
          <w:ilvl w:val="0"/>
          <w:numId w:val="2"/>
        </w:numPr>
        <w:spacing w:after="100" w:line="290"/>
      </w:pPr>
      <w:r>
        <w:rPr>
          <w:rFonts w:ascii="Archivo" w:cs="Archivo" w:eastAsia="Archivo" w:hAnsi="Archivo"/>
          <w:b/>
          <w:bCs/>
          <w:sz w:val="21"/>
          <w:szCs w:val="21"/>
        </w:rPr>
        <w:t xml:space="preserve">Régimen general del art. 19 LCS: </w:t>
      </w:r>
      <w:r>
        <w:rPr>
          <w:rFonts w:ascii="Archivo" w:cs="Archivo" w:eastAsia="Archivo" w:hAnsi="Archivo"/>
          <w:sz w:val="21"/>
          <w:szCs w:val="21"/>
        </w:rPr>
        <w:t xml:space="preserve">solo la mala fe (dolo) exonera; la negligencia, incluso grave, no exonera bajo este precepto en su formulación general.</w:t>
      </w:r>
    </w:p>
    <w:p>
      <w:pPr>
        <w:pStyle w:val="ListParagraph"/>
        <w:numPr>
          <w:ilvl w:val="0"/>
          <w:numId w:val="2"/>
        </w:numPr>
        <w:spacing w:after="100" w:line="290"/>
      </w:pPr>
      <w:r>
        <w:rPr>
          <w:rFonts w:ascii="Archivo" w:cs="Archivo" w:eastAsia="Archivo" w:hAnsi="Archivo"/>
          <w:b/>
          <w:bCs/>
          <w:sz w:val="21"/>
          <w:szCs w:val="21"/>
        </w:rPr>
        <w:t xml:space="preserve">Seguro de incendio (art. 48 LCS): </w:t>
      </w:r>
      <w:r>
        <w:rPr>
          <w:rFonts w:ascii="Archivo" w:cs="Archivo" w:eastAsia="Archivo" w:hAnsi="Archivo"/>
          <w:sz w:val="21"/>
          <w:szCs w:val="21"/>
        </w:rPr>
        <w:t xml:space="preserve">el dolo o la culpa grave exoneran; la negligencia leve o simple, incluso propia del asegurado, está expresamente cubierta.</w:t>
      </w:r>
    </w:p>
    <w:p>
      <w:pPr>
        <w:pStyle w:val="ListParagraph"/>
        <w:numPr>
          <w:ilvl w:val="0"/>
          <w:numId w:val="2"/>
        </w:numPr>
        <w:spacing w:after="100" w:line="290"/>
      </w:pPr>
      <w:r>
        <w:rPr>
          <w:rFonts w:ascii="Archivo" w:cs="Archivo" w:eastAsia="Archivo" w:hAnsi="Archivo"/>
          <w:b/>
          <w:bCs/>
          <w:sz w:val="21"/>
          <w:szCs w:val="21"/>
        </w:rPr>
        <w:t xml:space="preserve">Seguro de robo (art. 52.1.ª LCS): </w:t>
      </w:r>
      <w:r>
        <w:rPr>
          <w:rFonts w:ascii="Archivo" w:cs="Archivo" w:eastAsia="Archivo" w:hAnsi="Archivo"/>
          <w:sz w:val="21"/>
          <w:szCs w:val="21"/>
        </w:rPr>
        <w:t xml:space="preserve">la negligencia grave, no solo el dolo, exonera al asegurador, umbral más exigente para el asegurado que en el régimen del incendio.</w:t>
      </w:r>
    </w:p>
    <w:p>
      <w:pPr>
        <w:pStyle w:val="ListParagraph"/>
        <w:numPr>
          <w:ilvl w:val="0"/>
          <w:numId w:val="2"/>
        </w:numPr>
        <w:spacing w:after="100" w:line="290"/>
      </w:pPr>
      <w:r>
        <w:rPr>
          <w:rFonts w:ascii="Archivo" w:cs="Archivo" w:eastAsia="Archivo" w:hAnsi="Archivo"/>
          <w:b/>
          <w:bCs/>
          <w:sz w:val="21"/>
          <w:szCs w:val="21"/>
        </w:rPr>
        <w:t xml:space="preserve">Deber de declaración del riesgo (art. 10 LCS) y agravación (art. 11-12 LCS): </w:t>
      </w:r>
      <w:r>
        <w:rPr>
          <w:rFonts w:ascii="Archivo" w:cs="Archivo" w:eastAsia="Archivo" w:hAnsi="Archivo"/>
          <w:sz w:val="21"/>
          <w:szCs w:val="21"/>
        </w:rPr>
        <w:t xml:space="preserve">el dolo o la culpa grave determinan la liberación total; la reserva o inexactitud sin dolo ni culpa grave da lugar únicamente a reducción proporcional (capítulo 4).</w:t>
      </w:r>
    </w:p>
    <w:p>
      <w:pPr>
        <w:spacing w:after="180" w:line="300"/>
        <w:jc w:val="both"/>
      </w:pPr>
      <w:r>
        <w:rPr>
          <w:rFonts w:ascii="Archivo" w:cs="Archivo" w:eastAsia="Archivo" w:hAnsi="Archivo"/>
          <w:sz w:val="21"/>
          <w:szCs w:val="21"/>
        </w:rPr>
        <w:t xml:space="preserve">Esta heterogeneidad de umbrales, lejos de ser una incoherencia del sistema, refleja una ponderación legislativa deliberada del distinto grado de control que el asegurado puede razonablemente ejercer sobre cada tipo de riesgo: mayor tolerancia a la negligencia propia en el incendio (donde el origen accidental es estadísticamente más frecuente) y mayor exigencia de diligencia en el robo (donde las medidas de precaución del propio asegurado inciden más directamente en la probabilidad de siniestro).</w:t>
      </w:r>
    </w:p>
    <w:p>
      <w:pPr>
        <w:pStyle w:val="Heading2"/>
        <w:spacing w:after="160" w:before="400"/>
      </w:pPr>
      <w:r>
        <w:rPr>
          <w:rFonts w:ascii="Fraunces" w:cs="Fraunces" w:eastAsia="Fraunces" w:hAnsi="Fraunces"/>
          <w:b/>
          <w:bCs/>
          <w:color w:val="0A2540"/>
          <w:sz w:val="24"/>
          <w:szCs w:val="24"/>
        </w:rPr>
        <w:t xml:space="preserve">21.5. Proyección sobre las distintas coberturas del hogar</w:t>
      </w:r>
    </w:p>
    <w:p>
      <w:pPr>
        <w:spacing w:after="180" w:line="300"/>
        <w:jc w:val="both"/>
      </w:pPr>
      <w:r>
        <w:rPr>
          <w:rFonts w:ascii="Archivo" w:cs="Archivo" w:eastAsia="Archivo" w:hAnsi="Archivo"/>
          <w:sz w:val="21"/>
          <w:szCs w:val="21"/>
        </w:rPr>
        <w:t xml:space="preserve">La sistemática expuesta en este capítulo debe proyectarse, en cada caso concreto, sobre el régimen específico de la cobertura afectada: el capítulo 7 desarrolla su aplicación al incendio (con la doctrina de la «malquerencia de extraños»), el capítulo 9 su aplicación al robo, y el capítulo 13 su proyección —de especial complejidad— sobre la garantía de responsabilidad civil, donde la inoponibilidad de las excepciones personales del asegurador al tercero perjudicado (art. 76 LCS) determina que ni siquiera el dolo probado del asegurado sea oponible a quien reclama como perjudicado ajeno a la relación contractual.</w:t>
      </w:r>
    </w:p>
    <w:p>
      <w:pPr>
        <w:pStyle w:val="Heading2"/>
        <w:spacing w:after="160" w:before="400"/>
      </w:pPr>
      <w:r>
        <w:rPr>
          <w:rFonts w:ascii="Fraunces" w:cs="Fraunces" w:eastAsia="Fraunces" w:hAnsi="Fraunces"/>
          <w:b/>
          <w:bCs/>
          <w:color w:val="0A2540"/>
          <w:sz w:val="24"/>
          <w:szCs w:val="24"/>
        </w:rPr>
        <w:t xml:space="preserve">21.6.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imputación de dolo o culpa grave</w:t>
            </w:r>
          </w:p>
          <w:p>
            <w:pPr>
              <w:pStyle w:val="ListParagraph"/>
              <w:numPr>
                <w:ilvl w:val="0"/>
                <w:numId w:val="2"/>
              </w:numPr>
              <w:spacing w:after="80" w:line="280"/>
            </w:pPr>
            <w:r>
              <w:rPr>
                <w:rFonts w:ascii="Archivo" w:cs="Archivo" w:eastAsia="Archivo" w:hAnsi="Archivo"/>
                <w:sz w:val="19"/>
                <w:szCs w:val="19"/>
              </w:rPr>
              <w:t xml:space="preserve">Identificar el precepto exacto aplicable (art. 19, 48, 52, 10 u 11-12 LCS) y el umbral subjetivo específico que exige (solo dolo, o dolo y culpa grave).</w:t>
            </w:r>
          </w:p>
          <w:p>
            <w:pPr>
              <w:pStyle w:val="ListParagraph"/>
              <w:numPr>
                <w:ilvl w:val="0"/>
                <w:numId w:val="2"/>
              </w:numPr>
              <w:spacing w:after="80" w:line="280"/>
            </w:pPr>
            <w:r>
              <w:rPr>
                <w:rFonts w:ascii="Archivo" w:cs="Archivo" w:eastAsia="Archivo" w:hAnsi="Archivo"/>
                <w:sz w:val="19"/>
                <w:szCs w:val="19"/>
              </w:rPr>
              <w:t xml:space="preserve">Exigir a la aseguradora prueba cumplida, no meramente indiciaria o ambigua, tanto de la conducta reprochable como de su nexo causal específico con el siniestro (STS 5990/2012, ROJ: STS 5990/2012).</w:t>
            </w:r>
          </w:p>
          <w:p>
            <w:pPr>
              <w:pStyle w:val="ListParagraph"/>
              <w:numPr>
                <w:ilvl w:val="0"/>
                <w:numId w:val="2"/>
              </w:numPr>
              <w:spacing w:after="80" w:line="280"/>
            </w:pPr>
            <w:r>
              <w:rPr>
                <w:rFonts w:ascii="Archivo" w:cs="Archivo" w:eastAsia="Archivo" w:hAnsi="Archivo"/>
                <w:sz w:val="19"/>
                <w:szCs w:val="19"/>
              </w:rPr>
              <w:t xml:space="preserve">Descomponer la cadena causal del siniestro cuando exista un acto inicial voluntario, para determinar si el dolo alcanza también al resultado dañoso finalmente producido, conforme a la doctrina fundacional de la STS 5884/2006 (ROJ: STS 5884/2006), reiterada por la STS 1544/2023.</w:t>
            </w:r>
          </w:p>
          <w:p>
            <w:pPr>
              <w:pStyle w:val="ListParagraph"/>
              <w:numPr>
                <w:ilvl w:val="0"/>
                <w:numId w:val="2"/>
              </w:numPr>
              <w:spacing w:after="80" w:line="280"/>
            </w:pPr>
            <w:r>
              <w:rPr>
                <w:rFonts w:ascii="Archivo" w:cs="Archivo" w:eastAsia="Archivo" w:hAnsi="Archivo"/>
                <w:sz w:val="19"/>
                <w:szCs w:val="19"/>
              </w:rPr>
              <w:t xml:space="preserve">En coberturas de responsabilidad civil, recordar la inoponibilidad al tercero perjudicado del dolo del asegurado (art. 76 LCS, capítulo 13), con independencia de su eventual prueba en la relación interna asegurador-asegurado.</w:t>
            </w:r>
          </w:p>
        </w:tc>
      </w:tr>
    </w:tbl>
    <w:p>
      <w:pPr>
        <w:pStyle w:val="Heading2"/>
        <w:spacing w:after="160" w:before="400"/>
      </w:pPr>
      <w:r>
        <w:rPr>
          <w:rFonts w:ascii="Fraunces" w:cs="Fraunces" w:eastAsia="Fraunces" w:hAnsi="Fraunces"/>
          <w:b/>
          <w:bCs/>
          <w:color w:val="0A2540"/>
          <w:sz w:val="24"/>
          <w:szCs w:val="24"/>
        </w:rPr>
        <w:t xml:space="preserve">21.7.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si le imputan dolo o mala fe</w:t>
            </w:r>
          </w:p>
          <w:p>
            <w:pPr>
              <w:pStyle w:val="ListParagraph"/>
              <w:numPr>
                <w:ilvl w:val="0"/>
                <w:numId w:val="2"/>
              </w:numPr>
              <w:spacing w:after="80" w:line="280"/>
            </w:pPr>
            <w:r>
              <w:rPr>
                <w:rFonts w:ascii="Archivo" w:cs="Archivo" w:eastAsia="Archivo" w:hAnsi="Archivo"/>
                <w:sz w:val="19"/>
                <w:szCs w:val="19"/>
              </w:rPr>
              <w:t xml:space="preserve">No basta con que la aseguradora sospeche o alegue que usted provocó el siniestro: debe probarlo con certeza, no con meras conjeturas.</w:t>
            </w:r>
          </w:p>
          <w:p>
            <w:pPr>
              <w:pStyle w:val="ListParagraph"/>
              <w:numPr>
                <w:ilvl w:val="0"/>
                <w:numId w:val="2"/>
              </w:numPr>
              <w:spacing w:after="80" w:line="280"/>
            </w:pPr>
            <w:r>
              <w:rPr>
                <w:rFonts w:ascii="Archivo" w:cs="Archivo" w:eastAsia="Archivo" w:hAnsi="Archivo"/>
                <w:sz w:val="19"/>
                <w:szCs w:val="19"/>
              </w:rPr>
              <w:t xml:space="preserve">Si existió algún acto voluntario suyo relacionado con el siniestro, pero no quiso ni pudo prever razonablemente el resultado dañoso final, eso no equivale automáticamente a dolo respecto de ese resultado.</w:t>
            </w:r>
          </w:p>
          <w:p>
            <w:pPr>
              <w:pStyle w:val="ListParagraph"/>
              <w:numPr>
                <w:ilvl w:val="0"/>
                <w:numId w:val="2"/>
              </w:numPr>
              <w:spacing w:after="80" w:line="280"/>
            </w:pPr>
            <w:r>
              <w:rPr>
                <w:rFonts w:ascii="Archivo" w:cs="Archivo" w:eastAsia="Archivo" w:hAnsi="Archivo"/>
                <w:sz w:val="19"/>
                <w:szCs w:val="19"/>
              </w:rPr>
              <w:t xml:space="preserve">Consulte a un profesional antes de aceptar una denegación de cobertura basada en dolo o culpa grave: es una de las causas de exoneración más exigentes de probar para la aseguradora.</w:t>
            </w:r>
          </w:p>
        </w:tc>
      </w:tr>
    </w:tbl>
    <w:p>
      <w:pPr>
        <w:pStyle w:val="Heading2"/>
        <w:spacing w:after="160" w:before="400"/>
      </w:pPr>
      <w:r>
        <w:rPr>
          <w:rFonts w:ascii="Fraunces" w:cs="Fraunces" w:eastAsia="Fraunces" w:hAnsi="Fraunces"/>
          <w:b/>
          <w:bCs/>
          <w:color w:val="0A2540"/>
          <w:sz w:val="24"/>
          <w:szCs w:val="24"/>
        </w:rPr>
        <w:t xml:space="preserve">21.8. Checklist: análisis de una imputación de dolo o culpa grave</w:t>
      </w:r>
    </w:p>
    <w:p>
      <w:pPr>
        <w:pStyle w:val="ListParagraph"/>
        <w:numPr>
          <w:ilvl w:val="0"/>
          <w:numId w:val="2"/>
        </w:numPr>
        <w:spacing w:after="100" w:line="290"/>
      </w:pPr>
      <w:r>
        <w:rPr>
          <w:rFonts w:ascii="Archivo" w:cs="Archivo" w:eastAsia="Archivo" w:hAnsi="Archivo"/>
          <w:sz w:val="21"/>
          <w:szCs w:val="21"/>
        </w:rPr>
        <w:t xml:space="preserve">1. ¿Qué precepto invoca la aseguradora (art. 19, 48, 52, 10 u 11-12 LCS) y qué umbral exige?</w:t>
      </w:r>
    </w:p>
    <w:p>
      <w:pPr>
        <w:pStyle w:val="ListParagraph"/>
        <w:numPr>
          <w:ilvl w:val="0"/>
          <w:numId w:val="2"/>
        </w:numPr>
        <w:spacing w:after="100" w:line="290"/>
      </w:pPr>
      <w:r>
        <w:rPr>
          <w:rFonts w:ascii="Archivo" w:cs="Archivo" w:eastAsia="Archivo" w:hAnsi="Archivo"/>
          <w:sz w:val="21"/>
          <w:szCs w:val="21"/>
        </w:rPr>
        <w:t xml:space="preserve">2. ¿Qué prueba concreta aporta la aseguradora de la conducta reprochable?</w:t>
      </w:r>
    </w:p>
    <w:p>
      <w:pPr>
        <w:pStyle w:val="ListParagraph"/>
        <w:numPr>
          <w:ilvl w:val="0"/>
          <w:numId w:val="2"/>
        </w:numPr>
        <w:spacing w:after="100" w:line="290"/>
      </w:pPr>
      <w:r>
        <w:rPr>
          <w:rFonts w:ascii="Archivo" w:cs="Archivo" w:eastAsia="Archivo" w:hAnsi="Archivo"/>
          <w:sz w:val="21"/>
          <w:szCs w:val="21"/>
        </w:rPr>
        <w:t xml:space="preserve">3. ¿Prueba también el nexo causal específico entre esa conducta y el siniestro finalmente producido?</w:t>
      </w:r>
    </w:p>
    <w:p>
      <w:pPr>
        <w:pStyle w:val="ListParagraph"/>
        <w:numPr>
          <w:ilvl w:val="0"/>
          <w:numId w:val="2"/>
        </w:numPr>
        <w:spacing w:after="100" w:line="290"/>
      </w:pPr>
      <w:r>
        <w:rPr>
          <w:rFonts w:ascii="Archivo" w:cs="Archivo" w:eastAsia="Archivo" w:hAnsi="Archivo"/>
          <w:sz w:val="21"/>
          <w:szCs w:val="21"/>
        </w:rPr>
        <w:t xml:space="preserve">4. ¿Existe un acto inicial voluntario distinto del resultado dañoso final?</w:t>
      </w:r>
    </w:p>
    <w:p>
      <w:pPr>
        <w:pStyle w:val="ListParagraph"/>
        <w:numPr>
          <w:ilvl w:val="0"/>
          <w:numId w:val="2"/>
        </w:numPr>
        <w:spacing w:after="100" w:line="290"/>
      </w:pPr>
      <w:r>
        <w:rPr>
          <w:rFonts w:ascii="Archivo" w:cs="Archivo" w:eastAsia="Archivo" w:hAnsi="Archivo"/>
          <w:sz w:val="21"/>
          <w:szCs w:val="21"/>
        </w:rPr>
        <w:t xml:space="preserve">5. ¿Se trata de una cobertura de daños propios o de responsabilidad civil frente a terceros (con la consiguiente inoponibilidad del art. 76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pStyle w:val="Heading1"/>
        <w:pageBreakBefore/>
        <w:spacing w:after="300" w:before="200"/>
      </w:pPr>
      <w:r>
        <w:rPr>
          <w:rFonts w:ascii="Archivo" w:cs="Archivo" w:eastAsia="Archivo" w:hAnsi="Archivo"/>
          <w:b/>
          <w:bCs/>
          <w:color w:val="1B6DF0"/>
          <w:sz w:val="22"/>
          <w:szCs w:val="22"/>
        </w:rPr>
        <w:t xml:space="preserve">Capítulo 22. </w:t>
      </w:r>
      <w:r>
        <w:rPr>
          <w:rFonts w:ascii="Fraunces" w:cs="Fraunces" w:eastAsia="Fraunces" w:hAnsi="Fraunces"/>
          <w:b/>
          <w:bCs/>
          <w:color w:val="0A2540"/>
          <w:sz w:val="30"/>
          <w:szCs w:val="30"/>
        </w:rPr>
        <w:t xml:space="preserve">Prescripción de acciones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22.1. El plazo de dos años del art. 23 LCS</w:t>
            </w:r>
          </w:p>
          <w:p>
            <w:pPr>
              <w:spacing w:after="40" w:line="260"/>
            </w:pPr>
            <w:r>
              <w:rPr>
                <w:rFonts w:ascii="Archivo" w:cs="Archivo" w:eastAsia="Archivo" w:hAnsi="Archivo"/>
                <w:sz w:val="18"/>
                <w:szCs w:val="18"/>
              </w:rPr>
              <w:t xml:space="preserve">22.2. La interrupción de la prescripción (art. 1973 CC)</w:t>
            </w:r>
          </w:p>
          <w:p>
            <w:pPr>
              <w:spacing w:after="40" w:line="260"/>
            </w:pPr>
            <w:r>
              <w:rPr>
                <w:rFonts w:ascii="Archivo" w:cs="Archivo" w:eastAsia="Archivo" w:hAnsi="Archivo"/>
                <w:sz w:val="18"/>
                <w:szCs w:val="18"/>
              </w:rPr>
              <w:t xml:space="preserve">22.3. El dies a quo: la regla de la actio nata</w:t>
            </w:r>
          </w:p>
          <w:p>
            <w:pPr>
              <w:spacing w:after="40" w:line="260"/>
            </w:pPr>
            <w:r>
              <w:rPr>
                <w:rFonts w:ascii="Archivo" w:cs="Archivo" w:eastAsia="Archivo" w:hAnsi="Archivo"/>
                <w:sz w:val="18"/>
                <w:szCs w:val="18"/>
              </w:rPr>
              <w:t xml:space="preserve">22.4. Incidencia de un proceso penal previo sobre el cómputo</w:t>
            </w:r>
          </w:p>
          <w:p>
            <w:pPr>
              <w:spacing w:after="40" w:line="260"/>
            </w:pPr>
            <w:r>
              <w:rPr>
                <w:rFonts w:ascii="Archivo" w:cs="Archivo" w:eastAsia="Archivo" w:hAnsi="Archivo"/>
                <w:sz w:val="18"/>
                <w:szCs w:val="18"/>
              </w:rPr>
              <w:t xml:space="preserve">22.5. Prescripción de la acción de subrogación (art. 43 LCS)</w:t>
            </w:r>
          </w:p>
          <w:p>
            <w:pPr>
              <w:spacing w:after="40" w:line="260"/>
            </w:pPr>
            <w:r>
              <w:rPr>
                <w:rFonts w:ascii="Archivo" w:cs="Archivo" w:eastAsia="Archivo" w:hAnsi="Archivo"/>
                <w:sz w:val="18"/>
                <w:szCs w:val="18"/>
              </w:rPr>
              <w:t xml:space="preserve">22.6. Ficha para el profesional</w:t>
            </w:r>
          </w:p>
          <w:p>
            <w:pPr>
              <w:spacing w:after="40" w:line="260"/>
            </w:pPr>
            <w:r>
              <w:rPr>
                <w:rFonts w:ascii="Archivo" w:cs="Archivo" w:eastAsia="Archivo" w:hAnsi="Archivo"/>
                <w:sz w:val="18"/>
                <w:szCs w:val="18"/>
              </w:rPr>
              <w:t xml:space="preserve">22.7. Ficha para el asegurado</w:t>
            </w:r>
          </w:p>
          <w:p>
            <w:pPr>
              <w:spacing w:after="40" w:line="260"/>
            </w:pPr>
            <w:r>
              <w:rPr>
                <w:rFonts w:ascii="Archivo" w:cs="Archivo" w:eastAsia="Archivo" w:hAnsi="Archivo"/>
                <w:sz w:val="18"/>
                <w:szCs w:val="18"/>
              </w:rPr>
              <w:t xml:space="preserve">22.8. Checklist: cómputo del plazo de prescripción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III con el estudio de la prescripción de las acciones derivadas del contrato de seguro de hogar, fijada en dos años por el art. 23 LCS por tratarse de un seguro de daños, con atención especial a la regla de la actio nata como criterio de determinación del dies a quo y a la incidencia, frecuente en la práctica cuando el siniestro tiene origen delictivo, de un proceso penal previo sobre el cómputo del plazo civil, cuestión resuelta con precisión por una reciente sentencia de la Sala Primera recaída precisamente sobre un seguro multirriesgo de hogar.</w:t>
            </w:r>
          </w:p>
          <w:p>
            <w:pPr>
              <w:spacing w:after="160"/>
            </w:pPr>
            <w:r>
              <w:rPr>
                <w:rFonts w:ascii="Archivo" w:cs="Archivo" w:eastAsia="Archivo" w:hAnsi="Archivo"/>
                <w:b/>
                <w:bCs/>
                <w:sz w:val="17"/>
                <w:szCs w:val="17"/>
              </w:rPr>
              <w:t xml:space="preserve">Palabras clave: prescripción, art. 23 LCS, actio nata, interrupción, proceso penal previo.</w:t>
            </w:r>
          </w:p>
          <w:p>
            <w:pPr>
              <w:spacing w:after="100"/>
              <w:jc w:val="both"/>
            </w:pPr>
            <w:r>
              <w:rPr>
                <w:rFonts w:ascii="Archivo" w:cs="Archivo" w:eastAsia="Archivo" w:hAnsi="Archivo"/>
                <w:i/>
                <w:iCs/>
                <w:sz w:val="18"/>
                <w:szCs w:val="18"/>
              </w:rPr>
              <w:t xml:space="preserve">This chapter closes Part III with an examination of the limitation period for actions arising from homeowners' insurance contracts, set at two years under Article 23 of the Insurance Contract Act as a property/damage insurance line, focusing on the actio nata rule for determining the starting point and on the frequent practical question — when the loss has a criminal origin — of how prior criminal proceedings affect the running of the civil limitation period, recently clarified by the Supreme Court in a case concerning precisely a homeowners' multi-risk policy.</w:t>
            </w:r>
          </w:p>
          <w:p>
            <w:pPr>
              <w:spacing w:after="0"/>
            </w:pPr>
            <w:r>
              <w:rPr>
                <w:rFonts w:ascii="Archivo" w:cs="Archivo" w:eastAsia="Archivo" w:hAnsi="Archivo"/>
                <w:b/>
                <w:bCs/>
                <w:sz w:val="17"/>
                <w:szCs w:val="17"/>
              </w:rPr>
              <w:t xml:space="preserve">Keywords: limitation period, actio nata, interruption, prior criminal proceedings.</w:t>
            </w:r>
          </w:p>
        </w:tc>
      </w:tr>
    </w:tbl>
    <w:p>
      <w:pPr>
        <w:spacing w:after="200"/>
      </w:pPr>
    </w:p>
    <w:p>
      <w:pPr>
        <w:pStyle w:val="Heading2"/>
        <w:spacing w:after="160" w:before="400"/>
      </w:pPr>
      <w:r>
        <w:rPr>
          <w:rFonts w:ascii="Fraunces" w:cs="Fraunces" w:eastAsia="Fraunces" w:hAnsi="Fraunces"/>
          <w:b/>
          <w:bCs/>
          <w:color w:val="0A2540"/>
          <w:sz w:val="24"/>
          <w:szCs w:val="24"/>
        </w:rPr>
        <w:t xml:space="preserve">22.1. El plazo de dos años del art. 23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23 LCS</w:t>
            </w:r>
          </w:p>
          <w:p>
            <w:pPr>
              <w:spacing w:after="0" w:line="280"/>
              <w:jc w:val="both"/>
            </w:pPr>
            <w:r>
              <w:rPr>
                <w:rFonts w:ascii="IBM Plex Mono" w:cs="IBM Plex Mono" w:eastAsia="IBM Plex Mono" w:hAnsi="IBM Plex Mono"/>
                <w:i/>
                <w:iCs/>
                <w:color w:val="0A2540"/>
                <w:sz w:val="18"/>
                <w:szCs w:val="18"/>
              </w:rPr>
              <w:t xml:space="preserve">Las acciones que se deriven del contrato de seguro prescribirán en el término de dos años si se trata de seguro de daños y de cinco si el seguro es de personas.</w:t>
            </w:r>
          </w:p>
        </w:tc>
      </w:tr>
    </w:tbl>
    <w:p>
      <w:pPr>
        <w:spacing w:after="180" w:line="300"/>
        <w:jc w:val="both"/>
      </w:pPr>
      <w:r>
        <w:rPr>
          <w:rFonts w:ascii="Archivo" w:cs="Archivo" w:eastAsia="Archivo" w:hAnsi="Archivo"/>
          <w:sz w:val="21"/>
          <w:szCs w:val="21"/>
        </w:rPr>
        <w:t xml:space="preserve">El seguro de hogar, en su vertiente de daños propios (continente y contenido) y en su vertiente de responsabilidad civil, queda sometido al plazo breve de dos años, sensiblemente inferior al plazo general de cinco años de las acciones personales sin plazo especial del art. 1964 CC</w:t>
      </w:r>
      <w:r>
        <w:rPr>
          <w:rStyle w:val="FootnoteReference"/>
        </w:rPr>
        <w:footnoteReference w:id="53"/>
      </w:r>
      <w:r>
        <w:rPr>
          <w:rFonts w:ascii="Archivo" w:cs="Archivo" w:eastAsia="Archivo" w:hAnsi="Archivo"/>
          <w:sz w:val="21"/>
          <w:szCs w:val="21"/>
        </w:rPr>
        <w:t xml:space="preserve">. Este plazo se aplica tanto a la acción del asegurado frente a su propia aseguradora (reclamación de la indemnización) como, en principio, a la acción directa del tercero perjudicado frente a la aseguradora de responsabilidad civil, sin perjuicio de las especialidades de cómputo que se exponen en los epígrafes siguientes.</w:t>
      </w:r>
    </w:p>
    <w:p>
      <w:pPr>
        <w:pStyle w:val="Heading2"/>
        <w:spacing w:after="160" w:before="400"/>
      </w:pPr>
      <w:r>
        <w:rPr>
          <w:rFonts w:ascii="Fraunces" w:cs="Fraunces" w:eastAsia="Fraunces" w:hAnsi="Fraunces"/>
          <w:b/>
          <w:bCs/>
          <w:color w:val="0A2540"/>
          <w:sz w:val="24"/>
          <w:szCs w:val="24"/>
        </w:rPr>
        <w:t xml:space="preserve">22.2. La interrupción de la prescripción</w:t>
      </w:r>
    </w:p>
    <w:p>
      <w:pPr>
        <w:spacing w:after="180" w:line="300"/>
        <w:jc w:val="both"/>
      </w:pPr>
      <w:r>
        <w:rPr>
          <w:rFonts w:ascii="Archivo" w:cs="Archivo" w:eastAsia="Archivo" w:hAnsi="Archivo"/>
          <w:sz w:val="21"/>
          <w:szCs w:val="21"/>
        </w:rPr>
        <w:t xml:space="preserve">La LCS no contiene un régimen propio de interrupción de la prescripción, por lo que resulta de aplicación el régimen general del Código Civil, ya estudiado en el capítulo del Anexo IV a propósito del burofax de reclamación previa: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1973 CC</w:t>
            </w:r>
          </w:p>
          <w:p>
            <w:pPr>
              <w:spacing w:after="0" w:line="280"/>
              <w:jc w:val="both"/>
            </w:pPr>
            <w:r>
              <w:rPr>
                <w:rFonts w:ascii="IBM Plex Mono" w:cs="IBM Plex Mono" w:eastAsia="IBM Plex Mono" w:hAnsi="IBM Plex Mono"/>
                <w:i/>
                <w:iCs/>
                <w:color w:val="0A2540"/>
                <w:sz w:val="18"/>
                <w:szCs w:val="18"/>
              </w:rPr>
              <w:t xml:space="preserve">La prescripción de las acciones se interrumpe por su ejercicio ante los Tribunales, por reclamación extrajudicial del acreedor y por cualquier acto de reconocimiento de la deuda por el deudor.</w:t>
            </w:r>
          </w:p>
        </w:tc>
      </w:tr>
    </w:tbl>
    <w:p>
      <w:pPr>
        <w:spacing w:after="180" w:line="300"/>
        <w:jc w:val="both"/>
      </w:pPr>
      <w:r>
        <w:rPr>
          <w:rFonts w:ascii="Archivo" w:cs="Archivo" w:eastAsia="Archivo" w:hAnsi="Archivo"/>
          <w:sz w:val="21"/>
          <w:szCs w:val="21"/>
        </w:rPr>
        <w:t xml:space="preserve">La reclamación extrajudicial —el burofax de reclamación previa a la aseguradora, estudiado en el epígrafe correspondiente de los anexos de esta obra— interrumpe eficazmente el plazo de dos años del art. 23 LCS, comenzando este a computarse de nuevo íntegramente desde la fecha de dicha reclamación, práctica que todo profesional debe activar sistemáticamente ante cualquier expediente que se aproxime al plazo de prescripción sin resolución definitiva.</w:t>
      </w:r>
    </w:p>
    <w:p>
      <w:pPr>
        <w:pStyle w:val="Heading2"/>
        <w:spacing w:after="160" w:before="400"/>
      </w:pPr>
      <w:r>
        <w:rPr>
          <w:rFonts w:ascii="Fraunces" w:cs="Fraunces" w:eastAsia="Fraunces" w:hAnsi="Fraunces"/>
          <w:b/>
          <w:bCs/>
          <w:color w:val="0A2540"/>
          <w:sz w:val="24"/>
          <w:szCs w:val="24"/>
        </w:rPr>
        <w:t xml:space="preserve">22.3. El dies a quo: la regla de la actio nata</w:t>
      </w:r>
    </w:p>
    <w:p>
      <w:pPr>
        <w:spacing w:after="180" w:line="300"/>
        <w:jc w:val="both"/>
      </w:pPr>
      <w:r>
        <w:rPr>
          <w:rFonts w:ascii="Archivo" w:cs="Archivo" w:eastAsia="Archivo" w:hAnsi="Archivo"/>
          <w:sz w:val="21"/>
          <w:szCs w:val="21"/>
        </w:rPr>
        <w:t xml:space="preserve">El cómputo del plazo de prescripción se rige por la regla general del art. 1969 CC, que la jurisprudencia interpreta conforme al principio actio nondum nata non praescribitur (la acción que todavía no ha nacido no puede prescribir): el plazo no comienza a correr desde la mera producción del siniestro, sino desde que el titular de la acción dispone de los elementos fácticos y jurídicos necesarios para ejercitarla con posibilidades razonables de éxito, lo que en la práctica del seguro de hogar suele identificarse con el momento en que se conoce, con suficiente certeza, tanto la existencia del daño como su alcance definitivo y la identidad del obligado a indemnizar.</w:t>
      </w:r>
    </w:p>
    <w:p>
      <w:pPr>
        <w:pStyle w:val="Heading2"/>
        <w:spacing w:after="160" w:before="400"/>
      </w:pPr>
      <w:r>
        <w:rPr>
          <w:rFonts w:ascii="Fraunces" w:cs="Fraunces" w:eastAsia="Fraunces" w:hAnsi="Fraunces"/>
          <w:b/>
          <w:bCs/>
          <w:color w:val="0A2540"/>
          <w:sz w:val="24"/>
          <w:szCs w:val="24"/>
        </w:rPr>
        <w:t xml:space="preserve">22.4. Incidencia de un proceso penal previo sobre el cómputo</w:t>
      </w:r>
    </w:p>
    <w:p>
      <w:pPr>
        <w:spacing w:after="180" w:line="300"/>
        <w:jc w:val="both"/>
      </w:pPr>
      <w:r>
        <w:rPr>
          <w:rFonts w:ascii="Archivo" w:cs="Archivo" w:eastAsia="Archivo" w:hAnsi="Archivo"/>
          <w:sz w:val="21"/>
          <w:szCs w:val="21"/>
        </w:rPr>
        <w:t xml:space="preserve">Una cuestión de gran relevancia práctica en el ramo de hogar —dada la frecuencia con que un incendio, un robo o unos daños dolosos tienen origen en hechos con relevancia penal— es la de si la tramitación de un proceso penal previo suspende o retrasa el cómputo del plazo de prescripción de la acción derivada del propio contrato de seguro. La Sala Primera ha resuelto esta cuestión con notable precisión en un supuesto de seguro multirriesgo de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febrero de 2022 (ROJ: STS 517/2022; ECLI:ES:TS:2022:517; MP: Seoane Spiegelberg)</w:t>
            </w:r>
          </w:p>
          <w:p>
            <w:pPr>
              <w:spacing w:after="0" w:line="280"/>
              <w:jc w:val="both"/>
            </w:pPr>
            <w:r>
              <w:rPr>
                <w:rFonts w:ascii="Archivo" w:cs="Archivo" w:eastAsia="Archivo" w:hAnsi="Archivo"/>
                <w:color w:val="0A2540"/>
                <w:sz w:val="19"/>
                <w:szCs w:val="19"/>
              </w:rPr>
              <w:t xml:space="preserve">«El hecho del proceso penal es el acto ilícito tanto penal [...] como civil, dado que produce un daño del que nace la obligación de indemnizar y el correlativo derecho del perjudicado a ser resarcido (art. 1089 CC). La acción civil de ese proceso es una acción reparatoria que no deriva de una relación contractual. Y su plazo de prescripción no es el del art. 23 LCS. [...] El hecho del proceso civil es el contrato de seguro del que deriva la obligación de la aseguradora de indemnizar, así como el correlativo derecho de la asegurada a ser indemnizada por los daños producidos por incendio en el objeto asegurado (arts. 1 y 45 LCS). La acción ejercitada es una acción de cumplimiento contractual. Y su plazo de prescripción es el del art. 23 LCS.»</w:t>
            </w:r>
          </w:p>
        </w:tc>
      </w:tr>
    </w:tbl>
    <w:p>
      <w:pPr>
        <w:spacing w:after="180" w:line="300"/>
        <w:jc w:val="both"/>
      </w:pPr>
      <w:r>
        <w:rPr>
          <w:rFonts w:ascii="Archivo" w:cs="Archivo" w:eastAsia="Archivo" w:hAnsi="Archivo"/>
          <w:sz w:val="21"/>
          <w:szCs w:val="21"/>
        </w:rPr>
        <w:t xml:space="preserve">La sentencia distingue así, con toda nitidez, dos acciones de naturaleza y régimen distintos que pueden coexistir tras un mismo hecho delictivo: la acción de responsabilidad civil extracontractual contra el autor del delito —cuyo plazo de prescripción sí puede quedar afectado por la pendencia del proceso penal, conforme a la doctrina general sobre preferencia de la jurisdicción penal (arts. 111 y 114 LECrim)— y la acción de cumplimiento contractual del asegurado frente a su propia aseguradora, derivada del contrato de seguro y sometida al plazo autónomo del art. 23 LCS, cuyo cómputo no queda suspendido por la mera existencia de un proceso penal seguido contra un tercero por los mismos hechos, salvo que la propia acción ejercitada en el proceso civil coincida sustancialmente con la que pudo o debió ventilarse en el penal.</w:t>
      </w:r>
    </w:p>
    <w:p>
      <w:pPr>
        <w:spacing w:after="180" w:line="300"/>
        <w:jc w:val="both"/>
      </w:pPr>
      <w:r>
        <w:rPr>
          <w:rFonts w:ascii="Archivo" w:cs="Archivo" w:eastAsia="Archivo" w:hAnsi="Archivo"/>
          <w:sz w:val="21"/>
          <w:szCs w:val="21"/>
        </w:rPr>
        <w:t xml:space="preserve">La consecuencia práctica es de gran relevancia: el asegurado que sufre un incendio o un robo con origen delictivo no puede esperar tranquilamente a la resolución del proceso penal contra el autor de los hechos para reclamar a su propia aseguradora, pues el plazo de dos años del art. 23 LCS corre de forma autónoma desde que dispuso de los elementos fácticos y jurídicos para reclamar contractualmente a su aseguradora, con independencia del estado del proceso penal paralelo.</w:t>
      </w:r>
    </w:p>
    <w:p>
      <w:pPr>
        <w:pStyle w:val="Heading2"/>
        <w:spacing w:after="160" w:before="400"/>
      </w:pPr>
      <w:r>
        <w:rPr>
          <w:rFonts w:ascii="Fraunces" w:cs="Fraunces" w:eastAsia="Fraunces" w:hAnsi="Fraunces"/>
          <w:b/>
          <w:bCs/>
          <w:color w:val="0A2540"/>
          <w:sz w:val="24"/>
          <w:szCs w:val="24"/>
        </w:rPr>
        <w:t xml:space="preserve">22.5. Prescripción de la acción de subrogación</w:t>
      </w:r>
    </w:p>
    <w:p>
      <w:pPr>
        <w:spacing w:after="180" w:line="300"/>
        <w:jc w:val="both"/>
      </w:pPr>
      <w:r>
        <w:rPr>
          <w:rFonts w:ascii="Archivo" w:cs="Archivo" w:eastAsia="Archivo" w:hAnsi="Archivo"/>
          <w:sz w:val="21"/>
          <w:szCs w:val="21"/>
        </w:rPr>
        <w:t xml:space="preserve">Distinta de la prescripción de la acción del asegurado frente a su aseguradora es la prescripción de la acción de subrogación que, conforme al art. 43 LCS ya mencionado en el capítulo 8, corresponde a la propia aseguradora frente al tercero responsable del daño una vez satisfecha la indemnización a su asegurado. Esta acción, de naturaleza derivada pero autónoma en su cómputo, sigue reglas de dies a quo propias vinculadas al momento del pago efectivo de la indemnización por la aseguradora, cuestión de creciente relevancia práctica en los supuestos de siniestros de agua con origen en elementos comunes o en viviendas vecinas estudiados en el capítulo 8.</w:t>
      </w:r>
    </w:p>
    <w:p>
      <w:pPr>
        <w:pStyle w:val="Heading2"/>
        <w:spacing w:after="160" w:before="400"/>
      </w:pPr>
      <w:r>
        <w:rPr>
          <w:rFonts w:ascii="Fraunces" w:cs="Fraunces" w:eastAsia="Fraunces" w:hAnsi="Fraunces"/>
          <w:b/>
          <w:bCs/>
          <w:color w:val="0A2540"/>
          <w:sz w:val="24"/>
          <w:szCs w:val="24"/>
        </w:rPr>
        <w:t xml:space="preserve">22.6.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la prescripción de la acción del seguro de hogar</w:t>
            </w:r>
          </w:p>
          <w:p>
            <w:pPr>
              <w:pStyle w:val="ListParagraph"/>
              <w:numPr>
                <w:ilvl w:val="0"/>
                <w:numId w:val="2"/>
              </w:numPr>
              <w:spacing w:after="80" w:line="280"/>
            </w:pPr>
            <w:r>
              <w:rPr>
                <w:rFonts w:ascii="Archivo" w:cs="Archivo" w:eastAsia="Archivo" w:hAnsi="Archivo"/>
                <w:sz w:val="19"/>
                <w:szCs w:val="19"/>
              </w:rPr>
              <w:t xml:space="preserve">No esperar a la resolución de un eventual proceso penal paralelo para reclamar a la aseguradora: el plazo del art. 23 LCS corre de forma autónoma (STS 517/2022, ROJ: STS 517/2022).</w:t>
            </w:r>
          </w:p>
          <w:p>
            <w:pPr>
              <w:pStyle w:val="ListParagraph"/>
              <w:numPr>
                <w:ilvl w:val="0"/>
                <w:numId w:val="2"/>
              </w:numPr>
              <w:spacing w:after="80" w:line="280"/>
            </w:pPr>
            <w:r>
              <w:rPr>
                <w:rFonts w:ascii="Archivo" w:cs="Archivo" w:eastAsia="Archivo" w:hAnsi="Archivo"/>
                <w:sz w:val="19"/>
                <w:szCs w:val="19"/>
              </w:rPr>
              <w:t xml:space="preserve">Activar sistemáticamente la interrupción mediante reclamación extrajudicial fehaciente (burofax) antes de que se aproxime el cumplimiento del plazo de dos años.</w:t>
            </w:r>
          </w:p>
          <w:p>
            <w:pPr>
              <w:pStyle w:val="ListParagraph"/>
              <w:numPr>
                <w:ilvl w:val="0"/>
                <w:numId w:val="2"/>
              </w:numPr>
              <w:spacing w:after="80" w:line="280"/>
            </w:pPr>
            <w:r>
              <w:rPr>
                <w:rFonts w:ascii="Archivo" w:cs="Archivo" w:eastAsia="Archivo" w:hAnsi="Archivo"/>
                <w:sz w:val="19"/>
                <w:szCs w:val="19"/>
              </w:rPr>
              <w:t xml:space="preserve">Determinar con precisión el dies a quo conforme a la regla de la actio nata: no siempre coincide con la fecha material del siniestro.</w:t>
            </w:r>
          </w:p>
          <w:p>
            <w:pPr>
              <w:pStyle w:val="ListParagraph"/>
              <w:numPr>
                <w:ilvl w:val="0"/>
                <w:numId w:val="2"/>
              </w:numPr>
              <w:spacing w:after="80" w:line="280"/>
            </w:pPr>
            <w:r>
              <w:rPr>
                <w:rFonts w:ascii="Archivo" w:cs="Archivo" w:eastAsia="Archivo" w:hAnsi="Archivo"/>
                <w:sz w:val="19"/>
                <w:szCs w:val="19"/>
              </w:rPr>
              <w:t xml:space="preserve">Distinguir la prescripción de la acción del asegurado frente a su aseguradora de la prescripción de la acción de subrogación de la aseguradora frente a terceros responsables.</w:t>
            </w:r>
          </w:p>
        </w:tc>
      </w:tr>
    </w:tbl>
    <w:p>
      <w:pPr>
        <w:pStyle w:val="Heading2"/>
        <w:spacing w:after="160" w:before="400"/>
      </w:pPr>
      <w:r>
        <w:rPr>
          <w:rFonts w:ascii="Fraunces" w:cs="Fraunces" w:eastAsia="Fraunces" w:hAnsi="Fraunces"/>
          <w:b/>
          <w:bCs/>
          <w:color w:val="0A2540"/>
          <w:sz w:val="24"/>
          <w:szCs w:val="24"/>
        </w:rPr>
        <w:t xml:space="preserve">22.7.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el plazo para reclamar a su aseguradora</w:t>
            </w:r>
          </w:p>
          <w:p>
            <w:pPr>
              <w:pStyle w:val="ListParagraph"/>
              <w:numPr>
                <w:ilvl w:val="0"/>
                <w:numId w:val="2"/>
              </w:numPr>
              <w:spacing w:after="80" w:line="280"/>
            </w:pPr>
            <w:r>
              <w:rPr>
                <w:rFonts w:ascii="Archivo" w:cs="Archivo" w:eastAsia="Archivo" w:hAnsi="Archivo"/>
                <w:sz w:val="19"/>
                <w:szCs w:val="19"/>
              </w:rPr>
              <w:t xml:space="preserve">Tiene dos años desde que puede conocer razonablemente el alcance del daño y la negativa o insuficiencia de la respuesta de su aseguradora para reclamar judicialmente.</w:t>
            </w:r>
          </w:p>
          <w:p>
            <w:pPr>
              <w:pStyle w:val="ListParagraph"/>
              <w:numPr>
                <w:ilvl w:val="0"/>
                <w:numId w:val="2"/>
              </w:numPr>
              <w:spacing w:after="80" w:line="280"/>
            </w:pPr>
            <w:r>
              <w:rPr>
                <w:rFonts w:ascii="Archivo" w:cs="Archivo" w:eastAsia="Archivo" w:hAnsi="Archivo"/>
                <w:sz w:val="19"/>
                <w:szCs w:val="19"/>
              </w:rPr>
              <w:t xml:space="preserve">Si hay una denuncia o proceso penal por los mismos hechos, no espere a que termine para reclamar a su aseguradora: son plazos independientes.</w:t>
            </w:r>
          </w:p>
          <w:p>
            <w:pPr>
              <w:pStyle w:val="ListParagraph"/>
              <w:numPr>
                <w:ilvl w:val="0"/>
                <w:numId w:val="2"/>
              </w:numPr>
              <w:spacing w:after="80" w:line="280"/>
            </w:pPr>
            <w:r>
              <w:rPr>
                <w:rFonts w:ascii="Archivo" w:cs="Archivo" w:eastAsia="Archivo" w:hAnsi="Archivo"/>
                <w:sz w:val="19"/>
                <w:szCs w:val="19"/>
              </w:rPr>
              <w:t xml:space="preserve">Si el plazo se aproxima y su reclamación sigue sin resolverse, envíe un burofax de reclamación a la aseguradora: interrumpe el plazo y le da dos años más desde esa fecha.</w:t>
            </w:r>
          </w:p>
        </w:tc>
      </w:tr>
    </w:tbl>
    <w:p>
      <w:pPr>
        <w:pStyle w:val="Heading2"/>
        <w:spacing w:after="160" w:before="400"/>
      </w:pPr>
      <w:r>
        <w:rPr>
          <w:rFonts w:ascii="Fraunces" w:cs="Fraunces" w:eastAsia="Fraunces" w:hAnsi="Fraunces"/>
          <w:b/>
          <w:bCs/>
          <w:color w:val="0A2540"/>
          <w:sz w:val="24"/>
          <w:szCs w:val="24"/>
        </w:rPr>
        <w:t xml:space="preserve">22.8. Checklist: cómputo del plazo de prescripción</w:t>
      </w:r>
    </w:p>
    <w:p>
      <w:pPr>
        <w:pStyle w:val="ListParagraph"/>
        <w:numPr>
          <w:ilvl w:val="0"/>
          <w:numId w:val="2"/>
        </w:numPr>
        <w:spacing w:after="100" w:line="290"/>
      </w:pPr>
      <w:r>
        <w:rPr>
          <w:rFonts w:ascii="Archivo" w:cs="Archivo" w:eastAsia="Archivo" w:hAnsi="Archivo"/>
          <w:sz w:val="21"/>
          <w:szCs w:val="21"/>
        </w:rPr>
        <w:t xml:space="preserve">1. ¿Cuándo se produjo el siniestro y cuándo se conoció con certeza su alcance definitivo?</w:t>
      </w:r>
    </w:p>
    <w:p>
      <w:pPr>
        <w:pStyle w:val="ListParagraph"/>
        <w:numPr>
          <w:ilvl w:val="0"/>
          <w:numId w:val="2"/>
        </w:numPr>
        <w:spacing w:after="100" w:line="290"/>
      </w:pPr>
      <w:r>
        <w:rPr>
          <w:rFonts w:ascii="Archivo" w:cs="Archivo" w:eastAsia="Archivo" w:hAnsi="Archivo"/>
          <w:sz w:val="21"/>
          <w:szCs w:val="21"/>
        </w:rPr>
        <w:t xml:space="preserve">2. ¿Existe algún acto interruptivo (reclamación extrajudicial, judicial, reconocimiento de deuda)?</w:t>
      </w:r>
    </w:p>
    <w:p>
      <w:pPr>
        <w:pStyle w:val="ListParagraph"/>
        <w:numPr>
          <w:ilvl w:val="0"/>
          <w:numId w:val="2"/>
        </w:numPr>
        <w:spacing w:after="100" w:line="290"/>
      </w:pPr>
      <w:r>
        <w:rPr>
          <w:rFonts w:ascii="Archivo" w:cs="Archivo" w:eastAsia="Archivo" w:hAnsi="Archivo"/>
          <w:sz w:val="21"/>
          <w:szCs w:val="21"/>
        </w:rPr>
        <w:t xml:space="preserve">3. ¿Existe un proceso penal paralelo? En su caso, ¿coincide su objeto con la acción contractual frente a la aseguradora?</w:t>
      </w:r>
    </w:p>
    <w:p>
      <w:pPr>
        <w:pStyle w:val="ListParagraph"/>
        <w:numPr>
          <w:ilvl w:val="0"/>
          <w:numId w:val="2"/>
        </w:numPr>
        <w:spacing w:after="100" w:line="290"/>
      </w:pPr>
      <w:r>
        <w:rPr>
          <w:rFonts w:ascii="Archivo" w:cs="Archivo" w:eastAsia="Archivo" w:hAnsi="Archivo"/>
          <w:sz w:val="21"/>
          <w:szCs w:val="21"/>
        </w:rPr>
        <w:t xml:space="preserve">4. ¿Cuánto tiempo resta hasta el cumplimiento del plazo de dos años?</w:t>
      </w:r>
    </w:p>
    <w:p>
      <w:pPr>
        <w:pStyle w:val="ListParagraph"/>
        <w:numPr>
          <w:ilvl w:val="0"/>
          <w:numId w:val="2"/>
        </w:numPr>
        <w:spacing w:after="100" w:line="290"/>
      </w:pPr>
      <w:r>
        <w:rPr>
          <w:rFonts w:ascii="Archivo" w:cs="Archivo" w:eastAsia="Archivo" w:hAnsi="Archivo"/>
          <w:sz w:val="21"/>
          <w:szCs w:val="21"/>
        </w:rPr>
        <w:t xml:space="preserve">5. ¿Es necesario, además, valorar la prescripción de una eventual acción de subrogación de la aseguradora frente a un tercero?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ageBreakBefore/>
        <w:spacing w:after="200" w:before="2000"/>
      </w:pPr>
      <w:r>
        <w:rPr>
          <w:rFonts w:ascii="Archivo" w:cs="Archivo" w:eastAsia="Archivo" w:hAnsi="Archivo"/>
          <w:b/>
          <w:bCs/>
          <w:color w:val="1B6DF0"/>
          <w:sz w:val="28"/>
          <w:szCs w:val="28"/>
        </w:rPr>
        <w:t xml:space="preserve">PARTE IV</w:t>
      </w:r>
    </w:p>
    <w:p>
      <w:pPr>
        <w:pBdr>
          <w:bottom w:val="single" w:color="CBD5E1" w:sz="6" w:space="12"/>
        </w:pBdr>
        <w:spacing w:after="600"/>
      </w:pPr>
      <w:r>
        <w:rPr>
          <w:rFonts w:ascii="Fraunces" w:cs="Fraunces" w:eastAsia="Fraunces" w:hAnsi="Fraunces"/>
          <w:b/>
          <w:bCs/>
          <w:color w:val="0A2540"/>
          <w:sz w:val="44"/>
          <w:szCs w:val="44"/>
        </w:rPr>
        <w:t xml:space="preserve">Conflictos y vías de reclamación</w:t>
      </w:r>
    </w:p>
    <w:p>
      <w:pPr>
        <w:pStyle w:val="Heading1"/>
        <w:pageBreakBefore/>
        <w:spacing w:after="300" w:before="200"/>
      </w:pPr>
      <w:r>
        <w:rPr>
          <w:rFonts w:ascii="Archivo" w:cs="Archivo" w:eastAsia="Archivo" w:hAnsi="Archivo"/>
          <w:b/>
          <w:bCs/>
          <w:color w:val="1B6DF0"/>
          <w:sz w:val="22"/>
          <w:szCs w:val="22"/>
        </w:rPr>
        <w:t xml:space="preserve">Capítulo 23. </w:t>
      </w:r>
      <w:r>
        <w:rPr>
          <w:rFonts w:ascii="Fraunces" w:cs="Fraunces" w:eastAsia="Fraunces" w:hAnsi="Fraunces"/>
          <w:b/>
          <w:bCs/>
          <w:color w:val="0A2540"/>
          <w:sz w:val="30"/>
          <w:szCs w:val="30"/>
        </w:rPr>
        <w:t xml:space="preserve">Reclamación extrajudicial: servicio de atención al cliente, Defensor del Asegurado y DGSFP</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23.1. El deber de atención al reclamante: SAC y Defensor del Asegurado</w:t>
            </w:r>
          </w:p>
          <w:p>
            <w:pPr>
              <w:spacing w:after="40" w:line="260"/>
            </w:pPr>
            <w:r>
              <w:rPr>
                <w:rFonts w:ascii="Archivo" w:cs="Archivo" w:eastAsia="Archivo" w:hAnsi="Archivo"/>
                <w:sz w:val="18"/>
                <w:szCs w:val="18"/>
              </w:rPr>
              <w:t xml:space="preserve">23.2. La reclamación ante la Dirección General de Seguros y Fondos de Pensiones</w:t>
            </w:r>
          </w:p>
          <w:p>
            <w:pPr>
              <w:spacing w:after="40" w:line="260"/>
            </w:pPr>
            <w:r>
              <w:rPr>
                <w:rFonts w:ascii="Archivo" w:cs="Archivo" w:eastAsia="Archivo" w:hAnsi="Archivo"/>
                <w:sz w:val="18"/>
                <w:szCs w:val="18"/>
              </w:rPr>
              <w:t xml:space="preserve">23.3. Los medios adecuados de solución de controversias como requisito de procedibilidad</w:t>
            </w:r>
          </w:p>
          <w:p>
            <w:pPr>
              <w:spacing w:after="40" w:line="260"/>
            </w:pPr>
            <w:r>
              <w:rPr>
                <w:rFonts w:ascii="Archivo" w:cs="Archivo" w:eastAsia="Archivo" w:hAnsi="Archivo"/>
                <w:sz w:val="18"/>
                <w:szCs w:val="18"/>
              </w:rPr>
              <w:t xml:space="preserve">23.4. Los intereses del art. 20 LCS como palanca de negociación extrajudicial</w:t>
            </w:r>
          </w:p>
          <w:p>
            <w:pPr>
              <w:spacing w:after="40" w:line="260"/>
            </w:pPr>
            <w:r>
              <w:rPr>
                <w:rFonts w:ascii="Archivo" w:cs="Archivo" w:eastAsia="Archivo" w:hAnsi="Archivo"/>
                <w:sz w:val="18"/>
                <w:szCs w:val="18"/>
              </w:rPr>
              <w:t xml:space="preserve">23.5. Ficha para el profesional</w:t>
            </w:r>
          </w:p>
          <w:p>
            <w:pPr>
              <w:spacing w:after="40" w:line="260"/>
            </w:pPr>
            <w:r>
              <w:rPr>
                <w:rFonts w:ascii="Archivo" w:cs="Archivo" w:eastAsia="Archivo" w:hAnsi="Archivo"/>
                <w:sz w:val="18"/>
                <w:szCs w:val="18"/>
              </w:rPr>
              <w:t xml:space="preserve">23.6. Ficha para el asegurado</w:t>
            </w:r>
          </w:p>
          <w:p>
            <w:pPr>
              <w:spacing w:after="40" w:line="260"/>
            </w:pPr>
            <w:r>
              <w:rPr>
                <w:rFonts w:ascii="Archivo" w:cs="Archivo" w:eastAsia="Archivo" w:hAnsi="Archivo"/>
                <w:sz w:val="18"/>
                <w:szCs w:val="18"/>
              </w:rPr>
              <w:t xml:space="preserve">23.7. Checklist: itinerario extrajudicial antes de demandar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IV con el estudio de la vía extrajudicial de reclamación en el seguro de hogar: el servicio de atención al cliente y el defensor del asegurado de la propia entidad, la reclamación ante el Servicio de Reclamaciones de la Dirección General de Seguros y Fondos de Pensiones, y la reciente incorporación de los medios adecuados de solución de controversias (MASC) como auténtico requisito de procedibilidad para el acceso a la jurisdicción civil, tras la reforma operada por la Ley Orgánica 1/2025.</w:t>
            </w:r>
          </w:p>
          <w:p>
            <w:pPr>
              <w:spacing w:after="160"/>
            </w:pPr>
            <w:r>
              <w:rPr>
                <w:rFonts w:ascii="Archivo" w:cs="Archivo" w:eastAsia="Archivo" w:hAnsi="Archivo"/>
                <w:b/>
                <w:bCs/>
                <w:sz w:val="17"/>
                <w:szCs w:val="17"/>
              </w:rPr>
              <w:t xml:space="preserve">Palabras clave: servicio de atención al cliente, defensor del asegurado, DGSFP, MASC, requisito de procedibilidad, Ley Orgánica 1/2025.</w:t>
            </w:r>
          </w:p>
          <w:p>
            <w:pPr>
              <w:spacing w:after="100"/>
              <w:jc w:val="both"/>
            </w:pPr>
            <w:r>
              <w:rPr>
                <w:rFonts w:ascii="Archivo" w:cs="Archivo" w:eastAsia="Archivo" w:hAnsi="Archivo"/>
                <w:i/>
                <w:iCs/>
                <w:sz w:val="18"/>
                <w:szCs w:val="18"/>
              </w:rPr>
              <w:t xml:space="preserve">This chapter opens Part IV with the extrajudicial claims route in homeowners' insurance: the insurer's own customer service and ombudsman, the complaint before the Spanish insurance supervisor's Claims Service, and the recent introduction of adequate dispute resolution means as a genuine procedural admissibility requirement for access to the civil courts, following the reform enacted by Organic Act 1/2025.</w:t>
            </w:r>
          </w:p>
          <w:p>
            <w:pPr>
              <w:spacing w:after="0"/>
            </w:pPr>
            <w:r>
              <w:rPr>
                <w:rFonts w:ascii="Archivo" w:cs="Archivo" w:eastAsia="Archivo" w:hAnsi="Archivo"/>
                <w:b/>
                <w:bCs/>
                <w:sz w:val="17"/>
                <w:szCs w:val="17"/>
              </w:rPr>
              <w:t xml:space="preserve">Keywords: customer service, insurance ombudsman, supervisory complaint, alternative dispute resolution, procedural requirement.</w:t>
            </w:r>
          </w:p>
        </w:tc>
      </w:tr>
    </w:tbl>
    <w:p>
      <w:pPr>
        <w:spacing w:after="200"/>
      </w:pPr>
    </w:p>
    <w:p>
      <w:pPr>
        <w:pStyle w:val="Heading2"/>
        <w:spacing w:after="160" w:before="400"/>
      </w:pPr>
      <w:r>
        <w:rPr>
          <w:rFonts w:ascii="Fraunces" w:cs="Fraunces" w:eastAsia="Fraunces" w:hAnsi="Fraunces"/>
          <w:b/>
          <w:bCs/>
          <w:color w:val="0A2540"/>
          <w:sz w:val="24"/>
          <w:szCs w:val="24"/>
        </w:rPr>
        <w:t xml:space="preserve">23.1. El deber de atención al reclamante: SAC y Defensor del Asegurado</w:t>
      </w:r>
    </w:p>
    <w:p>
      <w:pPr>
        <w:spacing w:after="180" w:line="300"/>
        <w:jc w:val="both"/>
      </w:pPr>
      <w:r>
        <w:rPr>
          <w:rFonts w:ascii="Archivo" w:cs="Archivo" w:eastAsia="Archivo" w:hAnsi="Archivo"/>
          <w:sz w:val="21"/>
          <w:szCs w:val="21"/>
        </w:rPr>
        <w:t xml:space="preserve">La Ley 20/2015, de Ordenación, Supervisión y Solvencia de las Entidades Aseguradoras y Reaseguradoras (LOSSEAR), y su normativa de desarrollo imponen a toda aseguradora la obligación de disponer de un servicio de atención al cliente (SAC) y, en su caso, de un defensor del cliente, ante el que el asegurado debe formular su reclamación como paso previo e ineludible antes de acudir a la supervisión pública</w:t>
      </w:r>
      <w:r>
        <w:rPr>
          <w:rStyle w:val="FootnoteReference"/>
        </w:rPr>
        <w:footnoteReference w:id="54"/>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reclamación ante el SAC o el defensor del asegurado cumple una doble función que el profesional no debe subestimar: de un lado, ofrece una última oportunidad de resolución negociada antes de escalar el conflicto; de otro —y esto es lo más relevante en términos procesales—, constituye un presupuesto documental necesario para poder acceder posteriormente al Servicio de Reclamaciones de la DGSFP, que exige acreditar dicha reclamación previa como requisito de admisión.</w:t>
      </w:r>
    </w:p>
    <w:p>
      <w:pPr>
        <w:pStyle w:val="Heading2"/>
        <w:spacing w:after="160" w:before="400"/>
      </w:pPr>
      <w:r>
        <w:rPr>
          <w:rFonts w:ascii="Fraunces" w:cs="Fraunces" w:eastAsia="Fraunces" w:hAnsi="Fraunces"/>
          <w:b/>
          <w:bCs/>
          <w:color w:val="0A2540"/>
          <w:sz w:val="24"/>
          <w:szCs w:val="24"/>
        </w:rPr>
        <w:t xml:space="preserve">23.2. La reclamación ante la Dirección General de Seguros y Fondos de Pensiones</w:t>
      </w:r>
    </w:p>
    <w:p>
      <w:pPr>
        <w:spacing w:after="180" w:line="300"/>
        <w:jc w:val="both"/>
      </w:pPr>
      <w:r>
        <w:rPr>
          <w:rFonts w:ascii="Archivo" w:cs="Archivo" w:eastAsia="Archivo" w:hAnsi="Archivo"/>
          <w:sz w:val="21"/>
          <w:szCs w:val="21"/>
        </w:rPr>
        <w:t xml:space="preserve">Agotada o transcurrido el plazo de resolución de la reclamación interna, el asegurado puede acudir al Servicio de Reclamaciones de la DGSFP, órgano de supervisión que emite un informe motivado sobre el ajuste de la actuación de la aseguradora a la normativa de transparencia y protección de la clientela y a las buenas prácticas y usos financieros. Es fundamental que el profesional transmita con precisión al cliente el alcance real de esta vía: el informe de la DGSFP no tiene carácter vinculante ni ejecutivo, no puede imponer el pago de una indemnización ni sustituye a la vía judicial, pero constituye un elemento de prueba documental de notable valor persuasivo —tanto en una negociación posterior como, eventualmente, en el propio proceso judicial— cuando resulta favorable al reclamante, precisamente por proceder de un organismo técnico independiente y especializado.</w:t>
      </w:r>
    </w:p>
    <w:p>
      <w:pPr>
        <w:pStyle w:val="Heading2"/>
        <w:spacing w:after="160" w:before="400"/>
      </w:pPr>
      <w:r>
        <w:rPr>
          <w:rFonts w:ascii="Fraunces" w:cs="Fraunces" w:eastAsia="Fraunces" w:hAnsi="Fraunces"/>
          <w:b/>
          <w:bCs/>
          <w:color w:val="0A2540"/>
          <w:sz w:val="24"/>
          <w:szCs w:val="24"/>
        </w:rPr>
        <w:t xml:space="preserve">23.3. Los medios adecuados de solución de controversias como requisito de procedibilidad</w:t>
      </w:r>
    </w:p>
    <w:p>
      <w:pPr>
        <w:spacing w:after="180" w:line="300"/>
        <w:jc w:val="both"/>
      </w:pPr>
      <w:r>
        <w:rPr>
          <w:rFonts w:ascii="Archivo" w:cs="Archivo" w:eastAsia="Archivo" w:hAnsi="Archivo"/>
          <w:sz w:val="21"/>
          <w:szCs w:val="21"/>
        </w:rPr>
        <w:t xml:space="preserve">La Ley Orgánica 1/2025, de 2 de enero, de medidas en materia de eficiencia del Servicio Público de Justicia, ha introducido una modificación de primer orden en la arquitectura procesal civil española, con impacto directo y sistemático en la litigación de seguros de hogar: la actividad negociadora previa a través de un medio adecuado de solución de controversias (MASC) pasa a configurarse, en los términos que la propia ley establece, como un auténtico requisito de procedibilidad para el acceso a la jurisdicción civil</w:t>
      </w:r>
      <w:r>
        <w:rPr>
          <w:rStyle w:val="FootnoteReference"/>
        </w:rPr>
        <w:footnoteReference w:id="55"/>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264.4.º LEC (redacción LO 1/2025)</w:t>
            </w:r>
          </w:p>
          <w:p>
            <w:pPr>
              <w:spacing w:after="0" w:line="280"/>
              <w:jc w:val="both"/>
            </w:pPr>
            <w:r>
              <w:rPr>
                <w:rFonts w:ascii="IBM Plex Mono" w:cs="IBM Plex Mono" w:eastAsia="IBM Plex Mono" w:hAnsi="IBM Plex Mono"/>
                <w:i/>
                <w:iCs/>
                <w:color w:val="0A2540"/>
                <w:sz w:val="18"/>
                <w:szCs w:val="18"/>
              </w:rPr>
              <w:t xml:space="preserve">Con la demanda o la contestación habrán de presentarse: [...] 4.º El documento que acredite haberse intentado la actividad negociadora previa a la vía judicial cuando la ley exija dicho intento como requisito de procedibilidad, o declaración responsable de la parte de la imposibilidad de llevar a cabo la actividad negociadora previa a la vía judicial por desconocer el domicilio de la parte demandada o el medio por el que puede ser requerido.</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403.2 LEC (redacción LO 1/2025)</w:t>
            </w:r>
          </w:p>
          <w:p>
            <w:pPr>
              <w:spacing w:after="0" w:line="280"/>
              <w:jc w:val="both"/>
            </w:pPr>
            <w:r>
              <w:rPr>
                <w:rFonts w:ascii="IBM Plex Mono" w:cs="IBM Plex Mono" w:eastAsia="IBM Plex Mono" w:hAnsi="IBM Plex Mono"/>
                <w:i/>
                <w:iCs/>
                <w:color w:val="0A2540"/>
                <w:sz w:val="18"/>
                <w:szCs w:val="18"/>
              </w:rPr>
              <w:t xml:space="preserve">No se admitirán las demandas cuando no se acompañen a ella los documentos que la ley expresamente exija para la admisión de aquellas, cuando no se hagan constar las circunstancias a las que se refiere el segundo párrafo del apartado 3 del artículo 399 en los casos en que se haya acudido a un medio adecuado de solución de controversias por exigirlo la ley como requisito de procedibilidad [...].</w:t>
            </w:r>
          </w:p>
        </w:tc>
      </w:tr>
    </w:tbl>
    <w:p>
      <w:pPr>
        <w:spacing w:after="180" w:line="300"/>
        <w:jc w:val="both"/>
      </w:pPr>
      <w:r>
        <w:rPr>
          <w:rFonts w:ascii="Archivo" w:cs="Archivo" w:eastAsia="Archivo" w:hAnsi="Archivo"/>
          <w:sz w:val="21"/>
          <w:szCs w:val="21"/>
        </w:rPr>
        <w:t xml:space="preserve">La consecuencia práctica para el profesional del seguro de hogar es inmediata: una demanda presentada sin acreditar el intento de negociación previa —o, en su caso, sin la declaración responsable sobre la imposibilidad de llevarla a cabo— corre el riesgo de inadmisión conforme al art. 403.2 LEC. La buena noticia es que, en la práctica del seguro de hogar, esta exigencia rara vez supone una carga añadida sustancial: la reclamación extrajudicial ante la propia aseguradora y, en su caso, ante el SAC, el defensor del asegurado o la DGSFP, estudiadas en los epígrafes anteriores, cumplen ya de forma natural la función de actividad negociadora previa, siempre que se documenten adecuadamente y se incorporen como anexo a la demanda.</w:t>
      </w:r>
    </w:p>
    <w:p>
      <w:pPr>
        <w:spacing w:after="180" w:line="300"/>
        <w:jc w:val="both"/>
      </w:pPr>
      <w:r>
        <w:rPr>
          <w:rFonts w:ascii="Archivo" w:cs="Archivo" w:eastAsia="Archivo" w:hAnsi="Archivo"/>
          <w:sz w:val="21"/>
          <w:szCs w:val="21"/>
        </w:rPr>
        <w:t xml:space="preserve">La recomendación práctica que se extrae de esta reforma es, por ello, doble: primera, nunca prescindir de la reclamación extrajudicial previa a la aseguradora (burofax de reclamación, reclamación ante el SAC), ni siquiera cuando el asegurado tenga prisa por litigar, precisamente porque ahora es también un presupuesto de admisibilidad de la demanda; segunda, conservar y aportar escrupulosamente la documentación acreditativa de ese intento negociador, con indicación de fechas, medios empleados y, en su caso, respuesta recibida.</w:t>
      </w:r>
    </w:p>
    <w:p>
      <w:pPr>
        <w:pStyle w:val="Heading2"/>
        <w:spacing w:after="160" w:before="400"/>
      </w:pPr>
      <w:r>
        <w:rPr>
          <w:rFonts w:ascii="Fraunces" w:cs="Fraunces" w:eastAsia="Fraunces" w:hAnsi="Fraunces"/>
          <w:b/>
          <w:bCs/>
          <w:color w:val="0A2540"/>
          <w:sz w:val="24"/>
          <w:szCs w:val="24"/>
        </w:rPr>
        <w:t xml:space="preserve">23.4. Los intereses del art. 20 LCS como palanca de negociación extrajudicial</w:t>
      </w:r>
    </w:p>
    <w:p>
      <w:pPr>
        <w:spacing w:after="180" w:line="300"/>
        <w:jc w:val="both"/>
      </w:pPr>
      <w:r>
        <w:rPr>
          <w:rFonts w:ascii="Archivo" w:cs="Archivo" w:eastAsia="Archivo" w:hAnsi="Archivo"/>
          <w:sz w:val="21"/>
          <w:szCs w:val="21"/>
        </w:rPr>
        <w:t xml:space="preserve">Como se explicó en el capítulo 20, los intereses de demora del art. 20 LCS —de cuantía muy superior a la de los intereses legales ordinarios y con un suelo del 20 % anual a partir de los dos años desde el siniestro— constituyen, en la práctica, el principal incentivo económico para que una aseguradora acepte negociar y pagar tempranamente. El profesional debe, por ello, incorporar sistemáticamente a toda reclamación extrajudicial —burofax, reclamación ante el SAC, escrito de negociación MASC— una referencia expresa y cuantificada a estos intereses, no como mera fórmula de estilo, sino como argumento de negociación con peso económico real y creciente con el paso del tiempo.</w:t>
      </w:r>
    </w:p>
    <w:p>
      <w:pPr>
        <w:pStyle w:val="Heading2"/>
        <w:spacing w:after="160" w:before="400"/>
      </w:pPr>
      <w:r>
        <w:rPr>
          <w:rFonts w:ascii="Fraunces" w:cs="Fraunces" w:eastAsia="Fraunces" w:hAnsi="Fraunces"/>
          <w:b/>
          <w:bCs/>
          <w:color w:val="0A2540"/>
          <w:sz w:val="24"/>
          <w:szCs w:val="24"/>
        </w:rPr>
        <w:t xml:space="preserve">23.5.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Itinerario extrajudicial recomendado antes de demandar</w:t>
            </w:r>
          </w:p>
          <w:p>
            <w:pPr>
              <w:pStyle w:val="ListParagraph"/>
              <w:numPr>
                <w:ilvl w:val="0"/>
                <w:numId w:val="2"/>
              </w:numPr>
              <w:spacing w:after="80" w:line="280"/>
            </w:pPr>
            <w:r>
              <w:rPr>
                <w:rFonts w:ascii="Archivo" w:cs="Archivo" w:eastAsia="Archivo" w:hAnsi="Archivo"/>
                <w:sz w:val="19"/>
                <w:szCs w:val="19"/>
              </w:rPr>
              <w:t xml:space="preserve">Burofax de reclamación previa a la aseguradora, con cuantificación de la indemnización reclamada y de los intereses del art. 20 LCS (capítulo 20 y Anexo IV).</w:t>
            </w:r>
          </w:p>
          <w:p>
            <w:pPr>
              <w:pStyle w:val="ListParagraph"/>
              <w:numPr>
                <w:ilvl w:val="0"/>
                <w:numId w:val="2"/>
              </w:numPr>
              <w:spacing w:after="80" w:line="280"/>
            </w:pPr>
            <w:r>
              <w:rPr>
                <w:rFonts w:ascii="Archivo" w:cs="Archivo" w:eastAsia="Archivo" w:hAnsi="Archivo"/>
                <w:sz w:val="19"/>
                <w:szCs w:val="19"/>
              </w:rPr>
              <w:t xml:space="preserve">Reclamación ante el SAC o el defensor del asegurado de la entidad, conservando acuse de recibo y, en su caso, respuesta motivada.</w:t>
            </w:r>
          </w:p>
          <w:p>
            <w:pPr>
              <w:pStyle w:val="ListParagraph"/>
              <w:numPr>
                <w:ilvl w:val="0"/>
                <w:numId w:val="2"/>
              </w:numPr>
              <w:spacing w:after="80" w:line="280"/>
            </w:pPr>
            <w:r>
              <w:rPr>
                <w:rFonts w:ascii="Archivo" w:cs="Archivo" w:eastAsia="Archivo" w:hAnsi="Archivo"/>
                <w:sz w:val="19"/>
                <w:szCs w:val="19"/>
              </w:rPr>
              <w:t xml:space="preserve">En caso de persistir la discrepancia, valorar la reclamación ante la DGSFP, teniendo presente su carácter no vinculante pero su valor probatorio indirecto.</w:t>
            </w:r>
          </w:p>
          <w:p>
            <w:pPr>
              <w:pStyle w:val="ListParagraph"/>
              <w:numPr>
                <w:ilvl w:val="0"/>
                <w:numId w:val="2"/>
              </w:numPr>
              <w:spacing w:after="80" w:line="280"/>
            </w:pPr>
            <w:r>
              <w:rPr>
                <w:rFonts w:ascii="Archivo" w:cs="Archivo" w:eastAsia="Archivo" w:hAnsi="Archivo"/>
                <w:sz w:val="19"/>
                <w:szCs w:val="19"/>
              </w:rPr>
              <w:t xml:space="preserve">Documentar escrupulosamente todo el itinerario negociador para su incorporación a la demanda conforme al art. 264.4.º LEC, evitando el riesgo de inadmisión del art. 403.2 LEC.</w:t>
            </w:r>
          </w:p>
          <w:p>
            <w:pPr>
              <w:pStyle w:val="ListParagraph"/>
              <w:numPr>
                <w:ilvl w:val="0"/>
                <w:numId w:val="2"/>
              </w:numPr>
              <w:spacing w:after="80" w:line="280"/>
            </w:pPr>
            <w:r>
              <w:rPr>
                <w:rFonts w:ascii="Archivo" w:cs="Archivo" w:eastAsia="Archivo" w:hAnsi="Archivo"/>
                <w:sz w:val="19"/>
                <w:szCs w:val="19"/>
              </w:rPr>
              <w:t xml:space="preserve">Si el domicilio de la aseguradora es desconocido o resulta imposible el intento negociador por causas objetivas, preparar la declaración responsable alternativa prevista en el propio art. 264.4.º LEC.</w:t>
            </w:r>
          </w:p>
        </w:tc>
      </w:tr>
    </w:tbl>
    <w:p>
      <w:pPr>
        <w:pStyle w:val="Heading2"/>
        <w:spacing w:after="160" w:before="400"/>
      </w:pPr>
      <w:r>
        <w:rPr>
          <w:rFonts w:ascii="Fraunces" w:cs="Fraunces" w:eastAsia="Fraunces" w:hAnsi="Fraunces"/>
          <w:b/>
          <w:bCs/>
          <w:color w:val="0A2540"/>
          <w:sz w:val="24"/>
          <w:szCs w:val="24"/>
        </w:rPr>
        <w:t xml:space="preserve">23.6.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esperar de cada vía de reclamación</w:t>
            </w:r>
          </w:p>
          <w:p>
            <w:pPr>
              <w:pStyle w:val="ListParagraph"/>
              <w:numPr>
                <w:ilvl w:val="0"/>
                <w:numId w:val="2"/>
              </w:numPr>
              <w:spacing w:after="80" w:line="280"/>
            </w:pPr>
            <w:r>
              <w:rPr>
                <w:rFonts w:ascii="Archivo" w:cs="Archivo" w:eastAsia="Archivo" w:hAnsi="Archivo"/>
                <w:sz w:val="19"/>
                <w:szCs w:val="19"/>
              </w:rPr>
              <w:t xml:space="preserve">El servicio de atención al cliente de su aseguradora debe responder a su reclamación en un plazo determinado; guarde siempre el justificante de presentación.</w:t>
            </w:r>
          </w:p>
          <w:p>
            <w:pPr>
              <w:pStyle w:val="ListParagraph"/>
              <w:numPr>
                <w:ilvl w:val="0"/>
                <w:numId w:val="2"/>
              </w:numPr>
              <w:spacing w:after="80" w:line="280"/>
            </w:pPr>
            <w:r>
              <w:rPr>
                <w:rFonts w:ascii="Archivo" w:cs="Archivo" w:eastAsia="Archivo" w:hAnsi="Archivo"/>
                <w:sz w:val="19"/>
                <w:szCs w:val="19"/>
              </w:rPr>
              <w:t xml:space="preserve">La Dirección General de Seguros y Fondos de Pensiones no puede obligar a su aseguradora a pagarle, pero su informe, si le da la razón, es un argumento de peso para negociar o, en su caso, para un futuro pleito.</w:t>
            </w:r>
          </w:p>
          <w:p>
            <w:pPr>
              <w:pStyle w:val="ListParagraph"/>
              <w:numPr>
                <w:ilvl w:val="0"/>
                <w:numId w:val="2"/>
              </w:numPr>
              <w:spacing w:after="80" w:line="280"/>
            </w:pPr>
            <w:r>
              <w:rPr>
                <w:rFonts w:ascii="Archivo" w:cs="Archivo" w:eastAsia="Archivo" w:hAnsi="Archivo"/>
                <w:sz w:val="19"/>
                <w:szCs w:val="19"/>
              </w:rPr>
              <w:t xml:space="preserve">Antes de demandar, su abogado deberá acreditar que intentó negociar con la aseguradora: no lo viva como un trámite burocrático, sino como una oportunidad real de resolver el conflicto sin ir a juicio.</w:t>
            </w:r>
          </w:p>
        </w:tc>
      </w:tr>
    </w:tbl>
    <w:p>
      <w:pPr>
        <w:pStyle w:val="Heading2"/>
        <w:spacing w:after="160" w:before="400"/>
      </w:pPr>
      <w:r>
        <w:rPr>
          <w:rFonts w:ascii="Fraunces" w:cs="Fraunces" w:eastAsia="Fraunces" w:hAnsi="Fraunces"/>
          <w:b/>
          <w:bCs/>
          <w:color w:val="0A2540"/>
          <w:sz w:val="24"/>
          <w:szCs w:val="24"/>
        </w:rPr>
        <w:t xml:space="preserve">23.7. Checklist: itinerario extrajudicial antes de demandar</w:t>
      </w:r>
    </w:p>
    <w:p>
      <w:pPr>
        <w:pStyle w:val="ListParagraph"/>
        <w:numPr>
          <w:ilvl w:val="0"/>
          <w:numId w:val="2"/>
        </w:numPr>
        <w:spacing w:after="100" w:line="290"/>
      </w:pPr>
      <w:r>
        <w:rPr>
          <w:rFonts w:ascii="Archivo" w:cs="Archivo" w:eastAsia="Archivo" w:hAnsi="Archivo"/>
          <w:sz w:val="21"/>
          <w:szCs w:val="21"/>
        </w:rPr>
        <w:t xml:space="preserve">1. ¿Se ha remitido burofax de reclamación previa con cuantificación de la indemnización e intereses?</w:t>
      </w:r>
    </w:p>
    <w:p>
      <w:pPr>
        <w:pStyle w:val="ListParagraph"/>
        <w:numPr>
          <w:ilvl w:val="0"/>
          <w:numId w:val="2"/>
        </w:numPr>
        <w:spacing w:after="100" w:line="290"/>
      </w:pPr>
      <w:r>
        <w:rPr>
          <w:rFonts w:ascii="Archivo" w:cs="Archivo" w:eastAsia="Archivo" w:hAnsi="Archivo"/>
          <w:sz w:val="21"/>
          <w:szCs w:val="21"/>
        </w:rPr>
        <w:t xml:space="preserve">2. ¿Se ha presentado reclamación ante el SAC o el defensor del asegurado? ¿Con qué resultado?</w:t>
      </w:r>
    </w:p>
    <w:p>
      <w:pPr>
        <w:pStyle w:val="ListParagraph"/>
        <w:numPr>
          <w:ilvl w:val="0"/>
          <w:numId w:val="2"/>
        </w:numPr>
        <w:spacing w:after="100" w:line="290"/>
      </w:pPr>
      <w:r>
        <w:rPr>
          <w:rFonts w:ascii="Archivo" w:cs="Archivo" w:eastAsia="Archivo" w:hAnsi="Archivo"/>
          <w:sz w:val="21"/>
          <w:szCs w:val="21"/>
        </w:rPr>
        <w:t xml:space="preserve">3. ¿Se ha acudido, en su caso, a la DGSFP? ¿Cuál es el contenido de su informe?</w:t>
      </w:r>
    </w:p>
    <w:p>
      <w:pPr>
        <w:pStyle w:val="ListParagraph"/>
        <w:numPr>
          <w:ilvl w:val="0"/>
          <w:numId w:val="2"/>
        </w:numPr>
        <w:spacing w:after="100" w:line="290"/>
      </w:pPr>
      <w:r>
        <w:rPr>
          <w:rFonts w:ascii="Archivo" w:cs="Archivo" w:eastAsia="Archivo" w:hAnsi="Archivo"/>
          <w:sz w:val="21"/>
          <w:szCs w:val="21"/>
        </w:rPr>
        <w:t xml:space="preserve">4. ¿Está documentado el conjunto del itinerario negociador para su incorporación a la demanda (art. 264.4.º LEC)?</w:t>
      </w:r>
    </w:p>
    <w:p>
      <w:pPr>
        <w:pStyle w:val="ListParagraph"/>
        <w:numPr>
          <w:ilvl w:val="0"/>
          <w:numId w:val="2"/>
        </w:numPr>
        <w:spacing w:after="100" w:line="290"/>
      </w:pPr>
      <w:r>
        <w:rPr>
          <w:rFonts w:ascii="Archivo" w:cs="Archivo" w:eastAsia="Archivo" w:hAnsi="Archivo"/>
          <w:sz w:val="21"/>
          <w:szCs w:val="21"/>
        </w:rPr>
        <w:t xml:space="preserve">5. ¿Existe riesgo de inadmisión de la demanda por falta de acreditación del intento negociador (art. 403.2 LEC)?</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24. </w:t>
      </w:r>
      <w:r>
        <w:rPr>
          <w:rFonts w:ascii="Fraunces" w:cs="Fraunces" w:eastAsia="Fraunces" w:hAnsi="Fraunces"/>
          <w:b/>
          <w:bCs/>
          <w:color w:val="0A2540"/>
          <w:sz w:val="30"/>
          <w:szCs w:val="30"/>
        </w:rPr>
        <w:t xml:space="preserve">Vía judicial: competencia, procedimiento y costas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24.1. Competencia territorial: el fuero especial del domicilio del asegurado</w:t>
            </w:r>
          </w:p>
          <w:p>
            <w:pPr>
              <w:spacing w:after="40" w:line="260"/>
            </w:pPr>
            <w:r>
              <w:rPr>
                <w:rFonts w:ascii="Archivo" w:cs="Archivo" w:eastAsia="Archivo" w:hAnsi="Archivo"/>
                <w:sz w:val="18"/>
                <w:szCs w:val="18"/>
              </w:rPr>
              <w:t xml:space="preserve">24.2. Elección de procedimiento según la cuantía</w:t>
            </w:r>
          </w:p>
          <w:p>
            <w:pPr>
              <w:spacing w:after="40" w:line="260"/>
            </w:pPr>
            <w:r>
              <w:rPr>
                <w:rFonts w:ascii="Archivo" w:cs="Archivo" w:eastAsia="Archivo" w:hAnsi="Archivo"/>
                <w:sz w:val="18"/>
                <w:szCs w:val="18"/>
              </w:rPr>
              <w:t xml:space="preserve">24.3. Legitimación activa y pasiva</w:t>
            </w:r>
          </w:p>
          <w:p>
            <w:pPr>
              <w:spacing w:after="40" w:line="260"/>
            </w:pPr>
            <w:r>
              <w:rPr>
                <w:rFonts w:ascii="Archivo" w:cs="Archivo" w:eastAsia="Archivo" w:hAnsi="Archivo"/>
                <w:sz w:val="18"/>
                <w:szCs w:val="18"/>
              </w:rPr>
              <w:t xml:space="preserve">24.4. La prueba en el proceso de seguro de hogar</w:t>
            </w:r>
          </w:p>
          <w:p>
            <w:pPr>
              <w:spacing w:after="40" w:line="260"/>
            </w:pPr>
            <w:r>
              <w:rPr>
                <w:rFonts w:ascii="Archivo" w:cs="Archivo" w:eastAsia="Archivo" w:hAnsi="Archivo"/>
                <w:sz w:val="18"/>
                <w:szCs w:val="18"/>
              </w:rPr>
              <w:t xml:space="preserve">24.5. Costas procesales</w:t>
            </w:r>
          </w:p>
          <w:p>
            <w:pPr>
              <w:spacing w:after="40" w:line="260"/>
            </w:pPr>
            <w:r>
              <w:rPr>
                <w:rFonts w:ascii="Archivo" w:cs="Archivo" w:eastAsia="Archivo" w:hAnsi="Archivo"/>
                <w:sz w:val="18"/>
                <w:szCs w:val="18"/>
              </w:rPr>
              <w:t xml:space="preserve">24.6. Ficha para el profesional</w:t>
            </w:r>
          </w:p>
          <w:p>
            <w:pPr>
              <w:spacing w:after="40" w:line="260"/>
            </w:pPr>
            <w:r>
              <w:rPr>
                <w:rFonts w:ascii="Archivo" w:cs="Archivo" w:eastAsia="Archivo" w:hAnsi="Archivo"/>
                <w:sz w:val="18"/>
                <w:szCs w:val="18"/>
              </w:rPr>
              <w:t xml:space="preserve">24.7. Ficha para el asegurado</w:t>
            </w:r>
          </w:p>
          <w:p>
            <w:pPr>
              <w:spacing w:after="40" w:line="260"/>
            </w:pPr>
            <w:r>
              <w:rPr>
                <w:rFonts w:ascii="Archivo" w:cs="Archivo" w:eastAsia="Archivo" w:hAnsi="Archivo"/>
                <w:sz w:val="18"/>
                <w:szCs w:val="18"/>
              </w:rPr>
              <w:t xml:space="preserve">24.8. Checklist: preparación de la demanda o de la contestación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marco procesal civil aplicable a las acciones derivadas del seguro de hogar: el fuero especial en materia de seguros del art. 52.2 LEC, que favorece sistemáticamente al asegurado; la elección entre juicio verbal y ordinario según la cuantía tras la reforma de 2023; las reglas de legitimación, con particular atención a la acción directa del tercero perjudicado; y el régimen de la prueba y de las costas, con el principio del vencimiento objetivo como telón de fondo de toda la estrategia procesal.</w:t>
            </w:r>
          </w:p>
          <w:p>
            <w:pPr>
              <w:spacing w:after="160"/>
            </w:pPr>
            <w:r>
              <w:rPr>
                <w:rFonts w:ascii="Archivo" w:cs="Archivo" w:eastAsia="Archivo" w:hAnsi="Archivo"/>
                <w:b/>
                <w:bCs/>
                <w:sz w:val="17"/>
                <w:szCs w:val="17"/>
              </w:rPr>
              <w:t xml:space="preserve">Palabras clave: competencia territorial, fuero del asegurado, juicio verbal, juicio ordinario, legitimación, costas procesales.</w:t>
            </w:r>
          </w:p>
          <w:p>
            <w:pPr>
              <w:spacing w:after="100"/>
              <w:jc w:val="both"/>
            </w:pPr>
            <w:r>
              <w:rPr>
                <w:rFonts w:ascii="Archivo" w:cs="Archivo" w:eastAsia="Archivo" w:hAnsi="Archivo"/>
                <w:i/>
                <w:iCs/>
                <w:sz w:val="18"/>
                <w:szCs w:val="18"/>
              </w:rPr>
              <w:t xml:space="preserve">This chapter systematises the civil procedural framework applicable to actions arising from homeowners' insurance: the special insurance jurisdiction rule of Article 52.2 of the Civil Procedure Act, which consistently favours the insured; the choice between summary and ordinary proceedings depending on the amount in dispute following the 2023 reform; standing rules, with particular attention to the injured third party's direct action; and the evidence and costs regime, with the objective-defeat principle underlying the entire procedural strategy.</w:t>
            </w:r>
          </w:p>
          <w:p>
            <w:pPr>
              <w:spacing w:after="0"/>
            </w:pPr>
            <w:r>
              <w:rPr>
                <w:rFonts w:ascii="Archivo" w:cs="Archivo" w:eastAsia="Archivo" w:hAnsi="Archivo"/>
                <w:b/>
                <w:bCs/>
                <w:sz w:val="17"/>
                <w:szCs w:val="17"/>
              </w:rPr>
              <w:t xml:space="preserve">Keywords: territorial jurisdiction, insured's forum, summary proceedings, ordinary proceedings, standing, costs.</w:t>
            </w:r>
          </w:p>
        </w:tc>
      </w:tr>
    </w:tbl>
    <w:p>
      <w:pPr>
        <w:spacing w:after="200"/>
      </w:pPr>
    </w:p>
    <w:p>
      <w:pPr>
        <w:pStyle w:val="Heading2"/>
        <w:spacing w:after="160" w:before="400"/>
      </w:pPr>
      <w:r>
        <w:rPr>
          <w:rFonts w:ascii="Fraunces" w:cs="Fraunces" w:eastAsia="Fraunces" w:hAnsi="Fraunces"/>
          <w:b/>
          <w:bCs/>
          <w:color w:val="0A2540"/>
          <w:sz w:val="24"/>
          <w:szCs w:val="24"/>
        </w:rPr>
        <w:t xml:space="preserve">24.1. Competencia territorial: el fuero especial del domicilio del asegurado</w:t>
      </w:r>
    </w:p>
    <w:p>
      <w:pPr>
        <w:spacing w:after="180" w:line="300"/>
        <w:jc w:val="both"/>
      </w:pPr>
      <w:r>
        <w:rPr>
          <w:rFonts w:ascii="Archivo" w:cs="Archivo" w:eastAsia="Archivo" w:hAnsi="Archivo"/>
          <w:sz w:val="21"/>
          <w:szCs w:val="21"/>
        </w:rPr>
        <w:t xml:space="preserve">La LEC dedica al contrato de seguro un fuero especial que constituye, en la práctica, una de las ventajas procesales más señaladas del asegurado frente a la aseguradora, y que el profesional debe invocar sistemáticamente al redactar cualquier demanda</w:t>
      </w:r>
      <w:r>
        <w:rPr>
          <w:rStyle w:val="FootnoteReference"/>
        </w:rPr>
        <w:footnoteReference w:id="56"/>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52.2 LEC</w:t>
            </w:r>
          </w:p>
          <w:p>
            <w:pPr>
              <w:spacing w:after="0" w:line="280"/>
              <w:jc w:val="both"/>
            </w:pPr>
            <w:r>
              <w:rPr>
                <w:rFonts w:ascii="IBM Plex Mono" w:cs="IBM Plex Mono" w:eastAsia="IBM Plex Mono" w:hAnsi="IBM Plex Mono"/>
                <w:i/>
                <w:iCs/>
                <w:color w:val="0A2540"/>
                <w:sz w:val="18"/>
                <w:szCs w:val="18"/>
              </w:rPr>
              <w:t xml:space="preserve">Cuando las normas del apartado anterior no fueren de aplicación a los litigios en materia de seguros [...] será competente el tribunal del domicilio del asegurado, comprador o prestatario o el del domicilio de quien hubiere aceptado la oferta, respectivamente, o el que corresponda conforme a las normas de los artículos 50 y 51, a elección del demandante.</w:t>
            </w:r>
          </w:p>
        </w:tc>
      </w:tr>
    </w:tbl>
    <w:p>
      <w:pPr>
        <w:spacing w:after="180" w:line="300"/>
        <w:jc w:val="both"/>
      </w:pPr>
      <w:r>
        <w:rPr>
          <w:rFonts w:ascii="Archivo" w:cs="Archivo" w:eastAsia="Archivo" w:hAnsi="Archivo"/>
          <w:sz w:val="21"/>
          <w:szCs w:val="21"/>
        </w:rPr>
        <w:t xml:space="preserve">El precepto atribuye al asegurado demandante —o a la aseguradora que actúa como demandante frente a su propio asegurado, en los infrecuentes supuestos en que esto ocurre— la facultad de elegir entre el domicilio del asegurado y los fueros generales de los arts. 50 y 51 LEC (domicilio del demandado). En la inmensa mayoría de los casos, esta elección beneficia al asegurado, que puede litigar en su propio partido judicial frente a aseguradoras cuyo domicilio social se encuentra, típicamente, en otra provincia, evitando así los costes y complejidades logísticas de un litigio a distancia.</w:t>
      </w:r>
    </w:p>
    <w:p>
      <w:pPr>
        <w:pStyle w:val="Heading2"/>
        <w:spacing w:after="160" w:before="400"/>
      </w:pPr>
      <w:r>
        <w:rPr>
          <w:rFonts w:ascii="Fraunces" w:cs="Fraunces" w:eastAsia="Fraunces" w:hAnsi="Fraunces"/>
          <w:b/>
          <w:bCs/>
          <w:color w:val="0A2540"/>
          <w:sz w:val="24"/>
          <w:szCs w:val="24"/>
        </w:rPr>
        <w:t xml:space="preserve">24.2. Elección de procedimiento según la cuantía</w:t>
      </w:r>
    </w:p>
    <w:p>
      <w:pPr>
        <w:spacing w:after="180" w:line="300"/>
        <w:jc w:val="both"/>
      </w:pPr>
      <w:r>
        <w:rPr>
          <w:rFonts w:ascii="Archivo" w:cs="Archivo" w:eastAsia="Archivo" w:hAnsi="Archivo"/>
          <w:sz w:val="21"/>
          <w:szCs w:val="21"/>
        </w:rPr>
        <w:t xml:space="preserve">La determinación del cauce procesal aplicable —juicio verbal u ordinario— depende, en la generalidad de las reclamaciones de seguro de hogar por incumplimiento contractual, de la cuantía litigiosa, conforme a la reforma operada por el Real Decreto-ley 6/2023, vigente desde el 20 de marzo de 2024 y ya avanzada en el Anexo IV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Arts. 249.2 y 250.2 LEC</w:t>
            </w:r>
          </w:p>
          <w:p>
            <w:pPr>
              <w:spacing w:after="0" w:line="280"/>
              <w:jc w:val="both"/>
            </w:pPr>
            <w:r>
              <w:rPr>
                <w:rFonts w:ascii="IBM Plex Mono" w:cs="IBM Plex Mono" w:eastAsia="IBM Plex Mono" w:hAnsi="IBM Plex Mono"/>
                <w:i/>
                <w:iCs/>
                <w:color w:val="0A2540"/>
                <w:sz w:val="18"/>
                <w:szCs w:val="18"/>
              </w:rPr>
              <w:t xml:space="preserve">Art. 249.2: Se decidirán también en el juicio ordinario las demandas cuya cuantía exceda de quince mil euros [...]. Art. 250.2: Se decidirán también en el juicio verbal las demandas cuya cuantía no exceda de quince mil euros [...].</w:t>
            </w:r>
          </w:p>
        </w:tc>
      </w:tr>
    </w:tbl>
    <w:p>
      <w:pPr>
        <w:spacing w:after="180" w:line="300"/>
        <w:jc w:val="both"/>
      </w:pPr>
      <w:r>
        <w:rPr>
          <w:rFonts w:ascii="Archivo" w:cs="Archivo" w:eastAsia="Archivo" w:hAnsi="Archivo"/>
          <w:sz w:val="21"/>
          <w:szCs w:val="21"/>
        </w:rPr>
        <w:t xml:space="preserve">El umbral de 15.000 euros, sensiblemente elevado respecto del régimen anterior a la reforma de 2023, determina que la inmensa mayoría de las reclamaciones ordinarias de daños por agua, robo o incendio en el seguro de hogar —cuya cuantía media rara vez supera esa cifra— se tramiten por los cauces, más ágiles y económicos, del juicio verbal, reservándose el juicio ordinario a los siniestros de mayor entidad económica (destrucción total del inmueble, responsabilidad civil de cuantía elevada) o a aquellos en los que, con independencia de la cuantía, resulte de aplicación alguno de los supuestos del art. 249.1 LEC.</w:t>
      </w:r>
    </w:p>
    <w:p>
      <w:pPr>
        <w:pStyle w:val="Heading2"/>
        <w:spacing w:after="160" w:before="400"/>
      </w:pPr>
      <w:r>
        <w:rPr>
          <w:rFonts w:ascii="Fraunces" w:cs="Fraunces" w:eastAsia="Fraunces" w:hAnsi="Fraunces"/>
          <w:b/>
          <w:bCs/>
          <w:color w:val="0A2540"/>
          <w:sz w:val="24"/>
          <w:szCs w:val="24"/>
        </w:rPr>
        <w:t xml:space="preserve">24.3. Legitimación activa y pasiva</w:t>
      </w:r>
    </w:p>
    <w:p>
      <w:pPr>
        <w:spacing w:after="180" w:line="300"/>
        <w:jc w:val="both"/>
      </w:pPr>
      <w:r>
        <w:rPr>
          <w:rFonts w:ascii="Archivo" w:cs="Archivo" w:eastAsia="Archivo" w:hAnsi="Archivo"/>
          <w:sz w:val="21"/>
          <w:szCs w:val="21"/>
        </w:rPr>
        <w:t xml:space="preserve">La legitimación activa corresponde, con carácter general, al asegurado (no necesariamente al tomador, si son personas distintas, según se estudió en el capítulo 2) para reclamar la indemnización derivada de su propia póliza. Cuando el siniestro involucra a la garantía de responsabilidad civil estudiada en el capítulo 13, la legitimación activa se extiende, mediante la acción directa del art. 76 LCS, al tercero perjudicado, que puede dirigir su reclamación directamente contra la aseguradora sin necesidad de demandar previa o simultáneamente al asegurado causante, aunque en la práctica forense es frecuente y prudente demandar conjuntamente a ambos, en litisconsorcio pasivo voluntario, para evitar cuestiones de oponibilidad de la sentencia.</w:t>
      </w:r>
    </w:p>
    <w:p>
      <w:pPr>
        <w:spacing w:after="180" w:line="300"/>
        <w:jc w:val="both"/>
      </w:pPr>
      <w:r>
        <w:rPr>
          <w:rFonts w:ascii="Archivo" w:cs="Archivo" w:eastAsia="Archivo" w:hAnsi="Archivo"/>
          <w:sz w:val="21"/>
          <w:szCs w:val="21"/>
        </w:rPr>
        <w:t xml:space="preserve">La legitimación pasiva corresponde, naturalmente, a la aseguradora, y en los supuestos de concurrencia de seguros estudiados en el capítulo 8, puede extenderse a varias aseguradoras simultáneamente cuando exista identidad de riesgo e interés asegurado, en régimen de litisconsorcio pasivo necesario o voluntario según las circunstancias del caso concreto.</w:t>
      </w:r>
    </w:p>
    <w:p>
      <w:pPr>
        <w:pStyle w:val="Heading2"/>
        <w:spacing w:after="160" w:before="400"/>
      </w:pPr>
      <w:r>
        <w:rPr>
          <w:rFonts w:ascii="Fraunces" w:cs="Fraunces" w:eastAsia="Fraunces" w:hAnsi="Fraunces"/>
          <w:b/>
          <w:bCs/>
          <w:color w:val="0A2540"/>
          <w:sz w:val="24"/>
          <w:szCs w:val="24"/>
        </w:rPr>
        <w:t xml:space="preserve">24.4. La prueba en el proceso de seguro de hogar</w:t>
      </w:r>
    </w:p>
    <w:p>
      <w:pPr>
        <w:spacing w:after="180" w:line="300"/>
        <w:jc w:val="both"/>
      </w:pPr>
      <w:r>
        <w:rPr>
          <w:rFonts w:ascii="Archivo" w:cs="Archivo" w:eastAsia="Archivo" w:hAnsi="Archivo"/>
          <w:sz w:val="21"/>
          <w:szCs w:val="21"/>
        </w:rPr>
        <w:t xml:space="preserve">La estrategia probatoria en un proceso de seguro de hogar gira, de forma casi invariable, en torno a tres ejes que el profesional debe planificar desde el primer momento del expediente, no solo al redactar la demanda:</w:t>
      </w:r>
    </w:p>
    <w:p>
      <w:pPr>
        <w:pStyle w:val="ListParagraph"/>
        <w:numPr>
          <w:ilvl w:val="0"/>
          <w:numId w:val="2"/>
        </w:numPr>
        <w:spacing w:after="100" w:line="290"/>
      </w:pPr>
      <w:r>
        <w:rPr>
          <w:rFonts w:ascii="Archivo" w:cs="Archivo" w:eastAsia="Archivo" w:hAnsi="Archivo"/>
          <w:b/>
          <w:bCs/>
          <w:sz w:val="21"/>
          <w:szCs w:val="21"/>
        </w:rPr>
        <w:t xml:space="preserve">Prueba documental: </w:t>
      </w:r>
      <w:r>
        <w:rPr>
          <w:rFonts w:ascii="Archivo" w:cs="Archivo" w:eastAsia="Archivo" w:hAnsi="Archivo"/>
          <w:sz w:val="21"/>
          <w:szCs w:val="21"/>
        </w:rPr>
        <w:t xml:space="preserve">póliza, condiciones generales y particulares, parte de siniestro, correspondencia con la aseguradora, facturas y presupuestos, y toda la documentación acreditativa de la preexistencia y valor de los bienes afectados.</w:t>
      </w:r>
    </w:p>
    <w:p>
      <w:pPr>
        <w:pStyle w:val="ListParagraph"/>
        <w:numPr>
          <w:ilvl w:val="0"/>
          <w:numId w:val="2"/>
        </w:numPr>
        <w:spacing w:after="100" w:line="290"/>
      </w:pPr>
      <w:r>
        <w:rPr>
          <w:rFonts w:ascii="Archivo" w:cs="Archivo" w:eastAsia="Archivo" w:hAnsi="Archivo"/>
          <w:b/>
          <w:bCs/>
          <w:sz w:val="21"/>
          <w:szCs w:val="21"/>
        </w:rPr>
        <w:t xml:space="preserve">Prueba pericial: </w:t>
      </w:r>
      <w:r>
        <w:rPr>
          <w:rFonts w:ascii="Archivo" w:cs="Archivo" w:eastAsia="Archivo" w:hAnsi="Archivo"/>
          <w:sz w:val="21"/>
          <w:szCs w:val="21"/>
        </w:rPr>
        <w:t xml:space="preserve">elemento central en la práctica totalidad de los litigios de seguro de hogar, según se ha reiterado a lo largo de esta obra; su correcta preparación, incluida la ratificación del perito en el acto del juicio y su sometimiento a contradicción, resulta decisiva en la generalidad de los casos.</w:t>
      </w:r>
    </w:p>
    <w:p>
      <w:pPr>
        <w:pStyle w:val="ListParagraph"/>
        <w:numPr>
          <w:ilvl w:val="0"/>
          <w:numId w:val="2"/>
        </w:numPr>
        <w:spacing w:after="100" w:line="290"/>
      </w:pPr>
      <w:r>
        <w:rPr>
          <w:rFonts w:ascii="Archivo" w:cs="Archivo" w:eastAsia="Archivo" w:hAnsi="Archivo"/>
          <w:b/>
          <w:bCs/>
          <w:sz w:val="21"/>
          <w:szCs w:val="21"/>
        </w:rPr>
        <w:t xml:space="preserve">Interrogatorio de parte: </w:t>
      </w:r>
      <w:r>
        <w:rPr>
          <w:rFonts w:ascii="Archivo" w:cs="Archivo" w:eastAsia="Archivo" w:hAnsi="Archivo"/>
          <w:sz w:val="21"/>
          <w:szCs w:val="21"/>
        </w:rPr>
        <w:t xml:space="preserve">particularmente relevante cuando se discuten hechos relativos al conocimiento de circunstancias declaradas o no declaradas al contratar (capítulo 4), o a la diligencia empleada por el asegurado en la custodia de los bienes (capítulo 9).</w:t>
      </w:r>
    </w:p>
    <w:p>
      <w:pPr>
        <w:pStyle w:val="Heading2"/>
        <w:spacing w:after="160" w:before="400"/>
      </w:pPr>
      <w:r>
        <w:rPr>
          <w:rFonts w:ascii="Fraunces" w:cs="Fraunces" w:eastAsia="Fraunces" w:hAnsi="Fraunces"/>
          <w:b/>
          <w:bCs/>
          <w:color w:val="0A2540"/>
          <w:sz w:val="24"/>
          <w:szCs w:val="24"/>
        </w:rPr>
        <w:t xml:space="preserve">24.5. Costas procesales</w:t>
      </w:r>
    </w:p>
    <w:p>
      <w:pPr>
        <w:spacing w:after="180" w:line="300"/>
        <w:jc w:val="both"/>
      </w:pPr>
      <w:r>
        <w:rPr>
          <w:rFonts w:ascii="Archivo" w:cs="Archivo" w:eastAsia="Archivo" w:hAnsi="Archivo"/>
          <w:sz w:val="21"/>
          <w:szCs w:val="21"/>
        </w:rPr>
        <w:t xml:space="preserve">El régimen de costas en el proceso civil español se rige por el principio del vencimiento objetivo, que en la práctica de la litigación de seguros opera como un poderoso incentivo adicional —junto con los intereses del art. 20 LCS ya estudiados— para la resolución extrajudicial temprana de las reclamaciones fundadas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394.1 LEC</w:t>
            </w:r>
          </w:p>
          <w:p>
            <w:pPr>
              <w:spacing w:after="0" w:line="280"/>
              <w:jc w:val="both"/>
            </w:pPr>
            <w:r>
              <w:rPr>
                <w:rFonts w:ascii="IBM Plex Mono" w:cs="IBM Plex Mono" w:eastAsia="IBM Plex Mono" w:hAnsi="IBM Plex Mono"/>
                <w:i/>
                <w:iCs/>
                <w:color w:val="0A2540"/>
                <w:sz w:val="18"/>
                <w:szCs w:val="18"/>
              </w:rPr>
              <w:t xml:space="preserve">En los procesos declarativos, las costas de la primera instancia se impondrán a la parte que haya visto rechazadas todas sus pretensiones, salvo que el tribunal aprecie, y así lo razone, que el caso presentaba serias dudas de hecho o de derecho.</w:t>
            </w:r>
          </w:p>
        </w:tc>
      </w:tr>
    </w:tbl>
    <w:p>
      <w:pPr>
        <w:spacing w:after="180" w:line="300"/>
        <w:jc w:val="both"/>
      </w:pPr>
      <w:r>
        <w:rPr>
          <w:rFonts w:ascii="Archivo" w:cs="Archivo" w:eastAsia="Archivo" w:hAnsi="Archivo"/>
          <w:sz w:val="21"/>
          <w:szCs w:val="21"/>
        </w:rPr>
        <w:t xml:space="preserve">La combinación de la condena en costas con los intereses del art. 20 LCS explica por qué, en la práctica, una aseguradora que deniega infundadamente una cobertura clara asume un riesgo económico muy superior al de la propia indemnización debida, lo que el profesional debe hacer explícito en cualquier negociación previa a la interposición de la demanda.</w:t>
      </w:r>
    </w:p>
    <w:p>
      <w:pPr>
        <w:pStyle w:val="Heading2"/>
        <w:spacing w:after="160" w:before="400"/>
      </w:pPr>
      <w:r>
        <w:rPr>
          <w:rFonts w:ascii="Fraunces" w:cs="Fraunces" w:eastAsia="Fraunces" w:hAnsi="Fraunces"/>
          <w:b/>
          <w:bCs/>
          <w:color w:val="0A2540"/>
          <w:sz w:val="24"/>
          <w:szCs w:val="24"/>
        </w:rPr>
        <w:t xml:space="preserve">24.6.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preparar la demanda</w:t>
            </w:r>
          </w:p>
          <w:p>
            <w:pPr>
              <w:pStyle w:val="ListParagraph"/>
              <w:numPr>
                <w:ilvl w:val="0"/>
                <w:numId w:val="2"/>
              </w:numPr>
              <w:spacing w:after="80" w:line="280"/>
            </w:pPr>
            <w:r>
              <w:rPr>
                <w:rFonts w:ascii="Archivo" w:cs="Archivo" w:eastAsia="Archivo" w:hAnsi="Archivo"/>
                <w:sz w:val="19"/>
                <w:szCs w:val="19"/>
              </w:rPr>
              <w:t xml:space="preserve">Invocar sistemáticamente el fuero especial del art. 52.2 LEC cuando resulte más favorable que los fueros generales, especialmente si el domicilio social de la aseguradora está en otra provincia.</w:t>
            </w:r>
          </w:p>
          <w:p>
            <w:pPr>
              <w:pStyle w:val="ListParagraph"/>
              <w:numPr>
                <w:ilvl w:val="0"/>
                <w:numId w:val="2"/>
              </w:numPr>
              <w:spacing w:after="80" w:line="280"/>
            </w:pPr>
            <w:r>
              <w:rPr>
                <w:rFonts w:ascii="Archivo" w:cs="Archivo" w:eastAsia="Archivo" w:hAnsi="Archivo"/>
                <w:sz w:val="19"/>
                <w:szCs w:val="19"/>
              </w:rPr>
              <w:t xml:space="preserve">Verificar la cuantía exacta de la reclamación para determinar el cauce procesal correcto (verbal u ordinario) conforme a los arts. 249.2 y 250.2 LEC.</w:t>
            </w:r>
          </w:p>
          <w:p>
            <w:pPr>
              <w:pStyle w:val="ListParagraph"/>
              <w:numPr>
                <w:ilvl w:val="0"/>
                <w:numId w:val="2"/>
              </w:numPr>
              <w:spacing w:after="80" w:line="280"/>
            </w:pPr>
            <w:r>
              <w:rPr>
                <w:rFonts w:ascii="Archivo" w:cs="Archivo" w:eastAsia="Archivo" w:hAnsi="Archivo"/>
                <w:sz w:val="19"/>
                <w:szCs w:val="19"/>
              </w:rPr>
              <w:t xml:space="preserve">En reclamaciones de responsabilidad civil, valorar la conveniencia de demandar conjuntamente al asegurado causante y a su aseguradora, sin perjuicio de la inmunidad de la acción directa del art. 76 LCS.</w:t>
            </w:r>
          </w:p>
          <w:p>
            <w:pPr>
              <w:pStyle w:val="ListParagraph"/>
              <w:numPr>
                <w:ilvl w:val="0"/>
                <w:numId w:val="2"/>
              </w:numPr>
              <w:spacing w:after="80" w:line="280"/>
            </w:pPr>
            <w:r>
              <w:rPr>
                <w:rFonts w:ascii="Archivo" w:cs="Archivo" w:eastAsia="Archivo" w:hAnsi="Archivo"/>
                <w:sz w:val="19"/>
                <w:szCs w:val="19"/>
              </w:rPr>
              <w:t xml:space="preserve">Planificar la prueba pericial desde el inicio del expediente extrajudicial, no solo al redactar la demanda, dada su centralidad en la práctica totalidad de los litigios del ramo.</w:t>
            </w:r>
          </w:p>
          <w:p>
            <w:pPr>
              <w:pStyle w:val="ListParagraph"/>
              <w:numPr>
                <w:ilvl w:val="0"/>
                <w:numId w:val="2"/>
              </w:numPr>
              <w:spacing w:after="80" w:line="280"/>
            </w:pPr>
            <w:r>
              <w:rPr>
                <w:rFonts w:ascii="Archivo" w:cs="Archivo" w:eastAsia="Archivo" w:hAnsi="Archivo"/>
                <w:sz w:val="19"/>
                <w:szCs w:val="19"/>
              </w:rPr>
              <w:t xml:space="preserve">Cuantificar en la demanda, junto con la indemnización principal, los intereses del art. 20 LCS y advertir sobre el riesgo de condena en costas de la aseguradora demandada.</w:t>
            </w:r>
          </w:p>
        </w:tc>
      </w:tr>
    </w:tbl>
    <w:p>
      <w:pPr>
        <w:pStyle w:val="Heading2"/>
        <w:spacing w:after="160" w:before="400"/>
      </w:pPr>
      <w:r>
        <w:rPr>
          <w:rFonts w:ascii="Fraunces" w:cs="Fraunces" w:eastAsia="Fraunces" w:hAnsi="Fraunces"/>
          <w:b/>
          <w:bCs/>
          <w:color w:val="0A2540"/>
          <w:sz w:val="24"/>
          <w:szCs w:val="24"/>
        </w:rPr>
        <w:t xml:space="preserve">24.7.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demandar a su aseguradora</w:t>
            </w:r>
          </w:p>
          <w:p>
            <w:pPr>
              <w:pStyle w:val="ListParagraph"/>
              <w:numPr>
                <w:ilvl w:val="0"/>
                <w:numId w:val="2"/>
              </w:numPr>
              <w:spacing w:after="80" w:line="280"/>
            </w:pPr>
            <w:r>
              <w:rPr>
                <w:rFonts w:ascii="Archivo" w:cs="Archivo" w:eastAsia="Archivo" w:hAnsi="Archivo"/>
                <w:sz w:val="19"/>
                <w:szCs w:val="19"/>
              </w:rPr>
              <w:t xml:space="preserve">Puede demandar a su aseguradora en el juzgado de su propio domicilio, aunque la sede social de la compañía esté en otra ciudad.</w:t>
            </w:r>
          </w:p>
          <w:p>
            <w:pPr>
              <w:pStyle w:val="ListParagraph"/>
              <w:numPr>
                <w:ilvl w:val="0"/>
                <w:numId w:val="2"/>
              </w:numPr>
              <w:spacing w:after="80" w:line="280"/>
            </w:pPr>
            <w:r>
              <w:rPr>
                <w:rFonts w:ascii="Archivo" w:cs="Archivo" w:eastAsia="Archivo" w:hAnsi="Archivo"/>
                <w:sz w:val="19"/>
                <w:szCs w:val="19"/>
              </w:rPr>
              <w:t xml:space="preserve">Si la cantidad reclamada no supera los 15.000 euros, el proceso será, normalmente, más rápido y sencillo (juicio verbal).</w:t>
            </w:r>
          </w:p>
          <w:p>
            <w:pPr>
              <w:pStyle w:val="ListParagraph"/>
              <w:numPr>
                <w:ilvl w:val="0"/>
                <w:numId w:val="2"/>
              </w:numPr>
              <w:spacing w:after="80" w:line="280"/>
            </w:pPr>
            <w:r>
              <w:rPr>
                <w:rFonts w:ascii="Archivo" w:cs="Archivo" w:eastAsia="Archivo" w:hAnsi="Archivo"/>
                <w:sz w:val="19"/>
                <w:szCs w:val="19"/>
              </w:rPr>
              <w:t xml:space="preserve">Si su aseguradora pierde el pleito, normalmente deberá pagar también las costas del proceso, lo que incluye en gran medida los honorarios de su abogado.</w:t>
            </w:r>
          </w:p>
        </w:tc>
      </w:tr>
    </w:tbl>
    <w:p>
      <w:pPr>
        <w:pStyle w:val="Heading2"/>
        <w:spacing w:after="160" w:before="400"/>
      </w:pPr>
      <w:r>
        <w:rPr>
          <w:rFonts w:ascii="Fraunces" w:cs="Fraunces" w:eastAsia="Fraunces" w:hAnsi="Fraunces"/>
          <w:b/>
          <w:bCs/>
          <w:color w:val="0A2540"/>
          <w:sz w:val="24"/>
          <w:szCs w:val="24"/>
        </w:rPr>
        <w:t xml:space="preserve">24.8. Checklist: preparación de la demanda o de la contestación</w:t>
      </w:r>
    </w:p>
    <w:p>
      <w:pPr>
        <w:pStyle w:val="ListParagraph"/>
        <w:numPr>
          <w:ilvl w:val="0"/>
          <w:numId w:val="2"/>
        </w:numPr>
        <w:spacing w:after="100" w:line="290"/>
      </w:pPr>
      <w:r>
        <w:rPr>
          <w:rFonts w:ascii="Archivo" w:cs="Archivo" w:eastAsia="Archivo" w:hAnsi="Archivo"/>
          <w:sz w:val="21"/>
          <w:szCs w:val="21"/>
        </w:rPr>
        <w:t xml:space="preserve">1. ¿Cuál es el domicilio del asegurado demandante y el de la aseguradora demandada?</w:t>
      </w:r>
    </w:p>
    <w:p>
      <w:pPr>
        <w:pStyle w:val="ListParagraph"/>
        <w:numPr>
          <w:ilvl w:val="0"/>
          <w:numId w:val="2"/>
        </w:numPr>
        <w:spacing w:after="100" w:line="290"/>
      </w:pPr>
      <w:r>
        <w:rPr>
          <w:rFonts w:ascii="Archivo" w:cs="Archivo" w:eastAsia="Archivo" w:hAnsi="Archivo"/>
          <w:sz w:val="21"/>
          <w:szCs w:val="21"/>
        </w:rPr>
        <w:t xml:space="preserve">2. ¿Cuál es la cuantía exacta de la reclamación, incluidos los intereses del art. 20 LCS?</w:t>
      </w:r>
    </w:p>
    <w:p>
      <w:pPr>
        <w:pStyle w:val="ListParagraph"/>
        <w:numPr>
          <w:ilvl w:val="0"/>
          <w:numId w:val="2"/>
        </w:numPr>
        <w:spacing w:after="100" w:line="290"/>
      </w:pPr>
      <w:r>
        <w:rPr>
          <w:rFonts w:ascii="Archivo" w:cs="Archivo" w:eastAsia="Archivo" w:hAnsi="Archivo"/>
          <w:sz w:val="21"/>
          <w:szCs w:val="21"/>
        </w:rPr>
        <w:t xml:space="preserve">3. ¿Procede juicio verbal u ordinario conforme a dicha cuantía?</w:t>
      </w:r>
    </w:p>
    <w:p>
      <w:pPr>
        <w:pStyle w:val="ListParagraph"/>
        <w:numPr>
          <w:ilvl w:val="0"/>
          <w:numId w:val="2"/>
        </w:numPr>
        <w:spacing w:after="100" w:line="290"/>
      </w:pPr>
      <w:r>
        <w:rPr>
          <w:rFonts w:ascii="Archivo" w:cs="Archivo" w:eastAsia="Archivo" w:hAnsi="Archivo"/>
          <w:sz w:val="21"/>
          <w:szCs w:val="21"/>
        </w:rPr>
        <w:t xml:space="preserve">4. ¿Quiénes deben ser demandados (aseguradora, asegurado causante, otras aseguradoras concurrentes)?</w:t>
      </w:r>
    </w:p>
    <w:p>
      <w:pPr>
        <w:pStyle w:val="ListParagraph"/>
        <w:numPr>
          <w:ilvl w:val="0"/>
          <w:numId w:val="2"/>
        </w:numPr>
        <w:spacing w:after="100" w:line="290"/>
      </w:pPr>
      <w:r>
        <w:rPr>
          <w:rFonts w:ascii="Archivo" w:cs="Archivo" w:eastAsia="Archivo" w:hAnsi="Archivo"/>
          <w:sz w:val="21"/>
          <w:szCs w:val="21"/>
        </w:rPr>
        <w:t xml:space="preserve">5. ¿Está preparada la prueba pericial y garantizada la disponibilidad del perito para su ratificación en juicio?</w:t>
      </w:r>
    </w:p>
    <w:p>
      <w:pPr>
        <w:pStyle w:val="ListParagraph"/>
        <w:numPr>
          <w:ilvl w:val="0"/>
          <w:numId w:val="2"/>
        </w:numPr>
        <w:spacing w:after="100" w:line="290"/>
      </w:pPr>
      <w:r>
        <w:rPr>
          <w:rFonts w:ascii="Archivo" w:cs="Archivo" w:eastAsia="Archivo" w:hAnsi="Archivo"/>
          <w:sz w:val="21"/>
          <w:szCs w:val="21"/>
        </w:rPr>
        <w:t xml:space="preserve">6. ¿Se ha acreditado el intento de negociación previa conforme al art. 264.4.º LEC (capítulo 23)?</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25. </w:t>
      </w:r>
      <w:r>
        <w:rPr>
          <w:rFonts w:ascii="Fraunces" w:cs="Fraunces" w:eastAsia="Fraunces" w:hAnsi="Fraunces"/>
          <w:b/>
          <w:bCs/>
          <w:color w:val="0A2540"/>
          <w:sz w:val="30"/>
          <w:szCs w:val="30"/>
        </w:rPr>
        <w:t xml:space="preserve">Cláusulas abusivas y protección de los consumidores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25.1. El tomador del seguro de hogar como consumidor</w:t>
            </w:r>
          </w:p>
          <w:p>
            <w:pPr>
              <w:spacing w:after="40" w:line="260"/>
            </w:pPr>
            <w:r>
              <w:rPr>
                <w:rFonts w:ascii="Archivo" w:cs="Archivo" w:eastAsia="Archivo" w:hAnsi="Archivo"/>
                <w:sz w:val="18"/>
                <w:szCs w:val="18"/>
              </w:rPr>
              <w:t xml:space="preserve">25.2. El triple control de las condiciones generales: incorporación, transparencia y contenido</w:t>
            </w:r>
          </w:p>
          <w:p>
            <w:pPr>
              <w:spacing w:after="40" w:line="260"/>
            </w:pPr>
            <w:r>
              <w:rPr>
                <w:rFonts w:ascii="Archivo" w:cs="Archivo" w:eastAsia="Archivo" w:hAnsi="Archivo"/>
                <w:sz w:val="18"/>
                <w:szCs w:val="18"/>
              </w:rPr>
              <w:t xml:space="preserve">25.3. El concepto legal de cláusula abusiva y su relación con el art. 3 LCS</w:t>
            </w:r>
          </w:p>
          <w:p>
            <w:pPr>
              <w:spacing w:after="40" w:line="260"/>
            </w:pPr>
            <w:r>
              <w:rPr>
                <w:rFonts w:ascii="Archivo" w:cs="Archivo" w:eastAsia="Archivo" w:hAnsi="Archivo"/>
                <w:sz w:val="18"/>
                <w:szCs w:val="18"/>
              </w:rPr>
              <w:t xml:space="preserve">25.4. Consecuencias de la abusividad: nulidad y subsistencia del contrato</w:t>
            </w:r>
          </w:p>
          <w:p>
            <w:pPr>
              <w:spacing w:after="40" w:line="260"/>
            </w:pPr>
            <w:r>
              <w:rPr>
                <w:rFonts w:ascii="Archivo" w:cs="Archivo" w:eastAsia="Archivo" w:hAnsi="Archivo"/>
                <w:sz w:val="18"/>
                <w:szCs w:val="18"/>
              </w:rPr>
              <w:t xml:space="preserve">25.5. Ficha para el profesional</w:t>
            </w:r>
          </w:p>
          <w:p>
            <w:pPr>
              <w:spacing w:after="40" w:line="260"/>
            </w:pPr>
            <w:r>
              <w:rPr>
                <w:rFonts w:ascii="Archivo" w:cs="Archivo" w:eastAsia="Archivo" w:hAnsi="Archivo"/>
                <w:sz w:val="18"/>
                <w:szCs w:val="18"/>
              </w:rPr>
              <w:t xml:space="preserve">25.6. Ficha para el asegurado</w:t>
            </w:r>
          </w:p>
          <w:p>
            <w:pPr>
              <w:spacing w:after="40" w:line="260"/>
            </w:pPr>
            <w:r>
              <w:rPr>
                <w:rFonts w:ascii="Archivo" w:cs="Archivo" w:eastAsia="Archivo" w:hAnsi="Archivo"/>
                <w:sz w:val="18"/>
                <w:szCs w:val="18"/>
              </w:rPr>
              <w:t xml:space="preserve">25.7. Checklist: análisis de una cláusula desde la perspectiva de consumo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el estudio de las condiciones generales del seguro de hogar iniciado en los capítulos 1 y 5, añadiendo el tercer y último nivel de control aplicable cuando el tomador ostenta la condición de consumidor: el control de contenido o de abusividad del Texto Refundido de la Ley General para la Defensa de los Consumidores y Usuarios, que la jurisprudencia mantiene cuidadosamente diferenciado tanto del control de incorporación —aplicable a todo adherente— como del propio régimen del art. 3 LCS.</w:t>
            </w:r>
          </w:p>
          <w:p>
            <w:pPr>
              <w:spacing w:after="160"/>
            </w:pPr>
            <w:r>
              <w:rPr>
                <w:rFonts w:ascii="Archivo" w:cs="Archivo" w:eastAsia="Archivo" w:hAnsi="Archivo"/>
                <w:b/>
                <w:bCs/>
                <w:sz w:val="17"/>
                <w:szCs w:val="17"/>
              </w:rPr>
              <w:t xml:space="preserve">Palabras clave: cláusulas abusivas, TRLGDCU, control de transparencia cualificado, consumidor, nulidad.</w:t>
            </w:r>
          </w:p>
          <w:p>
            <w:pPr>
              <w:spacing w:after="100"/>
              <w:jc w:val="both"/>
            </w:pPr>
            <w:r>
              <w:rPr>
                <w:rFonts w:ascii="Archivo" w:cs="Archivo" w:eastAsia="Archivo" w:hAnsi="Archivo"/>
                <w:i/>
                <w:iCs/>
                <w:sz w:val="18"/>
                <w:szCs w:val="18"/>
              </w:rPr>
              <w:t xml:space="preserve">This chapter closes the study of homeowners' insurance general terms begun in Chapters 1 and 4, adding the third and final layer of control applicable when the policyholder qualifies as a consumer: the content or unfairness control under the Consumer Protection Act, which case law keeps carefully distinct both from the incorporation control —applicable to any adherent— and from the specific regime of Article 3 of the Insurance Contract Act.</w:t>
            </w:r>
          </w:p>
          <w:p>
            <w:pPr>
              <w:spacing w:after="0"/>
            </w:pPr>
            <w:r>
              <w:rPr>
                <w:rFonts w:ascii="Archivo" w:cs="Archivo" w:eastAsia="Archivo" w:hAnsi="Archivo"/>
                <w:b/>
                <w:bCs/>
                <w:sz w:val="17"/>
                <w:szCs w:val="17"/>
              </w:rPr>
              <w:t xml:space="preserve">Keywords: unfair contract terms, consumer protection, qualified transparency control, nullity.</w:t>
            </w:r>
          </w:p>
        </w:tc>
      </w:tr>
    </w:tbl>
    <w:p>
      <w:pPr>
        <w:spacing w:after="200"/>
      </w:pPr>
    </w:p>
    <w:p>
      <w:pPr>
        <w:pStyle w:val="Heading2"/>
        <w:spacing w:after="160" w:before="400"/>
      </w:pPr>
      <w:r>
        <w:rPr>
          <w:rFonts w:ascii="Fraunces" w:cs="Fraunces" w:eastAsia="Fraunces" w:hAnsi="Fraunces"/>
          <w:b/>
          <w:bCs/>
          <w:color w:val="0A2540"/>
          <w:sz w:val="24"/>
          <w:szCs w:val="24"/>
        </w:rPr>
        <w:t xml:space="preserve">25.1. El tomador del seguro de hogar como consumidor</w:t>
      </w:r>
    </w:p>
    <w:p>
      <w:pPr>
        <w:spacing w:after="180" w:line="300"/>
        <w:jc w:val="both"/>
      </w:pPr>
      <w:r>
        <w:rPr>
          <w:rFonts w:ascii="Archivo" w:cs="Archivo" w:eastAsia="Archivo" w:hAnsi="Archivo"/>
          <w:sz w:val="21"/>
          <w:szCs w:val="21"/>
        </w:rPr>
        <w:t xml:space="preserve">La inmensa mayoría de los tomadores de un seguro de hogar contratan la póliza para la protección de su vivienda habitual o segunda residencia al margen de cualquier actividad empresarial o profesional, lo que les atribuye la condición de consumidor o usuario a efectos del Texto Refundido de la Ley General para la Defensa de los Consumidores y Usuarios (TRLGDCU), aprobado por Real Decreto Legislativo 1/2007</w:t>
      </w:r>
      <w:r>
        <w:rPr>
          <w:rStyle w:val="FootnoteReference"/>
        </w:rPr>
        <w:footnoteReference w:id="57"/>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Esta condición activa, además de las protecciones ya estudiadas del art. 3 LCS —aplicable a todo asegurado, sea o no consumidor—, un nivel adicional y más intenso de control, con su propio fundamento normativo, metodología y consecuencias, objeto de este capítulo.</w:t>
      </w:r>
    </w:p>
    <w:p>
      <w:pPr>
        <w:pStyle w:val="Heading2"/>
        <w:spacing w:after="160" w:before="400"/>
      </w:pPr>
      <w:r>
        <w:rPr>
          <w:rFonts w:ascii="Fraunces" w:cs="Fraunces" w:eastAsia="Fraunces" w:hAnsi="Fraunces"/>
          <w:b/>
          <w:bCs/>
          <w:color w:val="0A2540"/>
          <w:sz w:val="24"/>
          <w:szCs w:val="24"/>
        </w:rPr>
        <w:t xml:space="preserve">25.2. El triple control de las condiciones generales: incorporación, transparencia y contenido</w:t>
      </w:r>
    </w:p>
    <w:p>
      <w:pPr>
        <w:spacing w:after="180" w:line="300"/>
        <w:jc w:val="both"/>
      </w:pPr>
      <w:r>
        <w:rPr>
          <w:rFonts w:ascii="Archivo" w:cs="Archivo" w:eastAsia="Archivo" w:hAnsi="Archivo"/>
          <w:sz w:val="21"/>
          <w:szCs w:val="21"/>
        </w:rPr>
        <w:t xml:space="preserve">La jurisprudencia de la Sala Primera ha sistematizado con precisión los tres niveles de control a los que puede someterse una condición general, precisando —de forma especialmente relevante para el profesional que representa a una aseguradora frente a un tomador que no es consumidor— cuáles de ellos son de aplicación universal y cuáles quedan reservados en exclusiva a la contratación con consumidores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junio de 2016 (ROJ: STS 2550/2016; ECLI:ES:TS:2016:2550; MP: Vela Torres)</w:t>
            </w:r>
          </w:p>
          <w:p>
            <w:pPr>
              <w:spacing w:after="0" w:line="280"/>
              <w:jc w:val="both"/>
            </w:pPr>
            <w:r>
              <w:rPr>
                <w:rFonts w:ascii="Archivo" w:cs="Archivo" w:eastAsia="Archivo" w:hAnsi="Archivo"/>
                <w:color w:val="0A2540"/>
                <w:sz w:val="19"/>
                <w:szCs w:val="19"/>
              </w:rPr>
              <w:t xml:space="preserve">«El concepto de transparencia, configurado como control de fondo o de comprensibilidad real, constituye directamente un control de abusividad y, por tanto, distinto del control de incorporación que es el que podría ser aplicado, en todo caso, de forma extensiva, por lo que al quedar reservado el control de abusividad a la esfera estricta de los consumidores, no puede ser aplicado el control de transparencia/abusividad a la contratación entre empresarios.»</w:t>
            </w:r>
          </w:p>
        </w:tc>
      </w:tr>
    </w:tbl>
    <w:p>
      <w:pPr>
        <w:spacing w:after="180" w:line="300"/>
        <w:jc w:val="both"/>
      </w:pPr>
      <w:r>
        <w:rPr>
          <w:rFonts w:ascii="Archivo" w:cs="Archivo" w:eastAsia="Archivo" w:hAnsi="Archivo"/>
          <w:sz w:val="21"/>
          <w:szCs w:val="21"/>
        </w:rPr>
        <w:t xml:space="preserve">De esta doctrina se extrae la arquitectura completa de controles aplicable a cualquier cláusula de una póliza de hogar, que el profesional debe recorrer en el siguiente orden lógico:</w:t>
      </w:r>
    </w:p>
    <w:p>
      <w:pPr>
        <w:pStyle w:val="ListParagraph"/>
        <w:numPr>
          <w:ilvl w:val="0"/>
          <w:numId w:val="2"/>
        </w:numPr>
        <w:spacing w:after="100" w:line="290"/>
      </w:pPr>
      <w:r>
        <w:rPr>
          <w:rFonts w:ascii="Archivo" w:cs="Archivo" w:eastAsia="Archivo" w:hAnsi="Archivo"/>
          <w:b/>
          <w:bCs/>
          <w:sz w:val="21"/>
          <w:szCs w:val="21"/>
        </w:rPr>
        <w:t xml:space="preserve">Control de incorporación (arts. 5 y 7 LCGC, capítulo 5): </w:t>
      </w:r>
      <w:r>
        <w:rPr>
          <w:rFonts w:ascii="Archivo" w:cs="Archivo" w:eastAsia="Archivo" w:hAnsi="Archivo"/>
          <w:sz w:val="21"/>
          <w:szCs w:val="21"/>
        </w:rPr>
        <w:t xml:space="preserve">aplicable a todo adherente, sea o no consumidor. Verifica si la cláusula llegó a formar parte del contrato (oportunidad real de conocerla, legibilidad).</w:t>
      </w:r>
    </w:p>
    <w:p>
      <w:pPr>
        <w:pStyle w:val="ListParagraph"/>
        <w:numPr>
          <w:ilvl w:val="0"/>
          <w:numId w:val="2"/>
        </w:numPr>
        <w:spacing w:after="100" w:line="290"/>
      </w:pPr>
      <w:r>
        <w:rPr>
          <w:rFonts w:ascii="Archivo" w:cs="Archivo" w:eastAsia="Archivo" w:hAnsi="Archivo"/>
          <w:b/>
          <w:bCs/>
          <w:sz w:val="21"/>
          <w:szCs w:val="21"/>
        </w:rPr>
        <w:t xml:space="preserve">Control específico del art. 3 LCS (capítulos 1 y 5): </w:t>
      </w:r>
      <w:r>
        <w:rPr>
          <w:rFonts w:ascii="Archivo" w:cs="Archivo" w:eastAsia="Archivo" w:hAnsi="Archivo"/>
          <w:sz w:val="21"/>
          <w:szCs w:val="21"/>
        </w:rPr>
        <w:t xml:space="preserve">aplicable a todo asegurado, sea o no consumidor, en su condición de destinatario específico de la protección de la LCS. Exige el destacado formal y la aceptación específica de las cláusulas limitativas.</w:t>
      </w:r>
    </w:p>
    <w:p>
      <w:pPr>
        <w:pStyle w:val="ListParagraph"/>
        <w:numPr>
          <w:ilvl w:val="0"/>
          <w:numId w:val="2"/>
        </w:numPr>
        <w:spacing w:after="100" w:line="290"/>
      </w:pPr>
      <w:r>
        <w:rPr>
          <w:rFonts w:ascii="Archivo" w:cs="Archivo" w:eastAsia="Archivo" w:hAnsi="Archivo"/>
          <w:b/>
          <w:bCs/>
          <w:sz w:val="21"/>
          <w:szCs w:val="21"/>
        </w:rPr>
        <w:t xml:space="preserve">Control de transparencia material o cualificado (este capítulo): </w:t>
      </w:r>
      <w:r>
        <w:rPr>
          <w:rFonts w:ascii="Archivo" w:cs="Archivo" w:eastAsia="Archivo" w:hAnsi="Archivo"/>
          <w:sz w:val="21"/>
          <w:szCs w:val="21"/>
        </w:rPr>
        <w:t xml:space="preserve">reservado a los consumidores. Examina si la cláusula, aunque gramaticalmente comprensible, permite al adherente medio conocer la carga económica y jurídica real que le impone, sin alterar de forma inadvertida el equilibrio del contrato.</w:t>
      </w:r>
    </w:p>
    <w:p>
      <w:pPr>
        <w:pStyle w:val="ListParagraph"/>
        <w:numPr>
          <w:ilvl w:val="0"/>
          <w:numId w:val="2"/>
        </w:numPr>
        <w:spacing w:after="100" w:line="290"/>
      </w:pPr>
      <w:r>
        <w:rPr>
          <w:rFonts w:ascii="Archivo" w:cs="Archivo" w:eastAsia="Archivo" w:hAnsi="Archivo"/>
          <w:b/>
          <w:bCs/>
          <w:sz w:val="21"/>
          <w:szCs w:val="21"/>
        </w:rPr>
        <w:t xml:space="preserve">Control de contenido o de abusividad en sentido estricto (arts. 82 y siguientes TRLGDCU): </w:t>
      </w:r>
      <w:r>
        <w:rPr>
          <w:rFonts w:ascii="Archivo" w:cs="Archivo" w:eastAsia="Archivo" w:hAnsi="Archivo"/>
          <w:sz w:val="21"/>
          <w:szCs w:val="21"/>
        </w:rPr>
        <w:t xml:space="preserve">igualmente reservado a los consumidores. Examina si la cláusula, con independencia de su transparencia, genera un desequilibrio importante e injustificado en perjuicio del consumidor.</w:t>
      </w:r>
    </w:p>
    <w:p>
      <w:pPr>
        <w:pStyle w:val="Heading2"/>
        <w:spacing w:after="160" w:before="400"/>
      </w:pPr>
      <w:r>
        <w:rPr>
          <w:rFonts w:ascii="Fraunces" w:cs="Fraunces" w:eastAsia="Fraunces" w:hAnsi="Fraunces"/>
          <w:b/>
          <w:bCs/>
          <w:color w:val="0A2540"/>
          <w:sz w:val="24"/>
          <w:szCs w:val="24"/>
        </w:rPr>
        <w:t xml:space="preserve">25.3. El concepto legal de cláusula abusiva y su relación con el art. 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82.1 TRLGDCU</w:t>
            </w:r>
          </w:p>
          <w:p>
            <w:pPr>
              <w:spacing w:after="0" w:line="280"/>
              <w:jc w:val="both"/>
            </w:pPr>
            <w:r>
              <w:rPr>
                <w:rFonts w:ascii="IBM Plex Mono" w:cs="IBM Plex Mono" w:eastAsia="IBM Plex Mono" w:hAnsi="IBM Plex Mono"/>
                <w:i/>
                <w:iCs/>
                <w:color w:val="0A2540"/>
                <w:sz w:val="18"/>
                <w:szCs w:val="18"/>
              </w:rPr>
              <w:t xml:space="preserve">Se considerarán cláusulas abusivas todas aquellas estipulaciones no negociadas individualmente y todas aquéllas prácticas no consentidas expresamente que, en contra de las exigencias de la buena fe causen, en perjuicio del consumidor y usuario, un desequilibrio importante de los derechos y obligaciones de las partes que se deriven del contrato.</w:t>
            </w:r>
          </w:p>
        </w:tc>
      </w:tr>
    </w:tbl>
    <w:p>
      <w:pPr>
        <w:spacing w:after="180" w:line="300"/>
        <w:jc w:val="both"/>
      </w:pPr>
      <w:r>
        <w:rPr>
          <w:rFonts w:ascii="Archivo" w:cs="Archivo" w:eastAsia="Archivo" w:hAnsi="Archivo"/>
          <w:sz w:val="21"/>
          <w:szCs w:val="21"/>
        </w:rPr>
        <w:t xml:space="preserve">La superposición conceptual con la categoría de las cláusulas lesivas del art. 3 LCS, ya estudiada en el capítulo 1, es evidente y no casual: ambas normas protegen, desde perspectivas complementarias, frente al mismo fenómeno de desequilibrio contractual injustificado. La diferencia práctica relevante es de origen y de alcance: la cláusula lesiva del art. 3 LCS protege a todo asegurado, consumidor o no, mientras que la cláusula abusiva del TRLGDCU exige específicamente la condición de consumidor del tomador, pero ofrece a cambio un catálogo mucho más detallado y casuístico de supuestos de abusividad (arts. 85 a 90 TRLGDCU) que puede resultar de aplicación directa a cláusulas concretas del seguro de hogar —por ejemplo, las que atribuyen a la aseguradora la facultad unilateral de interpretar el contrato, o las que imponen al consumidor cargas probatorias desproporcionadas—, con independencia de que superen o no, individualmente, el test de lesividad del art. 3 LCS.</w:t>
      </w:r>
    </w:p>
    <w:p>
      <w:pPr>
        <w:spacing w:after="180" w:line="300"/>
        <w:jc w:val="both"/>
      </w:pPr>
      <w:r>
        <w:rPr>
          <w:rFonts w:ascii="Archivo" w:cs="Archivo" w:eastAsia="Archivo" w:hAnsi="Archivo"/>
          <w:sz w:val="21"/>
          <w:szCs w:val="21"/>
        </w:rPr>
        <w:t xml:space="preserve">El artículo 80 TRLGDCU añade, además, exigencias formales de concreción, claridad, accesibilidad y legibilidad —incluyendo, desde la reforma de 2022, un umbral mínimo de tamaño de letra y de interlineado— que complementan, sin sustituir, las exigencias específicas del art. 3 LCS sobre destacado de las cláusulas limitativas.</w:t>
      </w:r>
    </w:p>
    <w:p>
      <w:pPr>
        <w:pStyle w:val="Heading2"/>
        <w:spacing w:after="160" w:before="400"/>
      </w:pPr>
      <w:r>
        <w:rPr>
          <w:rFonts w:ascii="Fraunces" w:cs="Fraunces" w:eastAsia="Fraunces" w:hAnsi="Fraunces"/>
          <w:b/>
          <w:bCs/>
          <w:color w:val="0A2540"/>
          <w:sz w:val="24"/>
          <w:szCs w:val="24"/>
        </w:rPr>
        <w:t xml:space="preserve">25.4. Consecuencias de la abusividad: nulidad y subsistencia del contrato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83 TRLGDCU</w:t>
            </w:r>
          </w:p>
          <w:p>
            <w:pPr>
              <w:spacing w:after="0" w:line="280"/>
              <w:jc w:val="both"/>
            </w:pPr>
            <w:r>
              <w:rPr>
                <w:rFonts w:ascii="IBM Plex Mono" w:cs="IBM Plex Mono" w:eastAsia="IBM Plex Mono" w:hAnsi="IBM Plex Mono"/>
                <w:i/>
                <w:iCs/>
                <w:color w:val="0A2540"/>
                <w:sz w:val="18"/>
                <w:szCs w:val="18"/>
              </w:rPr>
              <w:t xml:space="preserve">Las cláusulas abusivas serán nulas de pleno derecho y se tendrán por no puestas. A estos efectos, el Juez, previa audiencia de las partes, declarará la nulidad de las cláusulas abusivas incluidas en el contrato, el cual, no obstante, seguirá siendo obligatorio para las partes en los mismos términos, siempre que pueda subsistir sin dichas cláusulas. Las condiciones incorporadas de modo no transparente en los contratos en perjuicio de los consumidores serán nulas de pleno derecho.</w:t>
            </w:r>
          </w:p>
        </w:tc>
      </w:tr>
    </w:tbl>
    <w:p>
      <w:pPr>
        <w:spacing w:after="180" w:line="300"/>
        <w:jc w:val="both"/>
      </w:pPr>
      <w:r>
        <w:rPr>
          <w:rFonts w:ascii="Archivo" w:cs="Archivo" w:eastAsia="Archivo" w:hAnsi="Archivo"/>
          <w:sz w:val="21"/>
          <w:szCs w:val="21"/>
        </w:rPr>
        <w:t xml:space="preserve">La consecuencia de la abusividad —nulidad de pleno derecho y tenerla por no puesta, con subsistencia del resto del contrato— es más severa que la de la mera inoponibilidad de las cláusulas limitativas mal incorporadas conforme al art. 3 LCS: mientras que estas últimas simplemente no vinculan al asegurado (que puede, en la práctica, beneficiarse de la cobertura sin la restricción indebidamente impuesta), la cláusula declarada abusiva desaparece del contrato con efecto retroactivo y sin posibilidad de moderación o integración judicial que perjudique al consumidor, conforme a la reiterada jurisprudencia del Tribunal de Justicia de la Unión Europea sobre la Directiva 93/13/CEE, cuya transposición constituye el TRLGDCU.</w:t>
      </w:r>
    </w:p>
    <w:p>
      <w:pPr>
        <w:pStyle w:val="Heading2"/>
        <w:spacing w:after="160" w:before="400"/>
      </w:pPr>
      <w:r>
        <w:rPr>
          <w:rFonts w:ascii="Fraunces" w:cs="Fraunces" w:eastAsia="Fraunces" w:hAnsi="Fraunces"/>
          <w:b/>
          <w:bCs/>
          <w:color w:val="0A2540"/>
          <w:sz w:val="24"/>
          <w:szCs w:val="24"/>
        </w:rPr>
        <w:t xml:space="preserve">25.5.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control de una cláusula cuando el tomador es consumidor</w:t>
            </w:r>
          </w:p>
          <w:p>
            <w:pPr>
              <w:pStyle w:val="ListParagraph"/>
              <w:numPr>
                <w:ilvl w:val="0"/>
                <w:numId w:val="2"/>
              </w:numPr>
              <w:spacing w:after="80" w:line="280"/>
            </w:pPr>
            <w:r>
              <w:rPr>
                <w:rFonts w:ascii="Archivo" w:cs="Archivo" w:eastAsia="Archivo" w:hAnsi="Archivo"/>
                <w:sz w:val="19"/>
                <w:szCs w:val="19"/>
              </w:rPr>
              <w:t xml:space="preserve">Verificar en primer lugar la condición de consumidor del tomador concreto, sin darla por supuesta automáticamente.</w:t>
            </w:r>
          </w:p>
          <w:p>
            <w:pPr>
              <w:pStyle w:val="ListParagraph"/>
              <w:numPr>
                <w:ilvl w:val="0"/>
                <w:numId w:val="2"/>
              </w:numPr>
              <w:spacing w:after="80" w:line="280"/>
            </w:pPr>
            <w:r>
              <w:rPr>
                <w:rFonts w:ascii="Archivo" w:cs="Archivo" w:eastAsia="Archivo" w:hAnsi="Archivo"/>
                <w:sz w:val="19"/>
                <w:szCs w:val="19"/>
              </w:rPr>
              <w:t xml:space="preserve">Recorrer los cuatro niveles de control en el orden lógico expuesto: incorporación, art. 3 LCS, transparencia material y contenido/abusividad, conforme a la STS 2550/2016 (ROJ: STS 2550/2016).</w:t>
            </w:r>
          </w:p>
          <w:p>
            <w:pPr>
              <w:pStyle w:val="ListParagraph"/>
              <w:numPr>
                <w:ilvl w:val="0"/>
                <w:numId w:val="2"/>
              </w:numPr>
              <w:spacing w:after="80" w:line="280"/>
            </w:pPr>
            <w:r>
              <w:rPr>
                <w:rFonts w:ascii="Archivo" w:cs="Archivo" w:eastAsia="Archivo" w:hAnsi="Archivo"/>
                <w:sz w:val="19"/>
                <w:szCs w:val="19"/>
              </w:rPr>
              <w:t xml:space="preserve">Cotejar la cláusula controvertida con el catálogo casuístico de los arts. 85 a 90 TRLGDCU, que puede fundar su abusividad con independencia del resultado del test de lesividad del art. 3 LCS.</w:t>
            </w:r>
          </w:p>
          <w:p>
            <w:pPr>
              <w:pStyle w:val="ListParagraph"/>
              <w:numPr>
                <w:ilvl w:val="0"/>
                <w:numId w:val="2"/>
              </w:numPr>
              <w:spacing w:after="80" w:line="280"/>
            </w:pPr>
            <w:r>
              <w:rPr>
                <w:rFonts w:ascii="Archivo" w:cs="Archivo" w:eastAsia="Archivo" w:hAnsi="Archivo"/>
                <w:sz w:val="19"/>
                <w:szCs w:val="19"/>
              </w:rPr>
              <w:t xml:space="preserve">Recordar que la declaración de abusividad no admite integración judicial en perjuicio del consumidor: la cláusula desaparece sin más, no se sustituye por una versión moderada.</w:t>
            </w:r>
          </w:p>
        </w:tc>
      </w:tr>
    </w:tbl>
    <w:p>
      <w:pPr>
        <w:pStyle w:val="Heading2"/>
        <w:spacing w:after="160" w:before="400"/>
      </w:pPr>
      <w:r>
        <w:rPr>
          <w:rFonts w:ascii="Fraunces" w:cs="Fraunces" w:eastAsia="Fraunces" w:hAnsi="Fraunces"/>
          <w:b/>
          <w:bCs/>
          <w:color w:val="0A2540"/>
          <w:sz w:val="24"/>
          <w:szCs w:val="24"/>
        </w:rPr>
        <w:t xml:space="preserve">25.6.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protección adicional tiene como consumidor</w:t>
            </w:r>
          </w:p>
          <w:p>
            <w:pPr>
              <w:pStyle w:val="ListParagraph"/>
              <w:numPr>
                <w:ilvl w:val="0"/>
                <w:numId w:val="2"/>
              </w:numPr>
              <w:spacing w:after="80" w:line="280"/>
            </w:pPr>
            <w:r>
              <w:rPr>
                <w:rFonts w:ascii="Archivo" w:cs="Archivo" w:eastAsia="Archivo" w:hAnsi="Archivo"/>
                <w:sz w:val="19"/>
                <w:szCs w:val="19"/>
              </w:rPr>
              <w:t xml:space="preserve">Si contrató su seguro de hogar como particular, para su vivienda, es usted consumidor a efectos legales y tiene una protección reforzada frente a cláusulas abusivas, además de la protección general de la Ley de Contrato de Seguro.</w:t>
            </w:r>
          </w:p>
          <w:p>
            <w:pPr>
              <w:pStyle w:val="ListParagraph"/>
              <w:numPr>
                <w:ilvl w:val="0"/>
                <w:numId w:val="2"/>
              </w:numPr>
              <w:spacing w:after="80" w:line="280"/>
            </w:pPr>
            <w:r>
              <w:rPr>
                <w:rFonts w:ascii="Archivo" w:cs="Archivo" w:eastAsia="Archivo" w:hAnsi="Archivo"/>
                <w:sz w:val="19"/>
                <w:szCs w:val="19"/>
              </w:rPr>
              <w:t xml:space="preserve">Una cláusula puede ser válida conforme al art. 3 LCS y, aun así, ser abusiva y nula si le genera un desequilibrio injustificado como consumidor.</w:t>
            </w:r>
          </w:p>
          <w:p>
            <w:pPr>
              <w:pStyle w:val="ListParagraph"/>
              <w:numPr>
                <w:ilvl w:val="0"/>
                <w:numId w:val="2"/>
              </w:numPr>
              <w:spacing w:after="80" w:line="280"/>
            </w:pPr>
            <w:r>
              <w:rPr>
                <w:rFonts w:ascii="Archivo" w:cs="Archivo" w:eastAsia="Archivo" w:hAnsi="Archivo"/>
                <w:sz w:val="19"/>
                <w:szCs w:val="19"/>
              </w:rPr>
              <w:t xml:space="preserve">Si una cláusula se declara abusiva, desaparece del contrato, pero el resto de su póliza sigue siendo válido.</w:t>
            </w:r>
          </w:p>
        </w:tc>
      </w:tr>
    </w:tbl>
    <w:p>
      <w:pPr>
        <w:pStyle w:val="Heading2"/>
        <w:spacing w:after="160" w:before="400"/>
      </w:pPr>
      <w:r>
        <w:rPr>
          <w:rFonts w:ascii="Fraunces" w:cs="Fraunces" w:eastAsia="Fraunces" w:hAnsi="Fraunces"/>
          <w:b/>
          <w:bCs/>
          <w:color w:val="0A2540"/>
          <w:sz w:val="24"/>
          <w:szCs w:val="24"/>
        </w:rPr>
        <w:t xml:space="preserve">25.7. Checklist: análisis de una cláusula desde la perspectiva de consumo</w:t>
      </w:r>
    </w:p>
    <w:p>
      <w:pPr>
        <w:pStyle w:val="ListParagraph"/>
        <w:numPr>
          <w:ilvl w:val="0"/>
          <w:numId w:val="2"/>
        </w:numPr>
        <w:spacing w:after="100" w:line="290"/>
      </w:pPr>
      <w:r>
        <w:rPr>
          <w:rFonts w:ascii="Archivo" w:cs="Archivo" w:eastAsia="Archivo" w:hAnsi="Archivo"/>
          <w:sz w:val="21"/>
          <w:szCs w:val="21"/>
        </w:rPr>
        <w:t xml:space="preserve">1. ¿Ostenta el tomador la condición de consumidor en esta contratación concreta?</w:t>
      </w:r>
    </w:p>
    <w:p>
      <w:pPr>
        <w:pStyle w:val="ListParagraph"/>
        <w:numPr>
          <w:ilvl w:val="0"/>
          <w:numId w:val="2"/>
        </w:numPr>
        <w:spacing w:after="100" w:line="290"/>
      </w:pPr>
      <w:r>
        <w:rPr>
          <w:rFonts w:ascii="Archivo" w:cs="Archivo" w:eastAsia="Archivo" w:hAnsi="Archivo"/>
          <w:sz w:val="21"/>
          <w:szCs w:val="21"/>
        </w:rPr>
        <w:t xml:space="preserve">2. ¿Ha superado la cláusula el control de incorporación y el específico del art. 3 LCS?</w:t>
      </w:r>
    </w:p>
    <w:p>
      <w:pPr>
        <w:pStyle w:val="ListParagraph"/>
        <w:numPr>
          <w:ilvl w:val="0"/>
          <w:numId w:val="2"/>
        </w:numPr>
        <w:spacing w:after="100" w:line="290"/>
      </w:pPr>
      <w:r>
        <w:rPr>
          <w:rFonts w:ascii="Archivo" w:cs="Archivo" w:eastAsia="Archivo" w:hAnsi="Archivo"/>
          <w:sz w:val="21"/>
          <w:szCs w:val="21"/>
        </w:rPr>
        <w:t xml:space="preserve">3. ¿Permite la cláusula al consumidor medio conocer la carga económica y jurídica real que le impone (control de transparencia material)?</w:t>
      </w:r>
    </w:p>
    <w:p>
      <w:pPr>
        <w:pStyle w:val="ListParagraph"/>
        <w:numPr>
          <w:ilvl w:val="0"/>
          <w:numId w:val="2"/>
        </w:numPr>
        <w:spacing w:after="100" w:line="290"/>
      </w:pPr>
      <w:r>
        <w:rPr>
          <w:rFonts w:ascii="Archivo" w:cs="Archivo" w:eastAsia="Archivo" w:hAnsi="Archivo"/>
          <w:sz w:val="21"/>
          <w:szCs w:val="21"/>
        </w:rPr>
        <w:t xml:space="preserve">4. ¿Genera la cláusula un desequilibrio importante e injustificado en perjuicio del consumidor (art. 82 TRLGDCU)?</w:t>
      </w:r>
    </w:p>
    <w:p>
      <w:pPr>
        <w:pStyle w:val="ListParagraph"/>
        <w:numPr>
          <w:ilvl w:val="0"/>
          <w:numId w:val="2"/>
        </w:numPr>
        <w:spacing w:after="100" w:line="290"/>
      </w:pPr>
      <w:r>
        <w:rPr>
          <w:rFonts w:ascii="Archivo" w:cs="Archivo" w:eastAsia="Archivo" w:hAnsi="Archivo"/>
          <w:sz w:val="21"/>
          <w:szCs w:val="21"/>
        </w:rPr>
        <w:t xml:space="preserve">5. ¿Encaja la cláusula en alguno de los supuestos del catálogo de los arts. 85 a 90 TRLGDCU?</w:t>
      </w:r>
    </w:p>
    <w:p>
      <w:pPr>
        <w:pStyle w:val="ListParagraph"/>
        <w:numPr>
          <w:ilvl w:val="0"/>
          <w:numId w:val="2"/>
        </w:numPr>
        <w:spacing w:after="100" w:line="290"/>
      </w:pPr>
      <w:r>
        <w:rPr>
          <w:rFonts w:ascii="Archivo" w:cs="Archivo" w:eastAsia="Archivo" w:hAnsi="Archivo"/>
          <w:sz w:val="21"/>
          <w:szCs w:val="21"/>
        </w:rPr>
        <w:t xml:space="preserve">6. ¿Puede el contrato subsistir sin la cláusula declarada abusiva?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26. </w:t>
      </w:r>
      <w:r>
        <w:rPr>
          <w:rFonts w:ascii="Fraunces" w:cs="Fraunces" w:eastAsia="Fraunces" w:hAnsi="Fraunces"/>
          <w:b/>
          <w:bCs/>
          <w:color w:val="0A2540"/>
          <w:sz w:val="30"/>
          <w:szCs w:val="30"/>
        </w:rPr>
        <w:t xml:space="preserve">Jurisprudencia sistematizada: líneas jurisprudenciales por materia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26.1. Cláusulas delimitadoras, limitativas y lesivas (art. 3 LCS)</w:t>
            </w:r>
          </w:p>
          <w:p>
            <w:pPr>
              <w:spacing w:after="40" w:line="260"/>
            </w:pPr>
            <w:r>
              <w:rPr>
                <w:rFonts w:ascii="Archivo" w:cs="Archivo" w:eastAsia="Archivo" w:hAnsi="Archivo"/>
                <w:sz w:val="18"/>
                <w:szCs w:val="18"/>
              </w:rPr>
              <w:t xml:space="preserve">26.2. Deber de declaración e incorporación de condiciones</w:t>
            </w:r>
          </w:p>
          <w:p>
            <w:pPr>
              <w:spacing w:after="40" w:line="260"/>
            </w:pPr>
            <w:r>
              <w:rPr>
                <w:rFonts w:ascii="Archivo" w:cs="Archivo" w:eastAsia="Archivo" w:hAnsi="Archivo"/>
                <w:sz w:val="18"/>
                <w:szCs w:val="18"/>
              </w:rPr>
              <w:t xml:space="preserve">26.3. Daños por agua y falta de mantenimiento</w:t>
            </w:r>
          </w:p>
          <w:p>
            <w:pPr>
              <w:spacing w:after="40" w:line="260"/>
            </w:pPr>
            <w:r>
              <w:rPr>
                <w:rFonts w:ascii="Archivo" w:cs="Archivo" w:eastAsia="Archivo" w:hAnsi="Archivo"/>
                <w:sz w:val="18"/>
                <w:szCs w:val="18"/>
              </w:rPr>
              <w:t xml:space="preserve">26.4. Robo y responsabilidad civil: umbrales de negligencia y dolo</w:t>
            </w:r>
          </w:p>
          <w:p>
            <w:pPr>
              <w:spacing w:after="40" w:line="260"/>
            </w:pPr>
            <w:r>
              <w:rPr>
                <w:rFonts w:ascii="Archivo" w:cs="Archivo" w:eastAsia="Archivo" w:hAnsi="Archivo"/>
                <w:sz w:val="18"/>
                <w:szCs w:val="18"/>
              </w:rPr>
              <w:t xml:space="preserve">26.5. Defensa jurídica y libre elección de profesional</w:t>
            </w:r>
          </w:p>
          <w:p>
            <w:pPr>
              <w:spacing w:after="40" w:line="260"/>
            </w:pPr>
            <w:r>
              <w:rPr>
                <w:rFonts w:ascii="Archivo" w:cs="Archivo" w:eastAsia="Archivo" w:hAnsi="Archivo"/>
                <w:sz w:val="18"/>
                <w:szCs w:val="18"/>
              </w:rPr>
              <w:t xml:space="preserve">26.6. Peritación, infraseguro y regla proporcional</w:t>
            </w:r>
          </w:p>
          <w:p>
            <w:pPr>
              <w:spacing w:after="40" w:line="260"/>
            </w:pPr>
            <w:r>
              <w:rPr>
                <w:rFonts w:ascii="Archivo" w:cs="Archivo" w:eastAsia="Archivo" w:hAnsi="Archivo"/>
                <w:sz w:val="18"/>
                <w:szCs w:val="18"/>
              </w:rPr>
              <w:t xml:space="preserve">26.7. Mora del asegurador e intereses del art. 20 LCS</w:t>
            </w:r>
          </w:p>
          <w:p>
            <w:pPr>
              <w:spacing w:after="40" w:line="260"/>
            </w:pPr>
            <w:r>
              <w:rPr>
                <w:rFonts w:ascii="Archivo" w:cs="Archivo" w:eastAsia="Archivo" w:hAnsi="Archivo"/>
                <w:sz w:val="18"/>
                <w:szCs w:val="18"/>
              </w:rPr>
              <w:t xml:space="preserve">26.8. Prescripción y concurrencia de seguros</w:t>
            </w:r>
          </w:p>
          <w:p>
            <w:pPr>
              <w:spacing w:after="40" w:line="260"/>
            </w:pPr>
            <w:r>
              <w:rPr>
                <w:rFonts w:ascii="Archivo" w:cs="Archivo" w:eastAsia="Archivo" w:hAnsi="Archivo"/>
                <w:sz w:val="18"/>
                <w:szCs w:val="18"/>
              </w:rPr>
              <w:t xml:space="preserve">26.9. Cómo usar este índice jurisprudencial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un índice jurisprudencial razonado que reagrupa, por líneas temáticas y no por orden de aparición en la obra, todas las resoluciones del Tribunal Supremo y de Audiencias Provinciales citadas y verificadas a lo largo del libro, con indicación de su doctrina esencial y del capítulo en el que se desarrolla con detalle. Su función es puramente instrumental: permitir al profesional localizar en segundos el precedente aplicable a un problema concreto sin necesidad de recorrer el índice general de la obra.</w:t>
            </w:r>
          </w:p>
          <w:p>
            <w:pPr>
              <w:spacing w:after="160"/>
            </w:pPr>
            <w:r>
              <w:rPr>
                <w:rFonts w:ascii="Archivo" w:cs="Archivo" w:eastAsia="Archivo" w:hAnsi="Archivo"/>
                <w:b/>
                <w:bCs/>
                <w:sz w:val="17"/>
                <w:szCs w:val="17"/>
              </w:rPr>
              <w:t xml:space="preserve">Palabras clave: índice jurisprudencial, líneas jurisprudenciales, sistematización, doctrina del Tribunal Supremo.</w:t>
            </w:r>
          </w:p>
          <w:p>
            <w:pPr>
              <w:spacing w:after="100"/>
              <w:jc w:val="both"/>
            </w:pPr>
            <w:r>
              <w:rPr>
                <w:rFonts w:ascii="Archivo" w:cs="Archivo" w:eastAsia="Archivo" w:hAnsi="Archivo"/>
                <w:i/>
                <w:iCs/>
                <w:sz w:val="18"/>
                <w:szCs w:val="18"/>
              </w:rPr>
              <w:t xml:space="preserve">This chapter closes Part IV with a reasoned case-law index that regroups, by subject-matter line rather than order of appearance, every Supreme Court and provincial appellate court ruling cited and verified throughout the book, noting its essential holding and the chapter where it is developed in detail. Its function is purely instrumental: to let the practitioner locate the applicable precedent for a specific problem within seconds.</w:t>
            </w:r>
          </w:p>
          <w:p>
            <w:pPr>
              <w:spacing w:after="0"/>
            </w:pPr>
            <w:r>
              <w:rPr>
                <w:rFonts w:ascii="Archivo" w:cs="Archivo" w:eastAsia="Archivo" w:hAnsi="Archivo"/>
                <w:b/>
                <w:bCs/>
                <w:sz w:val="17"/>
                <w:szCs w:val="17"/>
              </w:rPr>
              <w:t xml:space="preserve">Keywords: case-law index, jurisprudential lines, systematisation, Supreme Court doctrine.</w:t>
            </w:r>
          </w:p>
        </w:tc>
      </w:tr>
    </w:tbl>
    <w:p>
      <w:pPr>
        <w:spacing w:after="200"/>
      </w:pPr>
    </w:p>
    <w:p>
      <w:pPr>
        <w:spacing w:after="180" w:line="300"/>
        <w:jc w:val="both"/>
      </w:pPr>
      <w:r>
        <w:rPr>
          <w:rFonts w:ascii="Archivo" w:cs="Archivo" w:eastAsia="Archivo" w:hAnsi="Archivo"/>
          <w:sz w:val="21"/>
          <w:szCs w:val="21"/>
        </w:rPr>
        <w:t xml:space="preserve">Todas las resoluciones que siguen han sido obtenidas y verificadas contra la fuente oficial (CENDOJ/BOE) a lo largo de la redacción de esta obra; se identifican por su ROJ y ECLI para permitir su localización y cita directa en cualquier escrito profesional. La remisión «capítulo N» indica dónde se desarrolla su doctrina con el contexto, la cita literal completa y el análisis práctico correspondiente.</w:t>
      </w:r>
    </w:p>
    <w:p>
      <w:pPr>
        <w:pStyle w:val="Heading3"/>
        <w:spacing w:after="120" w:before="280"/>
      </w:pPr>
      <w:r>
        <w:rPr>
          <w:rFonts w:ascii="Archivo" w:cs="Archivo" w:eastAsia="Archivo" w:hAnsi="Archivo"/>
          <w:b/>
          <w:bCs/>
          <w:color w:val="1B6DF0"/>
          <w:sz w:val="21"/>
          <w:szCs w:val="21"/>
        </w:rPr>
        <w:t xml:space="preserve">26.1. Cláusulas delimitadoras, limitativas y lesivas (art. 3 LCS)</w:t>
      </w:r>
    </w:p>
    <w:p>
      <w:pPr>
        <w:spacing w:after="180" w:line="300"/>
        <w:jc w:val="both"/>
      </w:pPr>
      <w:r>
        <w:rPr>
          <w:rFonts w:ascii="Archivo" w:cs="Archivo" w:eastAsia="Archivo" w:hAnsi="Archivo"/>
          <w:sz w:val="21"/>
          <w:szCs w:val="21"/>
        </w:rPr>
        <w:t xml:space="preserve">El eje doctrinal más citado de toda la obra: la distinción entre cláusulas que concretan el objeto del contrato y cláusulas que, una vez nacido el derecho a la prestación, lo restringen.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(Pleno) 853/2006, de 11 de septiembre: </w:t>
            </w:r>
            <w:r>
              <w:rPr>
                <w:rFonts w:ascii="Archivo" w:cs="Archivo" w:eastAsia="Archivo" w:hAnsi="Archivo"/>
                <w:sz w:val="21"/>
                <w:szCs w:val="21"/>
              </w:rPr>
              <w:t xml:space="preserve">Sentencia matriz que fija los criterios distintivos entre cláusulas delimitadoras y limitativas (capítulo 1). </w:t>
            </w:r>
          </w:p>
          <w:p>
            <w:pPr>
              <w:spacing w:after="180" w:line="300"/>
              <w:jc w:val="both"/>
            </w:pPr>
            <w:r>
              <w:rPr>
                <w:rFonts w:ascii="Archivo" w:cs="Archivo" w:eastAsia="Archivo" w:hAnsi="Archivo"/>
                <w:b/>
                <w:bCs/>
                <w:sz w:val="21"/>
                <w:szCs w:val="21"/>
              </w:rPr>
              <w:t xml:space="preserve">STS de 3/10/2023 (ROJ: STS 3996/2023): </w:t>
            </w:r>
            <w:r>
              <w:rPr>
                <w:rFonts w:ascii="Archivo" w:cs="Archivo" w:eastAsia="Archivo" w:hAnsi="Archivo"/>
                <w:sz w:val="21"/>
                <w:szCs w:val="21"/>
              </w:rPr>
              <w:t xml:space="preserve">Resume y actualiza la doctrina de 2006; criterio del contenido natural del contrato y de la cláusula sorpresiva (capítulo 1). </w:t>
            </w:r>
          </w:p>
          <w:p>
            <w:pPr>
              <w:spacing w:after="180" w:line="300"/>
              <w:jc w:val="both"/>
            </w:pPr>
            <w:r>
              <w:rPr>
                <w:rFonts w:ascii="Archivo" w:cs="Archivo" w:eastAsia="Archivo" w:hAnsi="Archivo"/>
                <w:b/>
                <w:bCs/>
                <w:sz w:val="21"/>
                <w:szCs w:val="21"/>
              </w:rPr>
              <w:t xml:space="preserve">STS de 21/4/2025 (ROJ: STS 1751/2025): </w:t>
            </w:r>
            <w:r>
              <w:rPr>
                <w:rFonts w:ascii="Archivo" w:cs="Archivo" w:eastAsia="Archivo" w:hAnsi="Archivo"/>
                <w:sz w:val="21"/>
                <w:szCs w:val="21"/>
              </w:rPr>
              <w:t xml:space="preserve">Reitera el criterio de la cláusula sorpresiva como indicio de limitatividad (capítulo 1). </w:t>
            </w:r>
          </w:p>
          <w:p>
            <w:pPr>
              <w:spacing w:after="180" w:line="300"/>
              <w:jc w:val="both"/>
            </w:pPr>
            <w:r>
              <w:rPr>
                <w:rFonts w:ascii="Archivo" w:cs="Archivo" w:eastAsia="Archivo" w:hAnsi="Archivo"/>
                <w:b/>
                <w:bCs/>
                <w:sz w:val="21"/>
                <w:szCs w:val="21"/>
              </w:rPr>
              <w:t xml:space="preserve">STS de 6/7/2020 (ROJ: STS 2233/2020): </w:t>
            </w:r>
            <w:r>
              <w:rPr>
                <w:rFonts w:ascii="Archivo" w:cs="Archivo" w:eastAsia="Archivo" w:hAnsi="Archivo"/>
                <w:sz w:val="21"/>
                <w:szCs w:val="21"/>
              </w:rPr>
              <w:t xml:space="preserve">Aplicación al seguro de hogar: valorar el contenido por «valor real» sin cumplir el art. 3 LCS es cláusula limitativa (capítulos 1 y 11). </w:t>
            </w:r>
          </w:p>
          <w:p>
            <w:pPr>
              <w:spacing w:after="180" w:line="300"/>
              <w:jc w:val="both"/>
            </w:pPr>
            <w:r>
              <w:rPr>
                <w:rFonts w:ascii="Archivo" w:cs="Archivo" w:eastAsia="Archivo" w:hAnsi="Archivo"/>
                <w:b/>
                <w:bCs/>
                <w:sz w:val="21"/>
                <w:szCs w:val="21"/>
              </w:rPr>
              <w:t xml:space="preserve">STS de 2/3/2017 (ROJ: STS 732/2017): </w:t>
            </w:r>
            <w:r>
              <w:rPr>
                <w:rFonts w:ascii="Archivo" w:cs="Archivo" w:eastAsia="Archivo" w:hAnsi="Archivo"/>
                <w:sz w:val="21"/>
                <w:szCs w:val="21"/>
              </w:rPr>
              <w:t xml:space="preserve">Principio de transparencia y «insólito plus» restrictivo en cláusulas introductorias (capítulo 1). </w:t>
            </w:r>
          </w:p>
        </w:tc>
      </w:tr>
    </w:tbl>
    <w:p>
      <w:pPr>
        <w:spacing w:after="180"/>
      </w:pPr>
    </w:p>
    <w:p>
      <w:pPr>
        <w:pStyle w:val="Heading3"/>
        <w:spacing w:after="120" w:before="280"/>
      </w:pPr>
      <w:r>
        <w:rPr>
          <w:rFonts w:ascii="Archivo" w:cs="Archivo" w:eastAsia="Archivo" w:hAnsi="Archivo"/>
          <w:b/>
          <w:bCs/>
          <w:color w:val="1B6DF0"/>
          <w:sz w:val="21"/>
          <w:szCs w:val="21"/>
        </w:rPr>
        <w:t xml:space="preserve">26.2. Deber de declaración e incorporación de condiciones</w:t>
      </w:r>
    </w:p>
    <w:p>
      <w:pPr>
        <w:spacing w:after="180" w:line="300"/>
        <w:jc w:val="both"/>
      </w:pPr>
      <w:r>
        <w:rPr>
          <w:rFonts w:ascii="Archivo" w:cs="Archivo" w:eastAsia="Archivo" w:hAnsi="Archivo"/>
          <w:sz w:val="21"/>
          <w:szCs w:val="21"/>
        </w:rPr>
        <w:t xml:space="preserve">El modelo de «declaración-cuestionario» del art. 10 LCS y el control de incorporación de las condiciones generales.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16/3/2016 (ROJ: STS 1208/2016): </w:t>
            </w:r>
            <w:r>
              <w:rPr>
                <w:rFonts w:ascii="Archivo" w:cs="Archivo" w:eastAsia="Archivo" w:hAnsi="Archivo"/>
                <w:sz w:val="21"/>
                <w:szCs w:val="21"/>
              </w:rPr>
              <w:t xml:space="preserve">El art. 10 LCS impone un deber de contestación, no de declaración espontánea (capítulo 4). </w:t>
            </w:r>
          </w:p>
          <w:p>
            <w:pPr>
              <w:spacing w:after="180" w:line="300"/>
              <w:jc w:val="both"/>
            </w:pPr>
            <w:r>
              <w:rPr>
                <w:rFonts w:ascii="Archivo" w:cs="Archivo" w:eastAsia="Archivo" w:hAnsi="Archivo"/>
                <w:b/>
                <w:bCs/>
                <w:sz w:val="21"/>
                <w:szCs w:val="21"/>
              </w:rPr>
              <w:t xml:space="preserve">STS de 1/3/2023 (ROJ: STS 671/2023): </w:t>
            </w:r>
            <w:r>
              <w:rPr>
                <w:rFonts w:ascii="Archivo" w:cs="Archivo" w:eastAsia="Archivo" w:hAnsi="Archivo"/>
                <w:sz w:val="21"/>
                <w:szCs w:val="21"/>
              </w:rPr>
              <w:t xml:space="preserve">La titularidad dominical acredita, por sí sola, el interés asegurable del art. 25 LCS (capítulo 2). </w:t>
            </w:r>
          </w:p>
          <w:p>
            <w:pPr>
              <w:spacing w:after="180" w:line="300"/>
              <w:jc w:val="both"/>
            </w:pPr>
            <w:r>
              <w:rPr>
                <w:rFonts w:ascii="Archivo" w:cs="Archivo" w:eastAsia="Archivo" w:hAnsi="Archivo"/>
                <w:b/>
                <w:bCs/>
                <w:sz w:val="21"/>
                <w:szCs w:val="21"/>
              </w:rPr>
              <w:t xml:space="preserve">STS de 24/4/2023 (ROJ: STS 1701/2023): </w:t>
            </w:r>
            <w:r>
              <w:rPr>
                <w:rFonts w:ascii="Archivo" w:cs="Archivo" w:eastAsia="Archivo" w:hAnsi="Archivo"/>
                <w:sz w:val="21"/>
                <w:szCs w:val="21"/>
              </w:rPr>
              <w:t xml:space="preserve">Falta de entrega de condiciones generales: la incertidumbre resultante perjudica a la aseguradora; interpretación contra proferentem (capítulos 5 y 6). </w:t>
            </w:r>
          </w:p>
          <w:p>
            <w:pPr>
              <w:spacing w:after="180" w:line="300"/>
              <w:jc w:val="both"/>
            </w:pPr>
            <w:r>
              <w:rPr>
                <w:rFonts w:ascii="Archivo" w:cs="Archivo" w:eastAsia="Archivo" w:hAnsi="Archivo"/>
                <w:b/>
                <w:bCs/>
                <w:sz w:val="21"/>
                <w:szCs w:val="21"/>
              </w:rPr>
              <w:t xml:space="preserve">STS de 7/2/2007 (ROJ: STS 696/2007): </w:t>
            </w:r>
            <w:r>
              <w:rPr>
                <w:rFonts w:ascii="Archivo" w:cs="Archivo" w:eastAsia="Archivo" w:hAnsi="Archivo"/>
                <w:sz w:val="21"/>
                <w:szCs w:val="21"/>
              </w:rPr>
              <w:t xml:space="preserve">Distinción entre agentes (vinculados) y corredores (independientes) de seguros a efectos del estándar de asesoramiento exigible (capítulo 3). </w:t>
            </w:r>
          </w:p>
        </w:tc>
      </w:tr>
    </w:tbl>
    <w:p>
      <w:pPr>
        <w:spacing w:after="180"/>
      </w:pPr>
    </w:p>
    <w:p>
      <w:pPr>
        <w:pStyle w:val="Heading3"/>
        <w:spacing w:after="120" w:before="280"/>
      </w:pPr>
      <w:r>
        <w:rPr>
          <w:rFonts w:ascii="Archivo" w:cs="Archivo" w:eastAsia="Archivo" w:hAnsi="Archivo"/>
          <w:b/>
          <w:bCs/>
          <w:color w:val="1B6DF0"/>
          <w:sz w:val="21"/>
          <w:szCs w:val="21"/>
        </w:rPr>
        <w:t xml:space="preserve">26.3. Daños por agua y falta de mantenimiento</w:t>
      </w:r>
    </w:p>
    <w:p>
      <w:pPr>
        <w:spacing w:after="180" w:line="300"/>
        <w:jc w:val="both"/>
      </w:pPr>
      <w:r>
        <w:rPr>
          <w:rFonts w:ascii="Archivo" w:cs="Archivo" w:eastAsia="Archivo" w:hAnsi="Archivo"/>
          <w:sz w:val="21"/>
          <w:szCs w:val="21"/>
        </w:rPr>
        <w:t xml:space="preserve">La cobertura más litigiosa del ramo, sin régimen legal propio, y su exclusión típica por desgaste o falta de conservación.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SAP Valencia (Sección 5.ª) de 30/6/2021 (ROJ: SAP V 2845/2021): </w:t>
            </w:r>
            <w:r>
              <w:rPr>
                <w:rFonts w:ascii="Archivo" w:cs="Archivo" w:eastAsia="Archivo" w:hAnsi="Archivo"/>
                <w:sz w:val="21"/>
                <w:szCs w:val="21"/>
              </w:rPr>
              <w:t xml:space="preserve">La exclusión por falta de mantenimiento, clara y destacada, es delimitadora y no sorpresiva (capítulo 8). </w:t>
            </w:r>
          </w:p>
          <w:p>
            <w:pPr>
              <w:spacing w:after="180" w:line="300"/>
              <w:jc w:val="both"/>
            </w:pPr>
            <w:r>
              <w:rPr>
                <w:rFonts w:ascii="Archivo" w:cs="Archivo" w:eastAsia="Archivo" w:hAnsi="Archivo"/>
                <w:b/>
                <w:bCs/>
                <w:sz w:val="21"/>
                <w:szCs w:val="21"/>
              </w:rPr>
              <w:t xml:space="preserve">SAP Barcelona (Sección 1.ª) de 29/6/2018 (ROJ: SAP B 6782/2018): </w:t>
            </w:r>
            <w:r>
              <w:rPr>
                <w:rFonts w:ascii="Archivo" w:cs="Archivo" w:eastAsia="Archivo" w:hAnsi="Archivo"/>
                <w:sz w:val="21"/>
                <w:szCs w:val="21"/>
              </w:rPr>
              <w:t xml:space="preserve">La exclusión decae si el daño real obedece a un defecto constructivo de origen, no a falta de mantenimiento (capítulo 8). </w:t>
            </w:r>
          </w:p>
          <w:p>
            <w:pPr>
              <w:spacing w:after="180" w:line="300"/>
              <w:jc w:val="both"/>
            </w:pPr>
            <w:r>
              <w:rPr>
                <w:rFonts w:ascii="Archivo" w:cs="Archivo" w:eastAsia="Archivo" w:hAnsi="Archivo"/>
                <w:b/>
                <w:bCs/>
                <w:sz w:val="21"/>
                <w:szCs w:val="21"/>
              </w:rPr>
              <w:t xml:space="preserve">STS de 20/2/2019 (ROJ: STS 511/2019): </w:t>
            </w:r>
            <w:r>
              <w:rPr>
                <w:rFonts w:ascii="Archivo" w:cs="Archivo" w:eastAsia="Archivo" w:hAnsi="Archivo"/>
                <w:sz w:val="21"/>
                <w:szCs w:val="21"/>
              </w:rPr>
              <w:t xml:space="preserve">Daño continuado: el plazo de prescripción no corre hasta la consolidación del resultado (capítulo 8). </w:t>
            </w:r>
          </w:p>
          <w:p>
            <w:pPr>
              <w:spacing w:after="180" w:line="300"/>
              <w:jc w:val="both"/>
            </w:pPr>
            <w:r>
              <w:rPr>
                <w:rFonts w:ascii="Archivo" w:cs="Archivo" w:eastAsia="Archivo" w:hAnsi="Archivo"/>
                <w:b/>
                <w:bCs/>
                <w:sz w:val="21"/>
                <w:szCs w:val="21"/>
              </w:rPr>
              <w:t xml:space="preserve">STS de 25/3/2025 (ROJ: STS 1227/2025): </w:t>
            </w:r>
            <w:r>
              <w:rPr>
                <w:rFonts w:ascii="Archivo" w:cs="Archivo" w:eastAsia="Archivo" w:hAnsi="Archivo"/>
                <w:sz w:val="21"/>
                <w:szCs w:val="21"/>
              </w:rPr>
              <w:t xml:space="preserve">Concurrencia de seguros entre propietario y arrendatario: exige identidad de riesgo e interés, no solo de inmueble (capítulos 8 y 15). </w:t>
            </w:r>
          </w:p>
          <w:p>
            <w:pPr>
              <w:spacing w:after="180" w:line="300"/>
              <w:jc w:val="both"/>
            </w:pPr>
            <w:r>
              <w:rPr>
                <w:rFonts w:ascii="Archivo" w:cs="Archivo" w:eastAsia="Archivo" w:hAnsi="Archivo"/>
                <w:b/>
                <w:bCs/>
                <w:sz w:val="21"/>
                <w:szCs w:val="21"/>
              </w:rPr>
              <w:t xml:space="preserve">SAP Alicante (Sección 5.ª) de 12/5/2020 (ROJ: SAP A 614/2020): </w:t>
            </w:r>
            <w:r>
              <w:rPr>
                <w:rFonts w:ascii="Archivo" w:cs="Archivo" w:eastAsia="Archivo" w:hAnsi="Archivo"/>
                <w:sz w:val="21"/>
                <w:szCs w:val="21"/>
              </w:rPr>
              <w:t xml:space="preserve">Criterio de reposición uniforme para el daño estético cuando no existen materiales idénticos en el mercado (capítulo 12). </w:t>
            </w:r>
          </w:p>
        </w:tc>
      </w:tr>
    </w:tbl>
    <w:p>
      <w:pPr>
        <w:spacing w:after="180"/>
      </w:pPr>
    </w:p>
    <w:p>
      <w:pPr>
        <w:pStyle w:val="Heading3"/>
        <w:spacing w:after="120" w:before="280"/>
      </w:pPr>
      <w:r>
        <w:rPr>
          <w:rFonts w:ascii="Archivo" w:cs="Archivo" w:eastAsia="Archivo" w:hAnsi="Archivo"/>
          <w:b/>
          <w:bCs/>
          <w:color w:val="1B6DF0"/>
          <w:sz w:val="21"/>
          <w:szCs w:val="21"/>
        </w:rPr>
        <w:t xml:space="preserve">26.4. Robo y responsabilidad civil: umbrales de negligencia y dolo</w:t>
      </w:r>
    </w:p>
    <w:p>
      <w:pPr>
        <w:spacing w:after="180" w:line="300"/>
        <w:jc w:val="both"/>
      </w:pPr>
      <w:r>
        <w:rPr>
          <w:rFonts w:ascii="Archivo" w:cs="Archivo" w:eastAsia="Archivo" w:hAnsi="Archivo"/>
          <w:sz w:val="21"/>
          <w:szCs w:val="21"/>
        </w:rPr>
        <w:t xml:space="preserve">Los distintos umbrales de imputación subjetiva según la cobertura, y la inoponibilidad del dolo del asegurado al tercero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SAP Barcelona (Sección 16.ª) de 11/1/2017 (ROJ: SAP B 5946/2017): </w:t>
            </w:r>
            <w:r>
              <w:rPr>
                <w:rFonts w:ascii="Archivo" w:cs="Archivo" w:eastAsia="Archivo" w:hAnsi="Archivo"/>
                <w:sz w:val="21"/>
                <w:szCs w:val="21"/>
              </w:rPr>
              <w:t xml:space="preserve">La negligencia grave del art. 52.1.ª LCS exige abandono o precariedad en la custodia del bien, no un mero descuido (capítulo 9). </w:t>
            </w:r>
          </w:p>
          <w:p>
            <w:pPr>
              <w:spacing w:after="180" w:line="300"/>
              <w:jc w:val="both"/>
            </w:pPr>
            <w:r>
              <w:rPr>
                <w:rFonts w:ascii="Archivo" w:cs="Archivo" w:eastAsia="Archivo" w:hAnsi="Archivo"/>
                <w:b/>
                <w:bCs/>
                <w:sz w:val="21"/>
                <w:szCs w:val="21"/>
              </w:rPr>
              <w:t xml:space="preserve">STS de 17/7/2012 (ROJ: STS 5990/2012): </w:t>
            </w:r>
            <w:r>
              <w:rPr>
                <w:rFonts w:ascii="Archivo" w:cs="Archivo" w:eastAsia="Archivo" w:hAnsi="Archivo"/>
                <w:sz w:val="21"/>
                <w:szCs w:val="21"/>
              </w:rPr>
              <w:t xml:space="preserve">La carga de la prueba del dolo o la culpa grave, incluido el nexo causal, corresponde siempre a la aseguradora (capítulos 9 y 21). </w:t>
            </w:r>
          </w:p>
          <w:p>
            <w:pPr>
              <w:spacing w:after="180" w:line="300"/>
              <w:jc w:val="both"/>
            </w:pPr>
            <w:r>
              <w:rPr>
                <w:rFonts w:ascii="Archivo" w:cs="Archivo" w:eastAsia="Archivo" w:hAnsi="Archivo"/>
                <w:b/>
                <w:bCs/>
                <w:sz w:val="21"/>
                <w:szCs w:val="21"/>
              </w:rPr>
              <w:t xml:space="preserve">STS de 15/7/2026 (ROJ: STS 3443/2026): </w:t>
            </w:r>
            <w:r>
              <w:rPr>
                <w:rFonts w:ascii="Archivo" w:cs="Archivo" w:eastAsia="Archivo" w:hAnsi="Archivo"/>
                <w:sz w:val="21"/>
                <w:szCs w:val="21"/>
              </w:rPr>
              <w:t xml:space="preserve">La «malquerencia de extraños» del art. 48 LCS excluye a quien tiene vinculación directa con el entorno del asegurado (capítulo 7). </w:t>
            </w:r>
          </w:p>
          <w:p>
            <w:pPr>
              <w:spacing w:after="180" w:line="300"/>
              <w:jc w:val="both"/>
            </w:pPr>
            <w:r>
              <w:rPr>
                <w:rFonts w:ascii="Archivo" w:cs="Archivo" w:eastAsia="Archivo" w:hAnsi="Archivo"/>
                <w:b/>
                <w:bCs/>
                <w:sz w:val="21"/>
                <w:szCs w:val="21"/>
              </w:rPr>
              <w:t xml:space="preserve">STS de 20/4/2023 (ROJ: STS 1544/2023): </w:t>
            </w:r>
            <w:r>
              <w:rPr>
                <w:rFonts w:ascii="Archivo" w:cs="Archivo" w:eastAsia="Archivo" w:hAnsi="Archivo"/>
                <w:sz w:val="21"/>
                <w:szCs w:val="21"/>
              </w:rPr>
              <w:t xml:space="preserve">El dolo del asegurado es inoponible al tercero perjudicado por la acción directa del art. 76 LCS (capítulo 13). </w:t>
            </w:r>
          </w:p>
        </w:tc>
      </w:tr>
    </w:tbl>
    <w:p>
      <w:pPr>
        <w:spacing w:after="180"/>
      </w:pPr>
    </w:p>
    <w:p>
      <w:pPr>
        <w:pStyle w:val="Heading3"/>
        <w:spacing w:after="120" w:before="280"/>
      </w:pPr>
      <w:r>
        <w:rPr>
          <w:rFonts w:ascii="Archivo" w:cs="Archivo" w:eastAsia="Archivo" w:hAnsi="Archivo"/>
          <w:b/>
          <w:bCs/>
          <w:color w:val="1B6DF0"/>
          <w:sz w:val="21"/>
          <w:szCs w:val="21"/>
        </w:rPr>
        <w:t xml:space="preserve">26.5. Defensa jurídica y libre elección de profesional</w:t>
      </w:r>
    </w:p>
    <w:p>
      <w:pPr>
        <w:spacing w:after="180" w:line="300"/>
        <w:jc w:val="both"/>
      </w:pPr>
      <w:r>
        <w:rPr>
          <w:rFonts w:ascii="Archivo" w:cs="Archivo" w:eastAsia="Archivo" w:hAnsi="Archivo"/>
          <w:sz w:val="21"/>
          <w:szCs w:val="21"/>
        </w:rPr>
        <w:t xml:space="preserve">El derecho de libre designación de abogado y procurador, y la calificación de sus límites cuantitativos.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24/2/2021 (ROJ: STS 584/2021): </w:t>
            </w:r>
            <w:r>
              <w:rPr>
                <w:rFonts w:ascii="Archivo" w:cs="Archivo" w:eastAsia="Archivo" w:hAnsi="Archivo"/>
                <w:sz w:val="21"/>
                <w:szCs w:val="21"/>
              </w:rPr>
              <w:t xml:space="preserve">Un límite económico notoriamente insuficiente para la libre elección puede ser limitativo o incluso lesivo (capítulo 14). </w:t>
            </w:r>
          </w:p>
          <w:p>
            <w:pPr>
              <w:spacing w:after="180" w:line="300"/>
              <w:jc w:val="both"/>
            </w:pPr>
            <w:r>
              <w:rPr>
                <w:rFonts w:ascii="Archivo" w:cs="Archivo" w:eastAsia="Archivo" w:hAnsi="Archivo"/>
                <w:b/>
                <w:bCs/>
                <w:sz w:val="21"/>
                <w:szCs w:val="21"/>
              </w:rPr>
              <w:t xml:space="preserve">SAP Jaén (Sección 1.ª) de 15/9/2021 (ROJ: SAP J 1184/2021): </w:t>
            </w:r>
            <w:r>
              <w:rPr>
                <w:rFonts w:ascii="Archivo" w:cs="Archivo" w:eastAsia="Archivo" w:hAnsi="Archivo"/>
                <w:sz w:val="21"/>
                <w:szCs w:val="21"/>
              </w:rPr>
              <w:t xml:space="preserve">Distingue la defensa jurídica propia (posición activa o pasiva) de la dirección jurídica accesoria a la RC (solo pasiva) (capítulo 14). </w:t>
            </w:r>
          </w:p>
        </w:tc>
      </w:tr>
    </w:tbl>
    <w:p>
      <w:pPr>
        <w:spacing w:after="180"/>
      </w:pPr>
    </w:p>
    <w:p>
      <w:pPr>
        <w:pStyle w:val="Heading3"/>
        <w:spacing w:after="120" w:before="280"/>
      </w:pPr>
      <w:r>
        <w:rPr>
          <w:rFonts w:ascii="Archivo" w:cs="Archivo" w:eastAsia="Archivo" w:hAnsi="Archivo"/>
          <w:b/>
          <w:bCs/>
          <w:color w:val="1B6DF0"/>
          <w:sz w:val="21"/>
          <w:szCs w:val="21"/>
        </w:rPr>
        <w:t xml:space="preserve">26.6. Peritación, infraseguro y regla proporcional</w:t>
      </w:r>
    </w:p>
    <w:p>
      <w:pPr>
        <w:spacing w:after="180" w:line="300"/>
        <w:jc w:val="both"/>
      </w:pPr>
      <w:r>
        <w:rPr>
          <w:rFonts w:ascii="Archivo" w:cs="Archivo" w:eastAsia="Archivo" w:hAnsi="Archivo"/>
          <w:sz w:val="21"/>
          <w:szCs w:val="21"/>
        </w:rPr>
        <w:t xml:space="preserve">El alcance vinculante del dictamen pericial y la correcta aplicación de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26/7/2021 (ROJ: STS 3193/2021): </w:t>
            </w:r>
            <w:r>
              <w:rPr>
                <w:rFonts w:ascii="Archivo" w:cs="Archivo" w:eastAsia="Archivo" w:hAnsi="Archivo"/>
                <w:sz w:val="21"/>
                <w:szCs w:val="21"/>
              </w:rPr>
              <w:t xml:space="preserve">El dictamen pericial solo es vinculante en la liquidación del daño, nunca en la interpretación de la cobertura (capítulo 18). </w:t>
            </w:r>
          </w:p>
          <w:p>
            <w:pPr>
              <w:spacing w:after="180" w:line="300"/>
              <w:jc w:val="both"/>
            </w:pPr>
            <w:r>
              <w:rPr>
                <w:rFonts w:ascii="Archivo" w:cs="Archivo" w:eastAsia="Archivo" w:hAnsi="Archivo"/>
                <w:b/>
                <w:bCs/>
                <w:sz w:val="21"/>
                <w:szCs w:val="21"/>
              </w:rPr>
              <w:t xml:space="preserve">STS de 14/9/2016 (ROJ: STS 4056/2016): </w:t>
            </w:r>
            <w:r>
              <w:rPr>
                <w:rFonts w:ascii="Archivo" w:cs="Archivo" w:eastAsia="Archivo" w:hAnsi="Archivo"/>
                <w:sz w:val="21"/>
                <w:szCs w:val="21"/>
              </w:rPr>
              <w:t xml:space="preserve">La impugnación del dictamen debe ser expresa dentro de los plazos del art. 38 LCS (capítulo 18). </w:t>
            </w:r>
          </w:p>
          <w:p>
            <w:pPr>
              <w:spacing w:after="180" w:line="300"/>
              <w:jc w:val="both"/>
            </w:pPr>
            <w:r>
              <w:rPr>
                <w:rFonts w:ascii="Archivo" w:cs="Archivo" w:eastAsia="Archivo" w:hAnsi="Archivo"/>
                <w:b/>
                <w:bCs/>
                <w:sz w:val="21"/>
                <w:szCs w:val="21"/>
              </w:rPr>
              <w:t xml:space="preserve">STS de 14/11/2002 (ROJ: STS 7531/2002): </w:t>
            </w:r>
            <w:r>
              <w:rPr>
                <w:rFonts w:ascii="Archivo" w:cs="Archivo" w:eastAsia="Archivo" w:hAnsi="Archivo"/>
                <w:sz w:val="21"/>
                <w:szCs w:val="21"/>
              </w:rPr>
              <w:t xml:space="preserve">El infraseguro no se confunde con la concurrencia de seguros; pólizas distintas no se suman (capítulo 19). </w:t>
            </w:r>
          </w:p>
        </w:tc>
      </w:tr>
    </w:tbl>
    <w:p>
      <w:pPr>
        <w:spacing w:after="180"/>
      </w:pPr>
    </w:p>
    <w:p>
      <w:pPr>
        <w:pStyle w:val="Heading3"/>
        <w:spacing w:after="120" w:before="280"/>
      </w:pPr>
      <w:r>
        <w:rPr>
          <w:rFonts w:ascii="Archivo" w:cs="Archivo" w:eastAsia="Archivo" w:hAnsi="Archivo"/>
          <w:b/>
          <w:bCs/>
          <w:color w:val="1B6DF0"/>
          <w:sz w:val="21"/>
          <w:szCs w:val="21"/>
        </w:rPr>
        <w:t xml:space="preserve">26.7. Mora del asegurador e intereses del art. 20 LCS</w:t>
      </w:r>
    </w:p>
    <w:p>
      <w:pPr>
        <w:spacing w:after="180" w:line="300"/>
        <w:jc w:val="both"/>
      </w:pPr>
      <w:r>
        <w:rPr>
          <w:rFonts w:ascii="Archivo" w:cs="Archivo" w:eastAsia="Archivo" w:hAnsi="Archivo"/>
          <w:sz w:val="21"/>
          <w:szCs w:val="21"/>
        </w:rPr>
        <w:t xml:space="preserve">La doctrina restrictiva sobre qué constituye «causa justificada» de exoneración de los intereses moratorios.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27/9/2023 (ROJ: STS 3983/2023): </w:t>
            </w:r>
            <w:r>
              <w:rPr>
                <w:rFonts w:ascii="Archivo" w:cs="Archivo" w:eastAsia="Archivo" w:hAnsi="Archivo"/>
                <w:sz w:val="21"/>
                <w:szCs w:val="21"/>
              </w:rPr>
              <w:t xml:space="preserve">La simple pendencia de un proceso judicial no es, por sí sola, causa justificada (capítulo 20). </w:t>
            </w:r>
          </w:p>
        </w:tc>
      </w:tr>
    </w:tbl>
    <w:p>
      <w:pPr>
        <w:spacing w:after="180"/>
      </w:pPr>
    </w:p>
    <w:p>
      <w:pPr>
        <w:pStyle w:val="Heading3"/>
        <w:spacing w:after="120" w:before="280"/>
      </w:pPr>
      <w:r>
        <w:rPr>
          <w:rFonts w:ascii="Archivo" w:cs="Archivo" w:eastAsia="Archivo" w:hAnsi="Archivo"/>
          <w:b/>
          <w:bCs/>
          <w:color w:val="1B6DF0"/>
          <w:sz w:val="21"/>
          <w:szCs w:val="21"/>
        </w:rPr>
        <w:t xml:space="preserve">26.8. Prescripción y concurrencia de seguros</w:t>
      </w:r>
    </w:p>
    <w:p>
      <w:pPr>
        <w:spacing w:after="180" w:line="300"/>
        <w:jc w:val="both"/>
      </w:pPr>
      <w:r>
        <w:rPr>
          <w:rFonts w:ascii="Archivo" w:cs="Archivo" w:eastAsia="Archivo" w:hAnsi="Archivo"/>
          <w:sz w:val="21"/>
          <w:szCs w:val="21"/>
        </w:rPr>
        <w:t xml:space="preserve">El cómputo autónomo del plazo de dos años del art. 23 LCS y el régimen de control de cláusulas cuando el tomador es consumidor.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15/2/2022 (ROJ: STS 517/2022): </w:t>
            </w:r>
            <w:r>
              <w:rPr>
                <w:rFonts w:ascii="Archivo" w:cs="Archivo" w:eastAsia="Archivo" w:hAnsi="Archivo"/>
                <w:sz w:val="21"/>
                <w:szCs w:val="21"/>
              </w:rPr>
              <w:t xml:space="preserve">La acción contractual frente a la propia aseguradora sigue el plazo autónomo del art. 23 LCS, no suspendido por un proceso penal paralelo (capítulo 22). </w:t>
            </w:r>
          </w:p>
          <w:p>
            <w:pPr>
              <w:spacing w:after="180" w:line="300"/>
              <w:jc w:val="both"/>
            </w:pPr>
            <w:r>
              <w:rPr>
                <w:rFonts w:ascii="Archivo" w:cs="Archivo" w:eastAsia="Archivo" w:hAnsi="Archivo"/>
                <w:b/>
                <w:bCs/>
                <w:sz w:val="21"/>
                <w:szCs w:val="21"/>
              </w:rPr>
              <w:t xml:space="preserve">STS de 3/6/2016 (ROJ: STS 2550/2016): </w:t>
            </w:r>
            <w:r>
              <w:rPr>
                <w:rFonts w:ascii="Archivo" w:cs="Archivo" w:eastAsia="Archivo" w:hAnsi="Archivo"/>
                <w:sz w:val="21"/>
                <w:szCs w:val="21"/>
              </w:rPr>
              <w:t xml:space="preserve">El control de transparencia cualificada/abusividad queda reservado a los consumidores, a diferencia del control de incorporación (capítulo 25). </w:t>
            </w:r>
          </w:p>
        </w:tc>
      </w:tr>
    </w:tbl>
    <w:p>
      <w:pPr>
        <w:spacing w:after="180"/>
      </w:pPr>
    </w:p>
    <w:p>
      <w:pPr>
        <w:pStyle w:val="Heading2"/>
        <w:spacing w:after="160" w:before="400"/>
      </w:pPr>
      <w:r>
        <w:rPr>
          <w:rFonts w:ascii="Fraunces" w:cs="Fraunces" w:eastAsia="Fraunces" w:hAnsi="Fraunces"/>
          <w:b/>
          <w:bCs/>
          <w:color w:val="0A2540"/>
          <w:sz w:val="24"/>
          <w:szCs w:val="24"/>
        </w:rPr>
        <w:t xml:space="preserve">26.9. Cómo usar este índice jurisprudencial</w:t>
      </w:r>
    </w:p>
    <w:p>
      <w:pPr>
        <w:spacing w:after="180" w:line="300"/>
        <w:jc w:val="both"/>
      </w:pPr>
      <w:r>
        <w:rPr>
          <w:rFonts w:ascii="Archivo" w:cs="Archivo" w:eastAsia="Archivo" w:hAnsi="Archivo"/>
          <w:sz w:val="21"/>
          <w:szCs w:val="21"/>
        </w:rPr>
        <w:t xml:space="preserve">Este capítulo no sustituye la lectura del capítulo correspondiente: cada ficha remite deliberadamente al lugar de la obra donde la resolución se transcribe literalmente, se contextualiza y se traduce en pautas de actuación concretas. Su utilidad es la de un punto de entrada rápido: ante un problema concreto («¿puedo reclamar los intereses del art. 20 LCS aunque estemos en pleito?», «¿es limitativa esta cláusula de defensa jurídica?»), permite localizar en segundos la línea jurisprudencial aplicable y saltar directamente al capítulo que la desarrolla en profundidad.</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Las referencias doctrinales completas de cada resolución se encuentran en la bibliografía del capítulo correspondiente, al que se remite.</w:t>
      </w:r>
    </w:p>
    <w:p>
      <w:pPr>
        <w:pStyle w:val="Heading1"/>
        <w:pageBreakBefore/>
        <w:spacing w:after="300" w:before="200"/>
      </w:pPr>
      <w:r>
        <w:rPr>
          <w:rFonts w:ascii="Archivo" w:cs="Archivo" w:eastAsia="Archivo" w:hAnsi="Archivo"/>
          <w:b/>
          <w:bCs/>
          <w:color w:val="1B6DF0"/>
          <w:sz w:val="22"/>
          <w:szCs w:val="22"/>
        </w:rPr>
        <w:t xml:space="preserve">Capítulo 27. </w:t>
      </w:r>
      <w:r>
        <w:rPr>
          <w:rFonts w:ascii="Fraunces" w:cs="Fraunces" w:eastAsia="Fraunces" w:hAnsi="Fraunces"/>
          <w:b/>
          <w:bCs/>
          <w:color w:val="0A2540"/>
          <w:sz w:val="30"/>
          <w:szCs w:val="30"/>
        </w:rPr>
        <w:t xml:space="preserve">Casos prácticos resueltos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Caso 1. Filtración por falta de mantenimiento frente a defecto constructivo</w:t>
            </w:r>
          </w:p>
          <w:p>
            <w:pPr>
              <w:spacing w:after="40" w:line="260"/>
            </w:pPr>
            <w:r>
              <w:rPr>
                <w:rFonts w:ascii="Archivo" w:cs="Archivo" w:eastAsia="Archivo" w:hAnsi="Archivo"/>
                <w:sz w:val="18"/>
                <w:szCs w:val="18"/>
              </w:rPr>
              <w:t xml:space="preserve">Caso 2. Infraseguro en un incendio parcial</w:t>
            </w:r>
          </w:p>
          <w:p>
            <w:pPr>
              <w:spacing w:after="40" w:line="260"/>
            </w:pPr>
            <w:r>
              <w:rPr>
                <w:rFonts w:ascii="Archivo" w:cs="Archivo" w:eastAsia="Archivo" w:hAnsi="Archivo"/>
                <w:sz w:val="18"/>
                <w:szCs w:val="18"/>
              </w:rPr>
              <w:t xml:space="preserve">Caso 3. Robo y alegación de negligencia grave</w:t>
            </w:r>
          </w:p>
          <w:p>
            <w:pPr>
              <w:spacing w:after="40" w:line="260"/>
            </w:pPr>
            <w:r>
              <w:rPr>
                <w:rFonts w:ascii="Archivo" w:cs="Archivo" w:eastAsia="Archivo" w:hAnsi="Archivo"/>
                <w:sz w:val="18"/>
                <w:szCs w:val="18"/>
              </w:rPr>
              <w:t xml:space="preserve">Caso 4. Responsabilidad civil del cabeza de familia por incendio causado por un hijo</w:t>
            </w:r>
          </w:p>
          <w:p>
            <w:pPr>
              <w:spacing w:after="40" w:line="260"/>
            </w:pPr>
            <w:r>
              <w:rPr>
                <w:rFonts w:ascii="Archivo" w:cs="Archivo" w:eastAsia="Archivo" w:hAnsi="Archivo"/>
                <w:sz w:val="18"/>
                <w:szCs w:val="18"/>
              </w:rPr>
              <w:t xml:space="preserve">Caso 5. Límite insuficiente en la cobertura de defensa jurídica</w:t>
            </w:r>
          </w:p>
          <w:p>
            <w:pPr>
              <w:spacing w:after="40" w:line="260"/>
            </w:pPr>
            <w:r>
              <w:rPr>
                <w:rFonts w:ascii="Archivo" w:cs="Archivo" w:eastAsia="Archivo" w:hAnsi="Archivo"/>
                <w:sz w:val="18"/>
                <w:szCs w:val="18"/>
              </w:rPr>
              <w:t xml:space="preserve">Caso 6. Prescripción de la acción con proceso penal previo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seis casos prácticos que integran, de forma aplicada, la doctrina legal, jurisprudencial y de las Audiencias Provinciales desarrollada a lo largo de la obra. Cada caso sigue una estructura homogénea —hechos, cuestión jurídica, doctrina aplicable, solución razonada y enseñanza práctica— pensada como ejercicio de repaso transversal y como plantilla de análisis reutilizable ante un expediente real.</w:t>
            </w:r>
          </w:p>
          <w:p>
            <w:pPr>
              <w:spacing w:after="160"/>
            </w:pPr>
            <w:r>
              <w:rPr>
                <w:rFonts w:ascii="Archivo" w:cs="Archivo" w:eastAsia="Archivo" w:hAnsi="Archivo"/>
                <w:b/>
                <w:bCs/>
                <w:sz w:val="17"/>
                <w:szCs w:val="17"/>
              </w:rPr>
              <w:t xml:space="preserve">Palabras clave: casos prácticos, metodología de análisis, aplicación jurisprudencial.</w:t>
            </w:r>
          </w:p>
          <w:p>
            <w:pPr>
              <w:spacing w:after="100"/>
              <w:jc w:val="both"/>
            </w:pPr>
            <w:r>
              <w:rPr>
                <w:rFonts w:ascii="Archivo" w:cs="Archivo" w:eastAsia="Archivo" w:hAnsi="Archivo"/>
                <w:i/>
                <w:iCs/>
                <w:sz w:val="18"/>
                <w:szCs w:val="18"/>
              </w:rPr>
              <w:t xml:space="preserve">This closing chapter of Part IV presents six practical case studies that apply, in integrated form, the statutory, Supreme Court and provincial appellate court doctrine developed throughout the book. Each case follows a consistent structure — facts, legal issue, applicable doctrine, reasoned solution and practical lesson — designed as a cross-cutting review exercise and as a reusable analysis template for real case files.</w:t>
            </w:r>
          </w:p>
          <w:p>
            <w:pPr>
              <w:spacing w:after="0"/>
            </w:pPr>
            <w:r>
              <w:rPr>
                <w:rFonts w:ascii="Archivo" w:cs="Archivo" w:eastAsia="Archivo" w:hAnsi="Archivo"/>
                <w:b/>
                <w:bCs/>
                <w:sz w:val="17"/>
                <w:szCs w:val="17"/>
              </w:rPr>
              <w:t xml:space="preserve">Keywords: case studies, analysis methodology, applied case law.</w:t>
            </w:r>
          </w:p>
        </w:tc>
      </w:tr>
    </w:tbl>
    <w:p>
      <w:pPr>
        <w:spacing w:after="200"/>
      </w:pPr>
    </w:p>
    <w:p>
      <w:pPr>
        <w:pStyle w:val="Heading2"/>
        <w:spacing w:after="160" w:before="400"/>
      </w:pPr>
      <w:r>
        <w:rPr>
          <w:rFonts w:ascii="Fraunces" w:cs="Fraunces" w:eastAsia="Fraunces" w:hAnsi="Fraunces"/>
          <w:b/>
          <w:bCs/>
          <w:color w:val="0A2540"/>
          <w:sz w:val="24"/>
          <w:szCs w:val="24"/>
        </w:rPr>
        <w:t xml:space="preserve">Caso 1. Filtración por falta de mantenimiento frente a defecto constructivo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comunidad de propietarios sufre filtraciones reiteradas en la última planta del edificio, con daños en varias viviendas. La aseguradora de la comunidad deniega la cobertura invocando la cláusula de exclusión por «falta de mantenimiento y desgaste notorio del inmueble», destacada en las condiciones generales. El informe pericial de parte de la comunidad concluye que el origen real de las filtraciones es un defecto de ejecución en la impermeabilización de la cubierta, ejecutada pocos años antes.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 la comunidad la exclusión por falta de mantenimiento cuando el informe pericial atribuye el daño a un defecto constructivo de origen y no a un deterioro progresivo por desgaste?</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8, la exclusión por falta de mantenimiento, cuando está redactada con claridad y destacada en la póliza, se califica como cláusula delimitadora y no sorpresiva (SAP Valencia, Sección 5.ª, de 30 de junio de 2021, ROJ: SAP V 2845/2021). Sin embargo, su aplicación exige que la aseguradora acredite que el presupuesto fáctico de la exclusión —el desgaste o la falta de mantenimiento— es efectivamente la causa del daño; si la causa real es un defecto de ejecución de origen, la exclusión no resulta aplicable por falta de acreditación de su presupuesto (SAP Barcelona, Sección 1.ª, de 29 de junio de 2018, ROJ: SAP B 6782/2018).</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cobertura, centrando la controversia no en la validez de la cláusula —formalmente correcta— sino en la prueba de la causa técnica del daño. La estrategia procesal debe dirigirse a que el informe pericial acredite, con el mayor rigor técnico posible, que el defecto es de ejecución (por ejemplo, mediante cala física en la impermeabilización) y no de mantenimiento, desplazando así la controversia del terreno de la calificación de la cláusula al terreno, más favorable al asegurado, de la prueba de los hechos.</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daños por agua, la discusión jurídica sobre la naturaleza de la cláusula (capítulo 5) es solo la mitad de la batalla: la otra mitad, con frecuencia decisiva, se libra en el terreno pericial sobre la causa técnica exacta del daño (capítulo 8).</w:t>
            </w:r>
          </w:p>
        </w:tc>
      </w:tr>
    </w:tbl>
    <w:p>
      <w:pPr>
        <w:spacing w:after="240"/>
      </w:pPr>
    </w:p>
    <w:p>
      <w:pPr>
        <w:pStyle w:val="Heading2"/>
        <w:spacing w:after="160" w:before="400"/>
      </w:pPr>
      <w:r>
        <w:rPr>
          <w:rFonts w:ascii="Fraunces" w:cs="Fraunces" w:eastAsia="Fraunces" w:hAnsi="Fraunces"/>
          <w:b/>
          <w:bCs/>
          <w:color w:val="0A2540"/>
          <w:sz w:val="24"/>
          <w:szCs w:val="24"/>
        </w:rPr>
        <w:t xml:space="preserve">Caso 2. Infraseguro en un incendio parcial</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propietario asegura su vivienda por un valor de continente de 180.000 euros. Un incendio en la cocina causa daños parciales tasados por el perito en 40.000 euros. La aseguradora, al revisar el expediente, constata que el valor de reconstrucción real del inmueble en la fecha del siniestro asciende a 300.000 euros, y aplica la regla proporcional del art. 30 LCS, ofreciendo una indemnización de 24.000 euros.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correcta la reducción proporcional aplicada por la aseguradora? ¿Existe algún mecanismo contractual que hubiera podido evitarla?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19, el art. 30 LCS impone la regla proporcional cuando la suma asegurada es inferior al valor real del interés en el momento del siniestro: indemnización = daño × (suma asegurada / valor real) = 40.000 × (180.000/300.000) = 24.000 euros. El cálculo de la aseguradora es aritméticamente correcto. El propio art. 30 LCS permite, no obstante, la exclusión convencional de esta regla, habitualmente mediante cláusulas de «primer riesgo» que el asegurado no había contratado en este caso.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Salvo que se acredite un error de la aseguradora o del mediador en la determinación de la suma asegurada al contratar —lo que podría reconducirse, en su caso, a un incumplimiento del deber de asesoramiento del distribuidor, ajeno al contrato de seguro propiamente dicho—, la liquidación de 24.000 euros es correcta y difícilmente impugnable en sus propios términos. La actuación profesional útil en este momento no es litigar la liquidación del siniestro ya producido, sino advertir inmediatamente al cliente de la necesidad de actualizar la suma asegurada de cara al futuro, para evitar la repetición del infraseguro en un siniestro posterior.</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revisión periódica de la suma asegurada es una de las actuaciones preventivas de mayor rentabilidad práctica que puede recomendar un profesional a su cliente, y con frecuencia se pasa por alto hasta que ya es demasiado tarde, es decir, hasta después del siniestro.</w:t>
            </w:r>
          </w:p>
        </w:tc>
      </w:tr>
    </w:tbl>
    <w:p>
      <w:pPr>
        <w:spacing w:after="240"/>
      </w:pPr>
    </w:p>
    <w:p>
      <w:pPr>
        <w:pStyle w:val="Heading2"/>
        <w:spacing w:after="160" w:before="400"/>
      </w:pPr>
      <w:r>
        <w:rPr>
          <w:rFonts w:ascii="Fraunces" w:cs="Fraunces" w:eastAsia="Fraunces" w:hAnsi="Fraunces"/>
          <w:b/>
          <w:bCs/>
          <w:color w:val="0A2540"/>
          <w:sz w:val="24"/>
          <w:szCs w:val="24"/>
        </w:rPr>
        <w:t xml:space="preserve">Caso 3. Robo y alegación de negligencia grave</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vivienda sufre un robo mientras sus propietarios están de vacaciones. La aseguradora deniega la cobertura alegando negligencia grave, al constatar que la alarma contratada no había sido activada durante la ausencia, pese a figurar como condición de la póliza. Los propietarios alegan que la alarma llevaba meses defectuosa y que habían solicitado, sin éxito, su reparación a la empresa instaladora.</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¿Constituye la falta de activación de la alarma, en estas circunstancias, negligencia grave a efectos del art. 52.1.ª LCS?</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9 explica que el umbral de negligencia grave en el seguro de robo es más exigente que la negligencia leve, pero exige una situación de auténtico abandono o dejación en la custodia del bien (SAP Barcelona, Sección 16.ª, de 11 de enero de 2017, ROJ: SAP B 5946/2017, sobre una embarcación amarrada de forma manifiestamente precaria). El capítulo 21 recuerda, además, que la carga de la prueba de la negligencia grave corresponde siempre a la aseguradora que la invoca (STS de 17 de julio de 2012, ROJ: STS 5990/2012).</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La circunstancia de que el sistema estuviera averiado y su reparación hubiera sido solicitada con antelación —extremo que debe acreditarse documentalmente, mediante la comunicación a la empresa instaladora— desplaza el supuesto desde la mera pasividad negligente hacia una imposibilidad sobrevenida no exclusivamente imputable a los asegurados, lo que debilita sustancialmente la tesis de la negligencia grave de la aseguradora. La estrategia procesal debe centrarse en acreditar tanto la avería como la diligencia empleada en intentar repararla antes del siniestro.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Ante una alegación de negligencia grave, la primera pregunta no es «¿se cumplió la condición pactada?», sino «¿por qué no se cumplió, y es esa razón imputable a una conducta gravemente negligente del asegurado?». La distinción es sutil pero, con frecuencia, decisiva.</w:t>
            </w:r>
          </w:p>
        </w:tc>
      </w:tr>
    </w:tbl>
    <w:p>
      <w:pPr>
        <w:spacing w:after="240"/>
      </w:pPr>
    </w:p>
    <w:p>
      <w:pPr>
        <w:pStyle w:val="Heading2"/>
        <w:spacing w:after="160" w:before="400"/>
      </w:pPr>
      <w:r>
        <w:rPr>
          <w:rFonts w:ascii="Fraunces" w:cs="Fraunces" w:eastAsia="Fraunces" w:hAnsi="Fraunces"/>
          <w:b/>
          <w:bCs/>
          <w:color w:val="0A2540"/>
          <w:sz w:val="24"/>
          <w:szCs w:val="24"/>
        </w:rPr>
        <w:t xml:space="preserve">Caso 4. Responsabilidad civil del cabeza de familia por incendio causado por un hijo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El hijo mayor de edad de los tomadores de una póliza de hogar provoca, de forma imprudente, un incendio en un local ajeno mientras manipulaba productos inflamables sustraídos sin autorización. El propietario del local, perjudicado, reclama la indemnización a la aseguradora de la póliza de hogar de los padres, invocando la cobertura de responsabilidad civil del cabeza de familia. La aseguradora opone que el hijo actuó con mala fe al sustraer los productos, lo que excluiría la cobertura conforme al art. 19 LCS.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¿Puede la aseguradora oponer al perjudicado la eventual mala fe del asegurado causante del incendio?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13 desarrolla en detalle este supuesto, prácticamente idéntico al resuelto por la STS de 20 de abril de 2023 (ROJ: STS 1544/2023): el dolo relativo a un acto inicial (la sustracción) no se extiende automáticamente al resultado dañoso final (el incendio) si este no fue querido ni aceptado como consecuencia altamente probable. Y, en todo caso, conforme al art. 76 LCS, la acción directa del perjudicado es inmune a las excepciones personales del asegurador frente al asegurado, incluida su eventual mala fe.</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El perjudicado tiene derecho a la indemnización con independencia de que prospere o no, en la relación interna entre la aseguradora y sus propios asegurados, la excepción de mala fe: esta última cuestión, de ser fundada, solo legitimaría a la aseguradora para repetir posteriormente contra el asegurado causante (art. 76 LCS, inciso primero), pero no para denegar el pago al tercero perjudicado.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responsabilidad civil, conviene recordar siempre desde qué posición se analiza el dolo: la posición del asegurado frente a su aseguradora (donde el dolo sí exonera, art. 19 LCS) es jurídicamente independiente de la posición del tercero perjudicado frente a la aseguradora (donde esa misma excepción resulta inoponible, art. 76 LCS).</w:t>
            </w:r>
          </w:p>
        </w:tc>
      </w:tr>
    </w:tbl>
    <w:p>
      <w:pPr>
        <w:spacing w:after="240"/>
      </w:pPr>
    </w:p>
    <w:p>
      <w:pPr>
        <w:pStyle w:val="Heading2"/>
        <w:spacing w:after="160" w:before="400"/>
      </w:pPr>
      <w:r>
        <w:rPr>
          <w:rFonts w:ascii="Fraunces" w:cs="Fraunces" w:eastAsia="Fraunces" w:hAnsi="Fraunces"/>
          <w:b/>
          <w:bCs/>
          <w:color w:val="0A2540"/>
          <w:sz w:val="24"/>
          <w:szCs w:val="24"/>
        </w:rPr>
        <w:t xml:space="preserve">Caso 5. Límite insuficiente en la cobertura de defensa jurídica</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asegurado es demandado en un procedimiento civil derivado de un siniestro de agua causado a un vecino. Ante un conflicto de intereses con su propia aseguradora (que asegura también al vecino demandante), designa abogado de su libre elección. La factura de honorarios asciende a 3.200 euros; la póliza fija un límite de 500 euros para los supuestos de libre designación.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al asegurado el límite de 500 euros pactado en la póliza?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14 desarrolla precisamente este supuesto con apoyo en la STS de 24 de febrero de 2021 (ROJ: STS 584/2021), que califica como limitativa —e incluso potencialmente lesiva— la cláusula que fija un límite notoriamente insuficiente en relación con el coste razonable de una defensa jurídica adecuada al tipo de procedimiento, con independencia de su ubicación formal en el condicionado.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diferencia entre los 500 euros abonados y el coste real y razonable de la defensa, argumentando que el límite pactado vacía de contenido efectivo el derecho de libre elección reconocido por el art. 76.d) LCS para un procedimiento civil de la complejidad del descrito, con apoyo pericial (informe de honorarios conforme a los criterios orientadores del colegio de abogados correspondiente) sobre la razonabilidad de la minuta reclamada.</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Un límite cuantitativo de defensa jurídica no es, por sí solo, ni válido ni inválido: su oponibilidad depende siempre de una comparación funcional entre su importe y el coste razonable de una defensa adecuada al procedimiento concreto, comparación que debe documentarse con prueba pericial sobre honorarios.</w:t>
            </w:r>
          </w:p>
        </w:tc>
      </w:tr>
    </w:tbl>
    <w:p>
      <w:pPr>
        <w:spacing w:after="240"/>
      </w:pPr>
    </w:p>
    <w:p>
      <w:pPr>
        <w:pStyle w:val="Heading2"/>
        <w:spacing w:after="160" w:before="400"/>
      </w:pPr>
      <w:r>
        <w:rPr>
          <w:rFonts w:ascii="Fraunces" w:cs="Fraunces" w:eastAsia="Fraunces" w:hAnsi="Fraunces"/>
          <w:b/>
          <w:bCs/>
          <w:color w:val="0A2540"/>
          <w:sz w:val="24"/>
          <w:szCs w:val="24"/>
        </w:rPr>
        <w:t xml:space="preserve">Caso 6. Prescripción de la acción con proceso penal previo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incendio provocado intencionadamente por un tercero desconocido destruye parcialmente una vivienda en enero de 2023. Se incoan diligencias penales que concluyen, en marzo de 2025, con un auto de sobreseimiento provisional por no haberse identificado al autor. El propietario, que había esperado la resolución del proceso penal antes de reclamar formalmente a su propia aseguradora, presenta la reclamación extrajudicial en junio de 2025. La aseguradora opone la prescripción de la acción.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¿Ha prescrito la acción del asegurado frente a su propia aseguradora derivada del contrato de seguro?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22 resuelve este supuesto con apoyo directo en la STS de 15 de febrero de 2022 (ROJ: STS 517/2022), recaída precisamente sobre un seguro multirriesgo de hogar: la acción de cumplimiento contractual del asegurado frente a su propia aseguradora, derivada de los arts. 1 y 45 LCS, sigue el plazo autónomo de dos años del art. 23 LCS, cuyo cómputo no queda suspendido por la mera pendencia de un proceso penal contra un tercero por los mismos hechos, salvo que la acción ejercitada coincida sustancialmente con la que pudo ventilarse en el proceso penal.</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Contado el plazo de dos años desde enero de 2023 (fecha del siniestro, sin que conste incumplimiento del deber de comunicación), la acción contractual frente a la propia aseguradora habría prescrito, en principio, en enero de 2025, varios meses antes de la reclamación de junio de 2025, con independencia de que el proceso penal siguiera abierto. Solo si se acredita un acto interruptivo dentro de ese plazo —una reclamación extrajudicial previa no mencionada en el relato de hechos, o un reconocimiento de deuda por la aseguradora— podría salvarse la acción.</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regla es de aplicación tan sencilla como peligrosa si se ignora: nunca debe esperarse a la resolución de un proceso penal paralelo para activar la reclamación contractual frente a la propia aseguradora. Ante cualquier siniestro con origen potencialmente delictivo, la agenda procesal civil corre de forma autónoma desde el primer día.</w:t>
            </w:r>
          </w:p>
        </w:tc>
      </w:tr>
    </w:tbl>
    <w:p>
      <w:pPr>
        <w:spacing w:after="240"/>
      </w:pP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Los casos de este capítulo se apoyan íntegramente en la normativa y jurisprudencia ya citada y verificada en los capítulos correspondientes de esta obra, a los que se remite para la cita completa de cada resolución.</w:t>
      </w:r>
    </w:p>
    <w:p>
      <w:pPr>
        <w:pStyle w:val="Heading1"/>
        <w:pageBreakBefore/>
        <w:spacing w:after="300" w:before="200"/>
      </w:pPr>
      <w:r>
        <w:rPr>
          <w:rFonts w:ascii="Archivo" w:cs="Archivo" w:eastAsia="Archivo" w:hAnsi="Archivo"/>
          <w:b/>
          <w:bCs/>
          <w:color w:val="1B6DF0"/>
          <w:sz w:val="22"/>
          <w:szCs w:val="22"/>
        </w:rPr>
        <w:t xml:space="preserve">Capítulo 28. </w:t>
      </w:r>
      <w:r>
        <w:rPr>
          <w:rFonts w:ascii="Fraunces" w:cs="Fraunces" w:eastAsia="Fraunces" w:hAnsi="Fraunces"/>
          <w:b/>
          <w:bCs/>
          <w:color w:val="0A2540"/>
          <w:sz w:val="30"/>
          <w:szCs w:val="30"/>
        </w:rPr>
        <w:t xml:space="preserve">El seguro de hogar en perspectiva comparada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28.1. Objeto y método: por qué comparar</w:t>
            </w:r>
          </w:p>
          <w:p>
            <w:pPr>
              <w:spacing w:after="40" w:line="260"/>
            </w:pPr>
            <w:r>
              <w:rPr>
                <w:rFonts w:ascii="Archivo" w:cs="Archivo" w:eastAsia="Archivo" w:hAnsi="Archivo"/>
                <w:sz w:val="18"/>
                <w:szCs w:val="18"/>
              </w:rPr>
              <w:t xml:space="preserve">28.2. Cuadro sinóptico de los seis ordenamientos</w:t>
            </w:r>
          </w:p>
          <w:p>
            <w:pPr>
              <w:spacing w:after="40" w:line="260"/>
            </w:pPr>
            <w:r>
              <w:rPr>
                <w:rFonts w:ascii="Archivo" w:cs="Archivo" w:eastAsia="Archivo" w:hAnsi="Archivo"/>
                <w:sz w:val="18"/>
                <w:szCs w:val="18"/>
              </w:rPr>
              <w:t xml:space="preserve">28.3. El control de las exclusiones de cobertura</w:t>
            </w:r>
          </w:p>
          <w:p>
            <w:pPr>
              <w:spacing w:after="40" w:line="260"/>
            </w:pPr>
            <w:r>
              <w:rPr>
                <w:rFonts w:ascii="Archivo" w:cs="Archivo" w:eastAsia="Archivo" w:hAnsi="Archivo"/>
                <w:sz w:val="18"/>
                <w:szCs w:val="18"/>
              </w:rPr>
              <w:t xml:space="preserve">28.3.1. España: una distinción sin apoyo en el texto legal</w:t>
            </w:r>
          </w:p>
          <w:p>
            <w:pPr>
              <w:spacing w:after="40" w:line="260"/>
            </w:pPr>
            <w:r>
              <w:rPr>
                <w:rFonts w:ascii="Archivo" w:cs="Archivo" w:eastAsia="Archivo" w:hAnsi="Archivo"/>
                <w:sz w:val="18"/>
                <w:szCs w:val="18"/>
              </w:rPr>
              <w:t xml:space="preserve">28.3.2. Francia: una regla de redacción, no de calificación</w:t>
            </w:r>
          </w:p>
          <w:p>
            <w:pPr>
              <w:spacing w:after="40" w:line="260"/>
            </w:pPr>
            <w:r>
              <w:rPr>
                <w:rFonts w:ascii="Archivo" w:cs="Archivo" w:eastAsia="Archivo" w:hAnsi="Archivo"/>
                <w:sz w:val="18"/>
                <w:szCs w:val="18"/>
              </w:rPr>
              <w:t xml:space="preserve">28.3.3. Alemania: cláusulas sorprendentes y mandato de transparencia</w:t>
            </w:r>
          </w:p>
          <w:p>
            <w:pPr>
              <w:spacing w:after="40" w:line="260"/>
            </w:pPr>
            <w:r>
              <w:rPr>
                <w:rFonts w:ascii="Archivo" w:cs="Archivo" w:eastAsia="Archivo" w:hAnsi="Archivo"/>
                <w:sz w:val="18"/>
                <w:szCs w:val="18"/>
              </w:rPr>
              <w:t xml:space="preserve">28.3.4. Reino Unido: del contrato a la supervisión de conducta</w:t>
            </w:r>
          </w:p>
          <w:p>
            <w:pPr>
              <w:spacing w:after="40" w:line="260"/>
            </w:pPr>
            <w:r>
              <w:rPr>
                <w:rFonts w:ascii="Archivo" w:cs="Archivo" w:eastAsia="Archivo" w:hAnsi="Archivo"/>
                <w:sz w:val="18"/>
                <w:szCs w:val="18"/>
              </w:rPr>
              <w:t xml:space="preserve">28.4. La declaración del riesgo</w:t>
            </w:r>
          </w:p>
          <w:p>
            <w:pPr>
              <w:spacing w:after="40" w:line="260"/>
            </w:pPr>
            <w:r>
              <w:rPr>
                <w:rFonts w:ascii="Archivo" w:cs="Archivo" w:eastAsia="Archivo" w:hAnsi="Archivo"/>
                <w:sz w:val="18"/>
                <w:szCs w:val="18"/>
              </w:rPr>
              <w:t xml:space="preserve">28.5. Infraseguro y regla proporcional</w:t>
            </w:r>
          </w:p>
          <w:p>
            <w:pPr>
              <w:spacing w:after="40" w:line="260"/>
            </w:pPr>
            <w:r>
              <w:rPr>
                <w:rFonts w:ascii="Archivo" w:cs="Archivo" w:eastAsia="Archivo" w:hAnsi="Archivo"/>
                <w:sz w:val="18"/>
                <w:szCs w:val="18"/>
              </w:rPr>
              <w:t xml:space="preserve">28.6. Catástrofes naturales: cuatro modelos europeos</w:t>
            </w:r>
          </w:p>
          <w:p>
            <w:pPr>
              <w:spacing w:after="40" w:line="260"/>
            </w:pPr>
            <w:r>
              <w:rPr>
                <w:rFonts w:ascii="Archivo" w:cs="Archivo" w:eastAsia="Archivo" w:hAnsi="Archivo"/>
                <w:sz w:val="18"/>
                <w:szCs w:val="18"/>
              </w:rPr>
              <w:t xml:space="preserve">28.7. Liquidación del siniestro y sanción del retraso</w:t>
            </w:r>
          </w:p>
          <w:p>
            <w:pPr>
              <w:spacing w:after="40" w:line="260"/>
            </w:pPr>
            <w:r>
              <w:rPr>
                <w:rFonts w:ascii="Archivo" w:cs="Archivo" w:eastAsia="Archivo" w:hAnsi="Archivo"/>
                <w:sz w:val="18"/>
                <w:szCs w:val="18"/>
              </w:rPr>
              <w:t xml:space="preserve">28.8. Derecho de la Unión y textos armonizadores</w:t>
            </w:r>
          </w:p>
          <w:p>
            <w:pPr>
              <w:spacing w:after="40" w:line="260"/>
            </w:pPr>
            <w:r>
              <w:rPr>
                <w:rFonts w:ascii="Archivo" w:cs="Archivo" w:eastAsia="Archivo" w:hAnsi="Archivo"/>
                <w:sz w:val="18"/>
                <w:szCs w:val="18"/>
              </w:rPr>
              <w:t xml:space="preserve">28.9. Ficha para el profesional: conclusiones utilizables en el litigio español</w:t>
            </w:r>
          </w:p>
          <w:p>
            <w:pPr>
              <w:spacing w:after="40" w:line="260"/>
            </w:pPr>
            <w:r>
              <w:rPr>
                <w:rFonts w:ascii="Archivo" w:cs="Archivo" w:eastAsia="Archivo" w:hAnsi="Archivo"/>
                <w:sz w:val="18"/>
                <w:szCs w:val="18"/>
              </w:rPr>
              <w:t xml:space="preserve">28.10. Ficha para el asegurado</w:t>
            </w:r>
          </w:p>
          <w:p>
            <w:pPr>
              <w:spacing w:after="40" w:line="260"/>
            </w:pPr>
            <w:r>
              <w:rPr>
                <w:rFonts w:ascii="Archivo" w:cs="Archivo" w:eastAsia="Archivo" w:hAnsi="Archivo"/>
                <w:sz w:val="18"/>
                <w:szCs w:val="18"/>
              </w:rPr>
              <w:t xml:space="preserve">28.11. Checklist: cuándo merece la pena el argumento comparado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aborda el seguro de hogar en los ordenamientos español, francés, alemán, británico, italiano y portugués, partiendo de la constatación de que los cuatro problemas nucleares del ramo —control de las exclusiones, declaración del riesgo, infraestimación del capital y cobertura de catástrofes naturales— son comunes a todos ellos y solo difiere la técnica jurídica empleada para resolverlos. El análisis no persigue una finalidad académica sino argumental: identificar qué soluciones extranjeras han sido ya asumidas por la Sala Primera por vía interpretativa y cuáles son utilizables de lege ferenda o como refuerzo dialéctico en un recurso.</w:t>
            </w:r>
          </w:p>
          <w:p>
            <w:pPr>
              <w:spacing w:after="160"/>
            </w:pPr>
            <w:r>
              <w:rPr>
                <w:rFonts w:ascii="Archivo" w:cs="Archivo" w:eastAsia="Archivo" w:hAnsi="Archivo"/>
                <w:b/>
                <w:bCs/>
                <w:sz w:val="17"/>
                <w:szCs w:val="17"/>
              </w:rPr>
              <w:t xml:space="preserve">Palabras clave: derecho comparado, exclusiones de cobertura, declaración del riesgo, regla proporcional, catástrofes naturales, PEICL.</w:t>
            </w:r>
          </w:p>
          <w:p>
            <w:pPr>
              <w:spacing w:after="100"/>
              <w:jc w:val="both"/>
            </w:pPr>
            <w:r>
              <w:rPr>
                <w:rFonts w:ascii="Archivo" w:cs="Archivo" w:eastAsia="Archivo" w:hAnsi="Archivo"/>
                <w:i/>
                <w:iCs/>
                <w:sz w:val="18"/>
                <w:szCs w:val="18"/>
              </w:rPr>
              <w:t xml:space="preserve">This chapter examines homeowners' insurance across the Spanish, French, German, British, Italian and Portuguese legal systems, starting from the observation that the four core problems of the branch —control of exclusions, disclosure of the risk, under-valuation of the sum insured and coverage of natural catastrophes— are common to all of them, and that only the legal technique used to solve them differs. The analysis is argumentative rather than academic: it identifies which foreign solutions the Spanish Supreme Court has already absorbed by way of interpretation, and which remain usable de lege ferenda or as dialectical reinforcement on appeal.</w:t>
            </w:r>
          </w:p>
          <w:p>
            <w:pPr>
              <w:spacing w:after="0"/>
            </w:pPr>
            <w:r>
              <w:rPr>
                <w:rFonts w:ascii="Archivo" w:cs="Archivo" w:eastAsia="Archivo" w:hAnsi="Archivo"/>
                <w:b/>
                <w:bCs/>
                <w:sz w:val="17"/>
                <w:szCs w:val="17"/>
              </w:rPr>
              <w:t xml:space="preserve">Keywords: comparative law, coverage exclusions, duty of disclosure, proportional rule, natural catastrophes, PEICL.</w:t>
            </w:r>
          </w:p>
        </w:tc>
      </w:tr>
    </w:tbl>
    <w:p>
      <w:pPr>
        <w:spacing w:after="200"/>
      </w:pPr>
    </w:p>
    <w:p>
      <w:pPr>
        <w:pStyle w:val="Heading2"/>
        <w:spacing w:after="160" w:before="400"/>
      </w:pPr>
      <w:r>
        <w:rPr>
          <w:rFonts w:ascii="Fraunces" w:cs="Fraunces" w:eastAsia="Fraunces" w:hAnsi="Fraunces"/>
          <w:b/>
          <w:bCs/>
          <w:color w:val="0A2540"/>
          <w:sz w:val="24"/>
          <w:szCs w:val="24"/>
        </w:rPr>
        <w:t xml:space="preserve">28.1. Objeto y método: por qué comparar</w:t>
      </w:r>
    </w:p>
    <w:p>
      <w:pPr>
        <w:spacing w:after="180" w:line="300"/>
        <w:jc w:val="both"/>
      </w:pPr>
      <w:r>
        <w:rPr>
          <w:rFonts w:ascii="Archivo" w:cs="Archivo" w:eastAsia="Archivo" w:hAnsi="Archivo"/>
          <w:sz w:val="21"/>
          <w:szCs w:val="21"/>
        </w:rPr>
        <w:t xml:space="preserve">El seguro de hogar plantea en todos los ordenamientos europeos los mismos cuatro problemas: cómo se controlan las exclusiones de cobertura, qué ocurre cuando el tomador declara mal el riesgo, qué se hace con la infraestimación del capital asegurado y quién paga las catástrofes naturales. Lo que cambia de un sistema a otro no es el problema, sino la técnica jurídica con que se resuelve. Esa constatación es la que dota de interés práctico —y no meramente erudito— a la comparación: varias de las soluciones extranjeras han sido ya asumidas por el Tribunal Supremo español por vía interpretativa, aunque sin cita de su origen, y otras siguen disponibles como argumento de refuerzo o de lege ferenda.</w:t>
      </w:r>
    </w:p>
    <w:p>
      <w:pPr>
        <w:spacing w:after="180" w:line="300"/>
        <w:jc w:val="both"/>
      </w:pPr>
      <w:r>
        <w:rPr>
          <w:rFonts w:ascii="Archivo" w:cs="Archivo" w:eastAsia="Archivo" w:hAnsi="Archivo"/>
          <w:sz w:val="21"/>
          <w:szCs w:val="21"/>
        </w:rPr>
        <w:t xml:space="preserve">Se examinan seis ordenamientos y dos bloques de textos supranacionales, con un criterio de selección estrictamente utilitario. Francia, por la proximidad de su técnica legislativa y por la madurez de su régimen de catástrofes. Alemania, por la calidad dogmática de su reforma de 2008 y por resolver el problema de las exclusiones sin necesidad de una norma especial de seguros. El Reino Unido, por haber hecho lo que España no ha hecho —reformar la ley— y por haber suprimido de raíz el problema de la declaración espontánea del riesgo. Italia y Portugal, como contraste latino de técnica próxima a la española.</w:t>
      </w:r>
    </w:p>
    <w:p>
      <w:pPr>
        <w:spacing w:after="180" w:line="300"/>
        <w:jc w:val="both"/>
      </w:pPr>
      <w:r>
        <w:rPr>
          <w:rFonts w:ascii="Archivo" w:cs="Archivo" w:eastAsia="Archivo" w:hAnsi="Archivo"/>
          <w:sz w:val="21"/>
          <w:szCs w:val="21"/>
        </w:rPr>
        <w:t xml:space="preserve">Una advertencia metodológica se impone antes de continuar, y debe trasladarse íntegra a cualquier escrito que se apoye en este capítulo: las referencias de derecho extranjero que siguen se ofrecen con finalidad orientativa y han sido contrastadas en fuentes accesibles en la fecha de redacción, pero no gozan de la misma garantía de verificación oficial que las citas de derecho español manejadas en el resto de la obra, todas ellas comprobadas contra el BOE consolidado y el CENDOJ</w:t>
      </w:r>
      <w:r>
        <w:rPr>
          <w:rStyle w:val="FootnoteReference"/>
        </w:rPr>
        <w:footnoteReference w:id="58"/>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28.2. Cuadro sinóptico de los seis ordenamientos</w:t>
      </w:r>
    </w:p>
    <w:p>
      <w:pPr>
        <w:spacing w:after="180" w:line="300"/>
        <w:jc w:val="both"/>
      </w:pPr>
      <w:r>
        <w:rPr>
          <w:rFonts w:ascii="Archivo" w:cs="Archivo" w:eastAsia="Archivo" w:hAnsi="Archivo"/>
          <w:sz w:val="21"/>
          <w:szCs w:val="21"/>
        </w:rPr>
        <w:t xml:space="preserve">El cuadro siguiente resume, con la inevitable simplificación de toda sinopsis, las cuatro variables analizadas en el capítulo:</w:t>
      </w:r>
    </w:p>
    <w:p>
      <w:pPr>
        <w:spacing w:after="120"/>
      </w:pP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400"/>
        <w:gridCol w:w="2000"/>
        <w:gridCol w:w="2600"/>
        <w:gridCol w:w="2600"/>
        <w:gridCol w:w="1400"/>
      </w:tblGrid>
      <w:tr>
        <w:trPr>
          <w:tblHeader/>
        </w:trPr>
        <w:tc>
          <w:tcPr>
            <w:tcW w:type="pct" w:w="14%"/>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Sistema</w:t>
            </w:r>
          </w:p>
        </w:tc>
        <w:tc>
          <w:tcPr>
            <w:tcW w:type="pct" w:w="20%"/>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Norma nuclear</w:t>
            </w:r>
          </w:p>
        </w:tc>
        <w:tc>
          <w:tcPr>
            <w:tcW w:type="pct" w:w="26%"/>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Control de exclusiones</w:t>
            </w:r>
          </w:p>
        </w:tc>
        <w:tc>
          <w:tcPr>
            <w:tcW w:type="pct" w:w="26%"/>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Catástrofes naturales</w:t>
            </w:r>
          </w:p>
        </w:tc>
        <w:tc>
          <w:tcPr>
            <w:tcW w:type="pct" w:w="14%"/>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Prescripción</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España</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Ley 50/1980, de Contrato de Seguro</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Art. 3 LCS: distinción pretoriana entre cláusula limitativa y delimitadora; destacado especial y aceptación específica por escrito</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Consorcio de Compensación de Seguros: recargo obligatorio y cobertura automática (RDL 7/2004 y RD 300/2004)</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2 años (art. 23 LCS)</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Francia</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Code des assurances</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Art. L. 113-1: la exclusión ha de ser «formelle et limitée»; art. L. 112-4: caracteres muy aparentes</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Régimen CatNat: garantía obligatoria por ley con reaseguro estatal; surprima del 20 % desde 1.1.2025; exige arrêté de reconocimiento</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2 años (art. L. 114-1)</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Alemania</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VVG de 2008 y BGB</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 305c BGB (cláusulas sorprendentes, que no se incorporan) y § 307 BGB (mandato de transparencia)</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Elementarschadenversicherung voluntaria, con cobertura minoritaria del parque de edificios; debate abierto sobre seguro obligatorio con opt-out</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3 años (§ 195 BGB)</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Reino Unido</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Insurance Act 2015; CIDRA 2012; Consumer Rights Act 2015</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Doble test de equidad y transparencia de la CRA 2015, más las reglas de conducta de la FCA</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Flood Re: pool de reaseguro creado por la Water Act 2014, con caducidad prevista en 2039 y exclusión de la edificación posterior a 2009</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6 años (Limitation Act 1980)</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Italia</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Codice civile, arts. 1882 y ss.</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Arts. 1341-1342 CC: cláusulas vejatorias sujetas a doble firma específica</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Voluntario para viviendas; obligación introducida por la Ley 213/2023 limitada a las empresas</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2 años (art. 2952 CC)</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Portugal</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Decreto-Lei 72/2008 (RJCS)</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Deber reforzado de información y esclarecimiento, con advertencia expresa de las cláusulas que puedan frustrar las expectativas del cliente</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Voluntario para catástrofes; seguro de incendio obligatorio en propiedad horizontal</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Régimen del RJCS y reglas generales</w:t>
            </w:r>
          </w:p>
        </w:tc>
      </w:tr>
    </w:tbl>
    <w:p>
      <w:pPr>
        <w:spacing w:after="200"/>
      </w:pPr>
    </w:p>
    <w:p>
      <w:pPr>
        <w:pStyle w:val="Heading2"/>
        <w:spacing w:after="160" w:before="400"/>
      </w:pPr>
      <w:r>
        <w:rPr>
          <w:rFonts w:ascii="Fraunces" w:cs="Fraunces" w:eastAsia="Fraunces" w:hAnsi="Fraunces"/>
          <w:b/>
          <w:bCs/>
          <w:color w:val="0A2540"/>
          <w:sz w:val="24"/>
          <w:szCs w:val="24"/>
        </w:rPr>
        <w:t xml:space="preserve">28.3. El control de las exclusiones de cobertura</w:t>
      </w:r>
    </w:p>
    <w:p>
      <w:pPr>
        <w:pStyle w:val="Heading3"/>
        <w:spacing w:after="120" w:before="280"/>
      </w:pPr>
      <w:r>
        <w:rPr>
          <w:rFonts w:ascii="Archivo" w:cs="Archivo" w:eastAsia="Archivo" w:hAnsi="Archivo"/>
          <w:b/>
          <w:bCs/>
          <w:color w:val="1B6DF0"/>
          <w:sz w:val="21"/>
          <w:szCs w:val="21"/>
        </w:rPr>
        <w:t xml:space="preserve">28.3.1. España: una distinción sin apoyo en el texto legal</w:t>
      </w:r>
    </w:p>
    <w:p>
      <w:pPr>
        <w:spacing w:after="180" w:line="300"/>
        <w:jc w:val="both"/>
      </w:pPr>
      <w:r>
        <w:rPr>
          <w:rFonts w:ascii="Archivo" w:cs="Archivo" w:eastAsia="Archivo" w:hAnsi="Archivo"/>
          <w:sz w:val="21"/>
          <w:szCs w:val="21"/>
        </w:rPr>
        <w:t xml:space="preserve">Conviene partir de una constatación incómoda pero difícilmente rebatible: el artículo 3 LCS no distingue entre cláusulas limitativas y delimitadoras. La summa divisio sobre la que se ha construido el ochenta por ciento de la litigiosidad del ramo, estudiada en los capítulos 1 y 5, es enteramente pretoriana. Y ahí reside su debilidad estructural: más de cuarenta años de jurisprudencia no han producido un criterio que permita anticipar con seguridad, ante una exclusión concreta de una póliza de hogar, si necesitará o no aceptación específica. El resultado es una litigiosidad de segundo grado —se pleitea sobre la calificación de la cláusula antes que sobre el siniestro— que los ordenamientos vecinos han sabido evitar.</w:t>
      </w:r>
    </w:p>
    <w:p>
      <w:pPr>
        <w:pStyle w:val="Heading3"/>
        <w:spacing w:after="120" w:before="280"/>
      </w:pPr>
      <w:r>
        <w:rPr>
          <w:rFonts w:ascii="Archivo" w:cs="Archivo" w:eastAsia="Archivo" w:hAnsi="Archivo"/>
          <w:b/>
          <w:bCs/>
          <w:color w:val="1B6DF0"/>
          <w:sz w:val="21"/>
          <w:szCs w:val="21"/>
        </w:rPr>
        <w:t xml:space="preserve">28.3.2. Francia: una regla de redacción, no de calificación</w:t>
      </w:r>
    </w:p>
    <w:p>
      <w:pPr>
        <w:spacing w:after="180" w:line="300"/>
        <w:jc w:val="both"/>
      </w:pPr>
      <w:r>
        <w:rPr>
          <w:rFonts w:ascii="Archivo" w:cs="Archivo" w:eastAsia="Archivo" w:hAnsi="Archivo"/>
          <w:sz w:val="21"/>
          <w:szCs w:val="21"/>
        </w:rPr>
        <w:t xml:space="preserve">El Derecho francés resuelve el mismo problema por una vía distinta y, en su sencillez, notablemente más eficaz: no pregunta qué naturaleza tiene la cláusula, sino cómo está redactada.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L. 113-1 del Code des assurances (extracto)</w:t>
            </w:r>
          </w:p>
          <w:p>
            <w:pPr>
              <w:spacing w:after="0" w:line="280"/>
              <w:jc w:val="both"/>
            </w:pPr>
            <w:r>
              <w:rPr>
                <w:rFonts w:ascii="IBM Plex Mono" w:cs="IBM Plex Mono" w:eastAsia="IBM Plex Mono" w:hAnsi="IBM Plex Mono"/>
                <w:i/>
                <w:iCs/>
                <w:color w:val="0A2540"/>
                <w:sz w:val="18"/>
                <w:szCs w:val="18"/>
              </w:rPr>
              <w:t xml:space="preserve">Les pertes et les dommages occasionnés par des cas fortuits ou causés par la faute de l'assuré sont à la charge de l'assureur, sauf exclusion formelle et limitée contenue dans la police. [Las pérdidas y los daños ocasionados por casos fortuitos o causados por culpa del asegurado corren a cargo del asegurador, salvo exclusión formal y limitada contenida en la póliza.]</w:t>
            </w:r>
          </w:p>
        </w:tc>
      </w:tr>
    </w:tbl>
    <w:p>
      <w:pPr>
        <w:spacing w:after="180" w:line="300"/>
        <w:jc w:val="both"/>
      </w:pPr>
      <w:r>
        <w:rPr>
          <w:rFonts w:ascii="Archivo" w:cs="Archivo" w:eastAsia="Archivo" w:hAnsi="Archivo"/>
          <w:sz w:val="21"/>
          <w:szCs w:val="21"/>
        </w:rPr>
        <w:t xml:space="preserve">La jurisprudencia francesa ha extraído de esa fórmula dos exigencias acumulativas de gran rendimiento práctico. La exclusión es «formal» solo si se apoya en criterios precisos y no necesita ser interpretada para saber qué excluye: una cláusula que exige interpretación no es, por definición, formal. Y es «limitada» solo si no vacía la garantía de su sustancia, esto es, si tras su aplicación no queda una cobertura irrisoria</w:t>
      </w:r>
      <w:r>
        <w:rPr>
          <w:rStyle w:val="FootnoteReference"/>
        </w:rPr>
        <w:footnoteReference w:id="59"/>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diferencia práctica es considerable. En Francia el debate se agota en la lectura de la cláusula; en España obliga a un juicio previo sobre su naturaleza jurídica que ni la ley resuelve ni la jurisprudencia ha logrado estabilizar. Es razonable sostener —y este es el primer argumento comparado aprovechable— que la técnica francesa es la que debería inspirar la lectura del art. 3 LCS, y que el criterio de las expectativas razonables que maneja nuestra Sala Primera, examinado en el capítulo 1, apunta ya materialmente en esa dirección aunque conserve el ropaje conceptual de la distinción.</w:t>
      </w:r>
    </w:p>
    <w:p>
      <w:pPr>
        <w:pStyle w:val="Heading3"/>
        <w:spacing w:after="120" w:before="280"/>
      </w:pPr>
      <w:r>
        <w:rPr>
          <w:rFonts w:ascii="Archivo" w:cs="Archivo" w:eastAsia="Archivo" w:hAnsi="Archivo"/>
          <w:b/>
          <w:bCs/>
          <w:color w:val="1B6DF0"/>
          <w:sz w:val="21"/>
          <w:szCs w:val="21"/>
        </w:rPr>
        <w:t xml:space="preserve">28.3.3. Alemania: cláusulas sorprendentes y mandato de transparencia</w:t>
      </w:r>
    </w:p>
    <w:p>
      <w:pPr>
        <w:spacing w:after="180" w:line="300"/>
        <w:jc w:val="both"/>
      </w:pPr>
      <w:r>
        <w:rPr>
          <w:rFonts w:ascii="Archivo" w:cs="Archivo" w:eastAsia="Archivo" w:hAnsi="Archivo"/>
          <w:sz w:val="21"/>
          <w:szCs w:val="21"/>
        </w:rPr>
        <w:t xml:space="preserve">El Derecho alemán no ha necesitado una norma especial de seguros para resolver el problema, porque le basta con el control general de condiciones generales del Código Civil. Dos preceptos concentran la solución:</w:t>
      </w:r>
    </w:p>
    <w:p>
      <w:pPr>
        <w:pStyle w:val="ListParagraph"/>
        <w:numPr>
          <w:ilvl w:val="0"/>
          <w:numId w:val="2"/>
        </w:numPr>
        <w:spacing w:after="100" w:line="290"/>
      </w:pPr>
      <w:r>
        <w:rPr>
          <w:rFonts w:ascii="Archivo" w:cs="Archivo" w:eastAsia="Archivo" w:hAnsi="Archivo"/>
          <w:b/>
          <w:bCs/>
          <w:sz w:val="21"/>
          <w:szCs w:val="21"/>
        </w:rPr>
        <w:t xml:space="preserve">§ 305c BGB (cláusulas sorprendentes): </w:t>
      </w:r>
      <w:r>
        <w:rPr>
          <w:rFonts w:ascii="Archivo" w:cs="Archivo" w:eastAsia="Archivo" w:hAnsi="Archivo"/>
          <w:sz w:val="21"/>
          <w:szCs w:val="21"/>
        </w:rPr>
        <w:t xml:space="preserve">las estipulaciones de condiciones generales que, atendidas las circunstancias y en particular la apariencia externa del contrato, resulten tan insólitas que la contraparte no tenía por qué contar con ellas, no llegan a incorporarse al contrato. Nótese la consecuencia: no son inoponibles ni anulables, sencillamente no forman parte del contrato.</w:t>
      </w:r>
    </w:p>
    <w:p>
      <w:pPr>
        <w:pStyle w:val="ListParagraph"/>
        <w:numPr>
          <w:ilvl w:val="0"/>
          <w:numId w:val="2"/>
        </w:numPr>
        <w:spacing w:after="100" w:line="290"/>
      </w:pPr>
      <w:r>
        <w:rPr>
          <w:rFonts w:ascii="Archivo" w:cs="Archivo" w:eastAsia="Archivo" w:hAnsi="Archivo"/>
          <w:b/>
          <w:bCs/>
          <w:sz w:val="21"/>
          <w:szCs w:val="21"/>
        </w:rPr>
        <w:t xml:space="preserve">§ 307 BGB (Transparenzgebot): </w:t>
      </w:r>
      <w:r>
        <w:rPr>
          <w:rFonts w:ascii="Archivo" w:cs="Archivo" w:eastAsia="Archivo" w:hAnsi="Archivo"/>
          <w:sz w:val="21"/>
          <w:szCs w:val="21"/>
        </w:rPr>
        <w:t xml:space="preserve">el mandato de transparencia, en su apartado primero, determina la ineficacia de la cláusula intransparente por sí sola, sin necesidad de acreditar además un desequilibrio material adicional, en línea con el art. 5 de la Directiva 93/13/CEE.</w:t>
      </w:r>
    </w:p>
    <w:p>
      <w:pPr>
        <w:spacing w:after="180" w:line="300"/>
        <w:jc w:val="both"/>
      </w:pPr>
      <w:r>
        <w:rPr>
          <w:rFonts w:ascii="Archivo" w:cs="Archivo" w:eastAsia="Archivo" w:hAnsi="Archivo"/>
          <w:sz w:val="21"/>
          <w:szCs w:val="21"/>
        </w:rPr>
        <w:t xml:space="preserve">Aplicado a una póliza de hogar, esto significa que la exclusión de las humedades por defecto de mantenimiento —cuestión estudiada en el capítulo 8— se juzgaría en Alemania por si un tomador medio podía razonablemente esperarla, y no por si aparece o no destacada en negrita. Es exactamente el razonamiento material que emplea nuestra Sala Primera cuando recurre al criterio de la cláusula sorpresiva, con la diferencia de que allí cuenta con anclaje legal expreso y aquí ha debido construirse por vía interpretativa sobre un precepto que no lo contempla.</w:t>
      </w:r>
    </w:p>
    <w:p>
      <w:pPr>
        <w:pStyle w:val="Heading3"/>
        <w:spacing w:after="120" w:before="280"/>
      </w:pPr>
      <w:r>
        <w:rPr>
          <w:rFonts w:ascii="Archivo" w:cs="Archivo" w:eastAsia="Archivo" w:hAnsi="Archivo"/>
          <w:b/>
          <w:bCs/>
          <w:color w:val="1B6DF0"/>
          <w:sz w:val="21"/>
          <w:szCs w:val="21"/>
        </w:rPr>
        <w:t xml:space="preserve">28.3.4. Reino Unido: del contrato a la supervisión de conducta</w:t>
      </w:r>
    </w:p>
    <w:p>
      <w:pPr>
        <w:spacing w:after="180" w:line="300"/>
        <w:jc w:val="both"/>
      </w:pPr>
      <w:r>
        <w:rPr>
          <w:rFonts w:ascii="Archivo" w:cs="Archivo" w:eastAsia="Archivo" w:hAnsi="Archivo"/>
          <w:sz w:val="21"/>
          <w:szCs w:val="21"/>
        </w:rPr>
        <w:t xml:space="preserve">El sistema británico ha desplazado buena parte del problema desde el terreno contractual al de la supervisión administrativa. La Consumer Rights Act 2015 somete el clausulado al doble test de equidad (fairness) y transparencia, y las reglas de conducta del supervisor financiero exigen que la cobertura ofrecida sea consistente con las expectativas razonables del cliente. La consecuencia de una exclusión oscura no se agota, por tanto, en su inoponibilidad en el pleito concreto: se convierte además en un problema regulatorio para la entidad, con capacidad de afectar a toda su cartera. Es un modelo de incentivos sensiblemente más eficaz que el español, donde el coste de una cláusula mal redactada se limita, en la práctica, a perder los litigios que el asegurado tenga la energía de plantear.</w:t>
      </w:r>
    </w:p>
    <w:p>
      <w:pPr>
        <w:pStyle w:val="Heading2"/>
        <w:spacing w:after="160" w:before="400"/>
      </w:pPr>
      <w:r>
        <w:rPr>
          <w:rFonts w:ascii="Fraunces" w:cs="Fraunces" w:eastAsia="Fraunces" w:hAnsi="Fraunces"/>
          <w:b/>
          <w:bCs/>
          <w:color w:val="0A2540"/>
          <w:sz w:val="24"/>
          <w:szCs w:val="24"/>
        </w:rPr>
        <w:t xml:space="preserve">28.4. La declaración del riesgo</w:t>
      </w:r>
    </w:p>
    <w:p>
      <w:pPr>
        <w:spacing w:after="180" w:line="300"/>
        <w:jc w:val="both"/>
      </w:pPr>
      <w:r>
        <w:rPr>
          <w:rFonts w:ascii="Archivo" w:cs="Archivo" w:eastAsia="Archivo" w:hAnsi="Archivo"/>
          <w:sz w:val="21"/>
          <w:szCs w:val="21"/>
        </w:rPr>
        <w:t xml:space="preserve">Es en esta materia donde el contraste resulta más nítido y, para el litigante español, más rentable. El art. 10 LCS, estudiado en el capítulo 4, mantiene un deber de declaración articulado sobre el cuestionario, con la sanción abrupta de la liberación del asegurador cuando media dolo o culpa grave y la reducción proporcional de la prestación en los demás casos. La jurisprudencia española ha ido corrigiendo el precepto por vía interpretativa, exigiendo que el cuestionario sea concreto y que haya sido efectivamente sometido al tomador, pero el esquema legal sigue siendo el de un efecto de todo o nada.</w:t>
      </w:r>
    </w:p>
    <w:p>
      <w:pPr>
        <w:spacing w:after="180" w:line="300"/>
        <w:jc w:val="both"/>
      </w:pPr>
      <w:r>
        <w:rPr>
          <w:rFonts w:ascii="Archivo" w:cs="Archivo" w:eastAsia="Archivo" w:hAnsi="Archivo"/>
          <w:sz w:val="21"/>
          <w:szCs w:val="21"/>
        </w:rPr>
        <w:t xml:space="preserve">El Derecho francés llegó antes al mismo destino: el asegurador solo puede prevalerse de las respuestas a preguntas precisas que él mismo haya formulado, con nulidad del contrato por declaración falsa intencionada y aplicación de una regla proporcional de prima cuando no concurre intención. El § 19 VVG alemán, por su parte, exige que el asegurador pregunte en forma de texto y gradúa la sanción en función del grado de culpa —dolo o fraude, culpa grave, negligencia simple y ausencia de culpa—, evitando así el efecto de todo o nada mediante un sistema escalonado de remedios.</w:t>
      </w:r>
    </w:p>
    <w:p>
      <w:pPr>
        <w:spacing w:after="180" w:line="300"/>
        <w:jc w:val="both"/>
      </w:pPr>
      <w:r>
        <w:rPr>
          <w:rFonts w:ascii="Archivo" w:cs="Archivo" w:eastAsia="Archivo" w:hAnsi="Archivo"/>
          <w:sz w:val="21"/>
          <w:szCs w:val="21"/>
        </w:rPr>
        <w:t xml:space="preserve">La solución más radical, y la más útil para el abogado español, es la británica. La Consumer Insurance (Disclosure and Representations) Act 2012 suprimió lisa y llanamente el deber de declaración espontánea del consumidor —que hasta entonces debía volunteer toda información material— y lo sustituyó por un deber de emplear una diligencia razonable para no incurrir en declaración inexacta, con remedios proporcionales que sitúan al asegurador en la posición en la que habría estado de haber conocido el riesgo real</w:t>
      </w:r>
      <w:r>
        <w:rPr>
          <w:rStyle w:val="FootnoteReference"/>
        </w:rPr>
        <w:footnoteReference w:id="60"/>
      </w:r>
      <w:r>
        <w:rPr>
          <w:rFonts w:ascii="Archivo" w:cs="Archivo" w:eastAsia="Archivo" w:hAnsi="Archivo"/>
          <w:sz w:val="21"/>
          <w:szCs w:val="21"/>
        </w:rPr>
        <w:t xml:space="preserve">. Cuando se defiende a un asegurado a quien se opone la omisión de una circunstancia sobre la que nunca fue preguntado, este es el mejor argumento comparado disponible: demuestra que el efecto de todo o nada no es una exigencia lógica del contrato de seguro, sino una opción legislativa que otros ordenamientos han abandonado por injusta.</w:t>
      </w:r>
    </w:p>
    <w:p>
      <w:pPr>
        <w:pStyle w:val="Heading2"/>
        <w:spacing w:after="160" w:before="400"/>
      </w:pPr>
      <w:r>
        <w:rPr>
          <w:rFonts w:ascii="Fraunces" w:cs="Fraunces" w:eastAsia="Fraunces" w:hAnsi="Fraunces"/>
          <w:b/>
          <w:bCs/>
          <w:color w:val="0A2540"/>
          <w:sz w:val="24"/>
          <w:szCs w:val="24"/>
        </w:rPr>
        <w:t xml:space="preserve">28.5. Infraseguro y regla proporcional</w:t>
      </w:r>
    </w:p>
    <w:p>
      <w:pPr>
        <w:spacing w:after="180" w:line="300"/>
        <w:jc w:val="both"/>
      </w:pPr>
      <w:r>
        <w:rPr>
          <w:rFonts w:ascii="Archivo" w:cs="Archivo" w:eastAsia="Archivo" w:hAnsi="Archivo"/>
          <w:sz w:val="21"/>
          <w:szCs w:val="21"/>
        </w:rPr>
        <w:t xml:space="preserve">Aquí conviene ser prudente y no prometer al cliente más de lo que el derecho comparado puede dar. El art. 30 LCS aplica la regla proporcional de forma automática salvo pacto en contrario, pero Francia y Alemania conservan reglas equivalentes, de modo que España no constituye en este punto anomalía continental alguna. Sí lo es frente al Reino Unido, donde la cláusula de average ha desaparecido en la práctica de las pólizas de consumo, pero se trata de un dato aislado sobre el que resulta arriesgado construir una impugnación.</w:t>
      </w:r>
    </w:p>
    <w:p>
      <w:pPr>
        <w:spacing w:after="180" w:line="300"/>
        <w:jc w:val="both"/>
      </w:pPr>
      <w:r>
        <w:rPr>
          <w:rFonts w:ascii="Archivo" w:cs="Archivo" w:eastAsia="Archivo" w:hAnsi="Archivo"/>
          <w:sz w:val="21"/>
          <w:szCs w:val="21"/>
        </w:rPr>
        <w:t xml:space="preserve">El ángulo verdaderamente aprovechable es otro, y no se dirige contra la regla sino contra su aplicación: como se ha desarrollado en el capítulo 19, el problema español no es la regla proporcional en sí, sino quién fija el capital asegurado. En el multirriesgo del hogar la suma la propone habitualmente la entidad mediante sus propias tablas de valoración por metro cuadrado, y aplicar después la regla proporcional al asegurado por una infraestimación que no diseñó resulta difícilmente compatible con el deber de asesoramiento que impone la normativa de distribución. La conexión entre la Directiva (UE) 2016/97 y el infraseguro está poco explorada en nuestros tribunales y constituye, hoy por hoy, la línea de mayor recorrido en esta materia.</w:t>
      </w:r>
    </w:p>
    <w:p>
      <w:pPr>
        <w:pStyle w:val="Heading2"/>
        <w:spacing w:after="160" w:before="400"/>
      </w:pPr>
      <w:r>
        <w:rPr>
          <w:rFonts w:ascii="Fraunces" w:cs="Fraunces" w:eastAsia="Fraunces" w:hAnsi="Fraunces"/>
          <w:b/>
          <w:bCs/>
          <w:color w:val="0A2540"/>
          <w:sz w:val="24"/>
          <w:szCs w:val="24"/>
        </w:rPr>
        <w:t xml:space="preserve">28.6. Catástrofes naturales: cuatro modelos europeos</w:t>
      </w:r>
    </w:p>
    <w:p>
      <w:pPr>
        <w:spacing w:after="180" w:line="300"/>
        <w:jc w:val="both"/>
      </w:pPr>
      <w:r>
        <w:rPr>
          <w:rFonts w:ascii="Archivo" w:cs="Archivo" w:eastAsia="Archivo" w:hAnsi="Archivo"/>
          <w:sz w:val="21"/>
          <w:szCs w:val="21"/>
        </w:rPr>
        <w:t xml:space="preserve">Es la cuestión donde la comparación resulta más instructiva, porque los cuatro modelos teóricamente posibles están todos representados en Europa y todos se encuentran simultáneamente en revisión:</w:t>
      </w:r>
    </w:p>
    <w:p>
      <w:pPr>
        <w:pStyle w:val="ListParagraph"/>
        <w:numPr>
          <w:ilvl w:val="0"/>
          <w:numId w:val="2"/>
        </w:numPr>
        <w:spacing w:after="100" w:line="290"/>
      </w:pPr>
      <w:r>
        <w:rPr>
          <w:rFonts w:ascii="Archivo" w:cs="Archivo" w:eastAsia="Archivo" w:hAnsi="Archivo"/>
          <w:b/>
          <w:bCs/>
          <w:sz w:val="21"/>
          <w:szCs w:val="21"/>
        </w:rPr>
        <w:t xml:space="preserve">España — cobertura pública automática: </w:t>
      </w:r>
      <w:r>
        <w:rPr>
          <w:rFonts w:ascii="Archivo" w:cs="Archivo" w:eastAsia="Archivo" w:hAnsi="Archivo"/>
          <w:sz w:val="21"/>
          <w:szCs w:val="21"/>
        </w:rPr>
        <w:t xml:space="preserve">el Consorcio cubre los riesgos extraordinarios mediante un recargo obligatorio sobre toda póliza de daños. La cobertura es universal y no depende de que la póliza privada contemple el riesgo. El punto crítico no es la existencia de cobertura, sino la calificación del evento y el deslinde entre lo ordinario y lo extraordinario, estudiado en detalle en el capítulo 10.</w:t>
      </w:r>
    </w:p>
    <w:p>
      <w:pPr>
        <w:pStyle w:val="ListParagraph"/>
        <w:numPr>
          <w:ilvl w:val="0"/>
          <w:numId w:val="2"/>
        </w:numPr>
        <w:spacing w:after="100" w:line="290"/>
      </w:pPr>
      <w:r>
        <w:rPr>
          <w:rFonts w:ascii="Archivo" w:cs="Archivo" w:eastAsia="Archivo" w:hAnsi="Archivo"/>
          <w:b/>
          <w:bCs/>
          <w:sz w:val="21"/>
          <w:szCs w:val="21"/>
        </w:rPr>
        <w:t xml:space="preserve">Francia — garantía obligatoria con reaseguro estatal: </w:t>
      </w:r>
      <w:r>
        <w:rPr>
          <w:rFonts w:ascii="Archivo" w:cs="Archivo" w:eastAsia="Archivo" w:hAnsi="Archivo"/>
          <w:sz w:val="21"/>
          <w:szCs w:val="21"/>
        </w:rPr>
        <w:t xml:space="preserve">la garantía CatNat se incorpora por ley a todo contrato de daños y se financia con una surprima que pasó del 12 % al 20 % el 1 de enero de 2025, con franquicias legales de 380 euros con carácter general y de 1.520 euros para la sequía geotécnica. La cobertura exige, además, un arrêté interministerial de reconocimiento del estado de catástrofe natural, requisito administrativo que España no conoce y que genera su propia litigiosidad sobre la delimitación geográfica y temporal del evento reconocido.</w:t>
      </w:r>
    </w:p>
    <w:p>
      <w:pPr>
        <w:pStyle w:val="ListParagraph"/>
        <w:numPr>
          <w:ilvl w:val="0"/>
          <w:numId w:val="2"/>
        </w:numPr>
        <w:spacing w:after="100" w:line="290"/>
      </w:pPr>
      <w:r>
        <w:rPr>
          <w:rFonts w:ascii="Archivo" w:cs="Archivo" w:eastAsia="Archivo" w:hAnsi="Archivo"/>
          <w:b/>
          <w:bCs/>
          <w:sz w:val="21"/>
          <w:szCs w:val="21"/>
        </w:rPr>
        <w:t xml:space="preserve">Alemania — mercado libre y déficit de cobertura: </w:t>
      </w:r>
      <w:r>
        <w:rPr>
          <w:rFonts w:ascii="Archivo" w:cs="Archivo" w:eastAsia="Archivo" w:hAnsi="Archivo"/>
          <w:sz w:val="21"/>
          <w:szCs w:val="21"/>
        </w:rPr>
        <w:t xml:space="preserve">la cobertura de riesgos elementales es voluntaria y solo una fracción minoritaria del parque de edificios la tiene contratada. Tras las inundaciones de 2021 el debate sobre un seguro obligatorio se ha instalado en la agenda legislativa, con un modelo discutido de oferta obligatoria y opt-out del cliente. Es el ejemplo, útil como contraste, de lo que ocurre cuando no existe un consorcio.</w:t>
      </w:r>
    </w:p>
    <w:p>
      <w:pPr>
        <w:pStyle w:val="ListParagraph"/>
        <w:numPr>
          <w:ilvl w:val="0"/>
          <w:numId w:val="2"/>
        </w:numPr>
        <w:spacing w:after="100" w:line="290"/>
      </w:pPr>
      <w:r>
        <w:rPr>
          <w:rFonts w:ascii="Archivo" w:cs="Archivo" w:eastAsia="Archivo" w:hAnsi="Archivo"/>
          <w:b/>
          <w:bCs/>
          <w:sz w:val="21"/>
          <w:szCs w:val="21"/>
        </w:rPr>
        <w:t xml:space="preserve">Reino Unido — pool temporal: </w:t>
      </w:r>
      <w:r>
        <w:rPr>
          <w:rFonts w:ascii="Archivo" w:cs="Archivo" w:eastAsia="Archivo" w:hAnsi="Archivo"/>
          <w:sz w:val="21"/>
          <w:szCs w:val="21"/>
        </w:rPr>
        <w:t xml:space="preserve">Flood Re, creado por la Water Act 2014, reasegura el componente de inundación de las pólizas domésticas mediante una exacción sobre todo el mercado, con fecha de extinción prevista en 2039 y el objetivo declarado de retornar entonces a precios ajustados al riesgo. Excluye deliberadamente la edificación terminada a partir del 1 de enero de 2009, para no incentivar la construcción en zona inundable.</w:t>
      </w:r>
    </w:p>
    <w:p>
      <w:pPr>
        <w:pStyle w:val="ListParagraph"/>
        <w:numPr>
          <w:ilvl w:val="0"/>
          <w:numId w:val="2"/>
        </w:numPr>
        <w:spacing w:after="100" w:line="290"/>
      </w:pPr>
      <w:r>
        <w:rPr>
          <w:rFonts w:ascii="Archivo" w:cs="Archivo" w:eastAsia="Archivo" w:hAnsi="Archivo"/>
          <w:b/>
          <w:bCs/>
          <w:sz w:val="21"/>
          <w:szCs w:val="21"/>
        </w:rPr>
        <w:t xml:space="preserve">Italia — obligación limitada a las empresas: </w:t>
      </w:r>
      <w:r>
        <w:rPr>
          <w:rFonts w:ascii="Archivo" w:cs="Archivo" w:eastAsia="Archivo" w:hAnsi="Archivo"/>
          <w:sz w:val="21"/>
          <w:szCs w:val="21"/>
        </w:rPr>
        <w:t xml:space="preserve">la Ley 213/2023 introdujo por primera vez un deber de aseguramiento frente a riesgos catastróficos, pero circunscrito a las empresas inscritas en el Registro Mercantil y con un calendario escalonado de entrada en vigor a lo largo de 2025. La vivienda particular permanece en el ámbito voluntario.</w:t>
      </w:r>
    </w:p>
    <w:p>
      <w:pPr>
        <w:spacing w:after="180" w:line="300"/>
        <w:jc w:val="both"/>
      </w:pPr>
      <w:r>
        <w:rPr>
          <w:rFonts w:ascii="Archivo" w:cs="Archivo" w:eastAsia="Archivo" w:hAnsi="Archivo"/>
          <w:sz w:val="21"/>
          <w:szCs w:val="21"/>
        </w:rPr>
        <w:t xml:space="preserve">La conclusión comparada merece subrayarse, porque contradice un lugar común: el sistema español, tan criticado, es estructuralmente el más sólido de los cuatro. Es universal, se financia ex ante y carece de fecha de caducidad, frente al modelo británico —temporal por diseño—, al alemán —con un déficit de cobertura estructural— y al francés, que depende de una decisión administrativa previa de reconocimiento. Sus problemas son de gestión y de deslinde, no de diseño. Conviene tenerlo presente antes de construir una demanda sobre la premisa de que el Consorcio es el eslabón débil del sistema: casi siempre es el más fuerte, y el esfuerzo argumental rinde más dirigido a la calificación del evento concreto que a la crítica del modelo.</w:t>
      </w:r>
    </w:p>
    <w:p>
      <w:pPr>
        <w:pStyle w:val="Heading2"/>
        <w:spacing w:after="160" w:before="400"/>
      </w:pPr>
      <w:r>
        <w:rPr>
          <w:rFonts w:ascii="Fraunces" w:cs="Fraunces" w:eastAsia="Fraunces" w:hAnsi="Fraunces"/>
          <w:b/>
          <w:bCs/>
          <w:color w:val="0A2540"/>
          <w:sz w:val="24"/>
          <w:szCs w:val="24"/>
        </w:rPr>
        <w:t xml:space="preserve">28.7. Liquidación del siniestro y sanción del retraso</w:t>
      </w:r>
    </w:p>
    <w:p>
      <w:pPr>
        <w:spacing w:after="180" w:line="300"/>
        <w:jc w:val="both"/>
      </w:pPr>
      <w:r>
        <w:rPr>
          <w:rFonts w:ascii="Archivo" w:cs="Archivo" w:eastAsia="Archivo" w:hAnsi="Archivo"/>
          <w:sz w:val="21"/>
          <w:szCs w:val="21"/>
        </w:rPr>
        <w:t xml:space="preserve">El procedimiento pericial del art. 38 LCS, estudiado en el capítulo 18, tiene equivalentes funcionales en Francia y en Alemania, con recurso a un tercer perito dirimente en caso de desacuerdo. La singularidad española no está en el mecanismo sino en su régimen de plazos —treinta días para el asegurador y ciento ochenta para el asegurado— y en el efecto preclusivo del dictamen no impugnado.</w:t>
      </w:r>
    </w:p>
    <w:p>
      <w:pPr>
        <w:spacing w:after="180" w:line="300"/>
        <w:jc w:val="both"/>
      </w:pPr>
      <w:r>
        <w:rPr>
          <w:rFonts w:ascii="Archivo" w:cs="Archivo" w:eastAsia="Archivo" w:hAnsi="Archivo"/>
          <w:sz w:val="21"/>
          <w:szCs w:val="21"/>
        </w:rPr>
        <w:t xml:space="preserve">Donde España es claramente más protectora que sus vecinos es en la sanción del retraso. El interés del art. 20 LCS, punitivo y de devengo automático, no tiene parangón continental: Francia y Alemania se limitan al interés legal desde la exigibilidad de la prestación. El Reino Unido tardó en llegar, y lo hizo por la vía de la reforma de 2016, que introdujo en la Insurance Act 2015 una sección 13A conforme a la cual se entiende implícito en todo contrato de seguro el deber de pagar las cantidades debidas en un plazo razonable, con acción de daños por su incumplimiento</w:t>
      </w:r>
      <w:r>
        <w:rPr>
          <w:rStyle w:val="FootnoteReference"/>
        </w:rPr>
        <w:footnoteReference w:id="61"/>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Este dato desactiva un argumento habitual de las aseguradoras en los pleitos españoles —que el art. 20 LCS resultaría desproporcionado en términos comparados— y conviene tenerlo a mano: la tendencia europea de la última década es a sancionar el retraso del asegurador, no a suavizarlo.</w:t>
      </w:r>
    </w:p>
    <w:p>
      <w:pPr>
        <w:pStyle w:val="Heading2"/>
        <w:spacing w:after="160" w:before="400"/>
      </w:pPr>
      <w:r>
        <w:rPr>
          <w:rFonts w:ascii="Fraunces" w:cs="Fraunces" w:eastAsia="Fraunces" w:hAnsi="Fraunces"/>
          <w:b/>
          <w:bCs/>
          <w:color w:val="0A2540"/>
          <w:sz w:val="24"/>
          <w:szCs w:val="24"/>
        </w:rPr>
        <w:t xml:space="preserve">28.8. Derecho de la Unión y textos armonizadores</w:t>
      </w:r>
    </w:p>
    <w:p>
      <w:pPr>
        <w:spacing w:after="180" w:line="300"/>
        <w:jc w:val="both"/>
      </w:pPr>
      <w:r>
        <w:rPr>
          <w:rFonts w:ascii="Archivo" w:cs="Archivo" w:eastAsia="Archivo" w:hAnsi="Archivo"/>
          <w:sz w:val="21"/>
          <w:szCs w:val="21"/>
        </w:rPr>
        <w:t xml:space="preserve">La Directiva 93/13/CEE opera sobre la póliza de hogar como sobre cualquier contrato celebrado con consumidores, con la salvedad capital de su art. 4.2: la definición del riesgo asegurado pertenece al objeto principal del contrato y, por tanto, solo se somete a control de contenido si no es transparente. De ahí la importancia decisiva del control de transparencia material, que constituye la vía por la que un juez español puede fiscalizar una exclusión que no supere el escrutinio de comprensibilidad real aunque esté formalmente destacada y firmada</w:t>
      </w:r>
      <w:r>
        <w:rPr>
          <w:rStyle w:val="FootnoteReference"/>
        </w:rPr>
        <w:footnoteReference w:id="62"/>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Directiva (UE) 2016/97, de distribución de seguros, incorporada a nuestro ordenamiento por el RD-ley 3/2020, impone deberes de asesoramiento y el documento de información normalizado sobre el producto. Su conexión con el problema del infraseguro es directa y ha sido desarrollada en el capítulo 19.</w:t>
      </w:r>
    </w:p>
    <w:p>
      <w:pPr>
        <w:spacing w:after="180" w:line="300"/>
        <w:jc w:val="both"/>
      </w:pPr>
      <w:r>
        <w:rPr>
          <w:rFonts w:ascii="Archivo" w:cs="Archivo" w:eastAsia="Archivo" w:hAnsi="Archivo"/>
          <w:sz w:val="21"/>
          <w:szCs w:val="21"/>
        </w:rPr>
        <w:t xml:space="preserve">Los Principios de Derecho Europeo del Contrato de Seguro (PEICL) constituyen, finalmente, el mejor material disponible de lege ferenda. Resuelven la declaración del riesgo mediante el modelo de preguntas del asegurador con remedios proporcionales, y prescinden por completo de la distinción entre cláusulas limitativas y delimitadoras. Su valor en un escrito es el de mostrar que la solución española no es la única concebible ni la técnicamente preferible, aunque carezcan por completo de fuerza vinculante y deban invocarse siempre como lo que son: un texto académico de referencia.</w:t>
      </w:r>
    </w:p>
    <w:p>
      <w:pPr>
        <w:pStyle w:val="Heading2"/>
        <w:spacing w:after="160" w:before="400"/>
      </w:pPr>
      <w:r>
        <w:rPr>
          <w:rFonts w:ascii="Fraunces" w:cs="Fraunces" w:eastAsia="Fraunces" w:hAnsi="Fraunces"/>
          <w:b/>
          <w:bCs/>
          <w:color w:val="0A2540"/>
          <w:sz w:val="24"/>
          <w:szCs w:val="24"/>
        </w:rPr>
        <w:t xml:space="preserve">28.9. Ficha para el profesional: conclusiones utilizables en el litigio español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Seis argumentos comparados y cuándo emplearlos</w:t>
            </w:r>
          </w:p>
          <w:p>
            <w:pPr>
              <w:pStyle w:val="ListParagraph"/>
              <w:numPr>
                <w:ilvl w:val="0"/>
                <w:numId w:val="2"/>
              </w:numPr>
              <w:spacing w:after="80" w:line="280"/>
            </w:pPr>
            <w:r>
              <w:rPr>
                <w:rFonts w:ascii="Archivo" w:cs="Archivo" w:eastAsia="Archivo" w:hAnsi="Archivo"/>
                <w:sz w:val="19"/>
                <w:szCs w:val="19"/>
              </w:rPr>
              <w:t xml:space="preserve">Frente a una exclusión oscura, el argumento más fuerte no es que sea limitativa, sino que no es «formal y limitada» en el sentido del art. L. 113-1 francés y que resulta sorprendente en el del § 305c BGB. Reconduce el debate del formalismo a la sustancia y evita el terreno resbaladizo de la calificación.</w:t>
            </w:r>
          </w:p>
          <w:p>
            <w:pPr>
              <w:pStyle w:val="ListParagraph"/>
              <w:numPr>
                <w:ilvl w:val="0"/>
                <w:numId w:val="2"/>
              </w:numPr>
              <w:spacing w:after="80" w:line="280"/>
            </w:pPr>
            <w:r>
              <w:rPr>
                <w:rFonts w:ascii="Archivo" w:cs="Archivo" w:eastAsia="Archivo" w:hAnsi="Archivo"/>
                <w:sz w:val="19"/>
                <w:szCs w:val="19"/>
              </w:rPr>
              <w:t xml:space="preserve">Frente a la excepción de reticencia del art. 10 LCS, el modelo británico de 2012 y el escalonamiento del § 19 VVG acreditan que el efecto de todo o nada es una opción legislativa abandonada por otros ordenamientos, y no una exigencia lógica del contrato de seguro.</w:t>
            </w:r>
          </w:p>
          <w:p>
            <w:pPr>
              <w:pStyle w:val="ListParagraph"/>
              <w:numPr>
                <w:ilvl w:val="0"/>
                <w:numId w:val="2"/>
              </w:numPr>
              <w:spacing w:after="80" w:line="280"/>
            </w:pPr>
            <w:r>
              <w:rPr>
                <w:rFonts w:ascii="Archivo" w:cs="Archivo" w:eastAsia="Archivo" w:hAnsi="Archivo"/>
                <w:sz w:val="19"/>
                <w:szCs w:val="19"/>
              </w:rPr>
              <w:t xml:space="preserve">Frente a la regla proporcional, no impugne la regla —común a Francia y Alemania— sino su aplicación a quien no fijó el capital, por la vía del deber de asesoramiento de la normativa de distribución (capítulo 19).</w:t>
            </w:r>
          </w:p>
          <w:p>
            <w:pPr>
              <w:pStyle w:val="ListParagraph"/>
              <w:numPr>
                <w:ilvl w:val="0"/>
                <w:numId w:val="2"/>
              </w:numPr>
              <w:spacing w:after="80" w:line="280"/>
            </w:pPr>
            <w:r>
              <w:rPr>
                <w:rFonts w:ascii="Archivo" w:cs="Archivo" w:eastAsia="Archivo" w:hAnsi="Archivo"/>
                <w:sz w:val="19"/>
                <w:szCs w:val="19"/>
              </w:rPr>
              <w:t xml:space="preserve">Frente a la alegación de desproporción del art. 20 LCS, la reforma británica de 2016 demuestra que la tendencia europea es a sancionar el retraso, no a suavizarlo.</w:t>
            </w:r>
          </w:p>
          <w:p>
            <w:pPr>
              <w:pStyle w:val="ListParagraph"/>
              <w:numPr>
                <w:ilvl w:val="0"/>
                <w:numId w:val="2"/>
              </w:numPr>
              <w:spacing w:after="80" w:line="280"/>
            </w:pPr>
            <w:r>
              <w:rPr>
                <w:rFonts w:ascii="Archivo" w:cs="Archivo" w:eastAsia="Archivo" w:hAnsi="Archivo"/>
                <w:sz w:val="19"/>
                <w:szCs w:val="19"/>
              </w:rPr>
              <w:t xml:space="preserve">En materia de catástrofes, el modelo español es el más protector de Europa: dirija el esfuerzo a la calificación del evento y al deslinde entre aseguradora y Consorcio (capítulo 10), no a cuestionar el sistema.</w:t>
            </w:r>
          </w:p>
          <w:p>
            <w:pPr>
              <w:pStyle w:val="ListParagraph"/>
              <w:numPr>
                <w:ilvl w:val="0"/>
                <w:numId w:val="2"/>
              </w:numPr>
              <w:spacing w:after="80" w:line="280"/>
            </w:pPr>
            <w:r>
              <w:rPr>
                <w:rFonts w:ascii="Archivo" w:cs="Archivo" w:eastAsia="Archivo" w:hAnsi="Archivo"/>
                <w:sz w:val="19"/>
                <w:szCs w:val="19"/>
              </w:rPr>
              <w:t xml:space="preserve">El control de transparencia material de la Directiva 93/13 es la vía de entrada del Derecho europeo en el art. 3 LCS y, hoy por hoy, la más fértil cuando el tomador es consumidor (capítulo 25).</w:t>
            </w:r>
          </w:p>
        </w:tc>
      </w:tr>
    </w:tbl>
    <w:p>
      <w:pPr>
        <w:pStyle w:val="Heading2"/>
        <w:spacing w:after="160" w:before="400"/>
      </w:pPr>
      <w:r>
        <w:rPr>
          <w:rFonts w:ascii="Fraunces" w:cs="Fraunces" w:eastAsia="Fraunces" w:hAnsi="Fraunces"/>
          <w:b/>
          <w:bCs/>
          <w:color w:val="0A2540"/>
          <w:sz w:val="24"/>
          <w:szCs w:val="24"/>
        </w:rPr>
        <w:t xml:space="preserve">28.10.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aporta la comparación con otros países</w:t>
            </w:r>
          </w:p>
          <w:p>
            <w:pPr>
              <w:pStyle w:val="ListParagraph"/>
              <w:numPr>
                <w:ilvl w:val="0"/>
                <w:numId w:val="2"/>
              </w:numPr>
              <w:spacing w:after="80" w:line="280"/>
            </w:pPr>
            <w:r>
              <w:rPr>
                <w:rFonts w:ascii="Archivo" w:cs="Archivo" w:eastAsia="Archivo" w:hAnsi="Archivo"/>
                <w:sz w:val="19"/>
                <w:szCs w:val="19"/>
              </w:rPr>
              <w:t xml:space="preserve">Su seguro de hogar se rige por la ley española, y ningún tribunal aplicará una ley francesa o alemana a su póliza: lo que sigue no cambia sus derechos, pero ayuda a entender su posición.</w:t>
            </w:r>
          </w:p>
          <w:p>
            <w:pPr>
              <w:pStyle w:val="ListParagraph"/>
              <w:numPr>
                <w:ilvl w:val="0"/>
                <w:numId w:val="2"/>
              </w:numPr>
              <w:spacing w:after="80" w:line="280"/>
            </w:pPr>
            <w:r>
              <w:rPr>
                <w:rFonts w:ascii="Archivo" w:cs="Archivo" w:eastAsia="Archivo" w:hAnsi="Archivo"/>
                <w:sz w:val="19"/>
                <w:szCs w:val="19"/>
              </w:rPr>
              <w:t xml:space="preserve">En materia de catástrofes naturales usted está mejor protegido que la mayoría de los europeos: el recargo del Consorcio que paga en su recibo le da una cobertura automática que en Alemania es voluntaria y en el Reino Unido tiene fecha de caducidad.</w:t>
            </w:r>
          </w:p>
          <w:p>
            <w:pPr>
              <w:pStyle w:val="ListParagraph"/>
              <w:numPr>
                <w:ilvl w:val="0"/>
                <w:numId w:val="2"/>
              </w:numPr>
              <w:spacing w:after="80" w:line="280"/>
            </w:pPr>
            <w:r>
              <w:rPr>
                <w:rFonts w:ascii="Archivo" w:cs="Archivo" w:eastAsia="Archivo" w:hAnsi="Archivo"/>
                <w:sz w:val="19"/>
                <w:szCs w:val="19"/>
              </w:rPr>
              <w:t xml:space="preserve">En materia de retrasos en el pago también está mejor protegido: los intereses del artículo 20 son de los más severos de Europa, y esa es precisamente la razón de que las aseguradoras intenten discutir su aplicación.</w:t>
            </w:r>
          </w:p>
          <w:p>
            <w:pPr>
              <w:pStyle w:val="ListParagraph"/>
              <w:numPr>
                <w:ilvl w:val="0"/>
                <w:numId w:val="2"/>
              </w:numPr>
              <w:spacing w:after="80" w:line="280"/>
            </w:pPr>
            <w:r>
              <w:rPr>
                <w:rFonts w:ascii="Archivo" w:cs="Archivo" w:eastAsia="Archivo" w:hAnsi="Archivo"/>
                <w:sz w:val="19"/>
                <w:szCs w:val="19"/>
              </w:rPr>
              <w:t xml:space="preserve">Donde su posición es comparativamente más débil es en la letra pequeña: otros países exigen que las exclusiones se redacten de forma precisa y no puedan vaciar la garantía, mientras que en España el debate se desplaza a discutir qué clase de cláusula es cada una.</w:t>
            </w:r>
          </w:p>
        </w:tc>
      </w:tr>
    </w:tbl>
    <w:p>
      <w:pPr>
        <w:pStyle w:val="Heading2"/>
        <w:spacing w:after="160" w:before="400"/>
      </w:pPr>
      <w:r>
        <w:rPr>
          <w:rFonts w:ascii="Fraunces" w:cs="Fraunces" w:eastAsia="Fraunces" w:hAnsi="Fraunces"/>
          <w:b/>
          <w:bCs/>
          <w:color w:val="0A2540"/>
          <w:sz w:val="24"/>
          <w:szCs w:val="24"/>
        </w:rPr>
        <w:t xml:space="preserve">28.11. Checklist: cuándo merece la pena el argumento comparado</w:t>
      </w:r>
    </w:p>
    <w:p>
      <w:pPr>
        <w:pStyle w:val="ListParagraph"/>
        <w:numPr>
          <w:ilvl w:val="0"/>
          <w:numId w:val="2"/>
        </w:numPr>
        <w:spacing w:after="100" w:line="290"/>
      </w:pPr>
      <w:r>
        <w:rPr>
          <w:rFonts w:ascii="Archivo" w:cs="Archivo" w:eastAsia="Archivo" w:hAnsi="Archivo"/>
          <w:sz w:val="21"/>
          <w:szCs w:val="21"/>
        </w:rPr>
        <w:t xml:space="preserve">1. ¿El debate central del pleito es la calificación de una cláusula? En tal caso, el argumento francés y el alemán permiten reconducirlo a la sustancia de la redacción.</w:t>
      </w:r>
    </w:p>
    <w:p>
      <w:pPr>
        <w:pStyle w:val="ListParagraph"/>
        <w:numPr>
          <w:ilvl w:val="0"/>
          <w:numId w:val="2"/>
        </w:numPr>
        <w:spacing w:after="100" w:line="290"/>
      </w:pPr>
      <w:r>
        <w:rPr>
          <w:rFonts w:ascii="Archivo" w:cs="Archivo" w:eastAsia="Archivo" w:hAnsi="Archivo"/>
          <w:sz w:val="21"/>
          <w:szCs w:val="21"/>
        </w:rPr>
        <w:t xml:space="preserve">2. ¿Se opone al asegurado una omisión sobre la que nunca fue preguntado? El modelo británico de 2012 es el contraste más eficaz.</w:t>
      </w:r>
    </w:p>
    <w:p>
      <w:pPr>
        <w:pStyle w:val="ListParagraph"/>
        <w:numPr>
          <w:ilvl w:val="0"/>
          <w:numId w:val="2"/>
        </w:numPr>
        <w:spacing w:after="100" w:line="290"/>
      </w:pPr>
      <w:r>
        <w:rPr>
          <w:rFonts w:ascii="Archivo" w:cs="Archivo" w:eastAsia="Archivo" w:hAnsi="Archivo"/>
          <w:sz w:val="21"/>
          <w:szCs w:val="21"/>
        </w:rPr>
        <w:t xml:space="preserve">3. ¿Se discute la regla proporcional? Verifique antes quién fijó el capital: sin ese dato, el argumento comparado no aporta nada.</w:t>
      </w:r>
    </w:p>
    <w:p>
      <w:pPr>
        <w:pStyle w:val="ListParagraph"/>
        <w:numPr>
          <w:ilvl w:val="0"/>
          <w:numId w:val="2"/>
        </w:numPr>
        <w:spacing w:after="100" w:line="290"/>
      </w:pPr>
      <w:r>
        <w:rPr>
          <w:rFonts w:ascii="Archivo" w:cs="Archivo" w:eastAsia="Archivo" w:hAnsi="Archivo"/>
          <w:sz w:val="21"/>
          <w:szCs w:val="21"/>
        </w:rPr>
        <w:t xml:space="preserve">4. ¿Alega la aseguradora que el art. 20 LCS es desproporcionado? La reforma británica de 2016 desactiva la alegación.</w:t>
      </w:r>
    </w:p>
    <w:p>
      <w:pPr>
        <w:pStyle w:val="ListParagraph"/>
        <w:numPr>
          <w:ilvl w:val="0"/>
          <w:numId w:val="2"/>
        </w:numPr>
        <w:spacing w:after="100" w:line="290"/>
      </w:pPr>
      <w:r>
        <w:rPr>
          <w:rFonts w:ascii="Archivo" w:cs="Archivo" w:eastAsia="Archivo" w:hAnsi="Archivo"/>
          <w:sz w:val="21"/>
          <w:szCs w:val="21"/>
        </w:rPr>
        <w:t xml:space="preserve">5. ¿Es el tomador consumidor? Priorice entonces el control de transparencia material de la Directiva 93/13 sobre cualquier otro argumento comparado.</w:t>
      </w:r>
    </w:p>
    <w:p>
      <w:pPr>
        <w:pStyle w:val="ListParagraph"/>
        <w:numPr>
          <w:ilvl w:val="0"/>
          <w:numId w:val="2"/>
        </w:numPr>
        <w:spacing w:after="100" w:line="290"/>
      </w:pPr>
      <w:r>
        <w:rPr>
          <w:rFonts w:ascii="Archivo" w:cs="Archivo" w:eastAsia="Archivo" w:hAnsi="Archivo"/>
          <w:sz w:val="21"/>
          <w:szCs w:val="21"/>
        </w:rPr>
        <w:t xml:space="preserve">6. ¿Se ha verificado la vigencia actual de cada precepto extranjero antes de citarlo en el escrito?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Advertencia: las referencias normativas extranjeras citadas en este capítulo se ofrecen a título orientativo y fueron contrastadas en fuentes accesibles en la fecha de redacción. A diferencia de las citas de derecho español manejadas en el resto de la obra —verificadas contra el BOE consolidado y el CENDOJ—, deben comprobarse en su versión vigente antes de emplearlas en un escrito.</w:t>
      </w:r>
    </w:p>
    <w:p>
      <w:pPr>
        <w:spacing w:after="120"/>
      </w:pPr>
    </w:p>
    <w:p>
      <w:pPr>
        <w:spacing w:after="180" w:line="300"/>
        <w:jc w:val="both"/>
      </w:pPr>
      <w:r>
        <w:rPr>
          <w:rFonts w:ascii="Archivo" w:cs="Archivo" w:eastAsia="Archivo" w:hAnsi="Archivo"/>
          <w:sz w:val="21"/>
          <w:szCs w:val="21"/>
        </w:rPr>
        <w:t xml:space="preserve">Code des assurances (Francia), arts. L. 112-4, L. 113-1, L. 114-1 y L. 121-5.</w:t>
      </w:r>
    </w:p>
    <w:p>
      <w:pPr>
        <w:spacing w:after="180" w:line="300"/>
        <w:jc w:val="both"/>
      </w:pPr>
      <w:r>
        <w:rPr>
          <w:rFonts w:ascii="Archivo" w:cs="Archivo" w:eastAsia="Archivo" w:hAnsi="Archivo"/>
          <w:sz w:val="21"/>
          <w:szCs w:val="21"/>
        </w:rPr>
        <w:t xml:space="preserve">Bürgerliches Gesetzbuch (Alemania), §§ 195, 305c y 307; Versicherungsvertragsgesetz de 2008, §§ 19, 75 y 84.</w:t>
      </w:r>
    </w:p>
    <w:p>
      <w:pPr>
        <w:spacing w:after="180" w:line="300"/>
        <w:jc w:val="both"/>
      </w:pPr>
      <w:r>
        <w:rPr>
          <w:rFonts w:ascii="Archivo" w:cs="Archivo" w:eastAsia="Archivo" w:hAnsi="Archivo"/>
          <w:sz w:val="21"/>
          <w:szCs w:val="21"/>
        </w:rPr>
        <w:t xml:space="preserve">Consumer Insurance (Disclosure and Representations) Act 2012; Insurance Act 2015, sección 13A, introducida por la Enterprise Act 2016; Consumer Rights Act 2015; Water Act 2014 (Reino Unido).</w:t>
      </w:r>
    </w:p>
    <w:p>
      <w:pPr>
        <w:spacing w:after="180" w:line="300"/>
        <w:jc w:val="both"/>
      </w:pPr>
      <w:r>
        <w:rPr>
          <w:rFonts w:ascii="Archivo" w:cs="Archivo" w:eastAsia="Archivo" w:hAnsi="Archivo"/>
          <w:sz w:val="21"/>
          <w:szCs w:val="21"/>
        </w:rPr>
        <w:t xml:space="preserve">Codice civile (Italia), arts. 1341, 1342, 1882 y ss. y 2952; Legge 213/2023, art. 1, apartados 101 a 111.</w:t>
      </w:r>
    </w:p>
    <w:p>
      <w:pPr>
        <w:spacing w:after="180" w:line="300"/>
        <w:jc w:val="both"/>
      </w:pPr>
      <w:r>
        <w:rPr>
          <w:rFonts w:ascii="Archivo" w:cs="Archivo" w:eastAsia="Archivo" w:hAnsi="Archivo"/>
          <w:sz w:val="21"/>
          <w:szCs w:val="21"/>
        </w:rPr>
        <w:t xml:space="preserve">Decreto-Lei 72/2008, de 16 de abril, Regime Jurídico do Contrato de Seguro (Portugal).</w:t>
      </w:r>
    </w:p>
    <w:p>
      <w:pPr>
        <w:spacing w:after="180" w:line="300"/>
        <w:jc w:val="both"/>
      </w:pPr>
      <w:r>
        <w:rPr>
          <w:rFonts w:ascii="Archivo" w:cs="Archivo" w:eastAsia="Archivo" w:hAnsi="Archivo"/>
          <w:sz w:val="21"/>
          <w:szCs w:val="21"/>
        </w:rPr>
        <w:t xml:space="preserve">Directiva 93/13/CEE del Consejo, de 5 de abril de 1993, sobre las cláusulas abusivas en los contratos celebrados con consumidores.</w:t>
      </w:r>
    </w:p>
    <w:p>
      <w:pPr>
        <w:spacing w:after="180" w:line="300"/>
        <w:jc w:val="both"/>
      </w:pPr>
      <w:r>
        <w:rPr>
          <w:rFonts w:ascii="Archivo" w:cs="Archivo" w:eastAsia="Archivo" w:hAnsi="Archivo"/>
          <w:sz w:val="21"/>
          <w:szCs w:val="21"/>
        </w:rPr>
        <w:t xml:space="preserve">Directiva (UE) 2016/97 del Parlamento Europeo y del Consejo, de 20 de enero de 2016, sobre la distribución de seguros.</w:t>
      </w:r>
    </w:p>
    <w:p>
      <w:pPr>
        <w:spacing w:after="180" w:line="300"/>
        <w:jc w:val="both"/>
      </w:pPr>
      <w:r>
        <w:rPr>
          <w:rFonts w:ascii="Archivo" w:cs="Archivo" w:eastAsia="Archivo" w:hAnsi="Archivo"/>
          <w:sz w:val="21"/>
          <w:szCs w:val="21"/>
        </w:rPr>
        <w:t xml:space="preserve">Principios de Derecho Europeo del Contrato de Seguro (PEICL), elaborados por el Project Group on a Restatement of European Insurance Contract Law.</w:t>
      </w:r>
    </w:p>
    <w:p>
      <w:pPr>
        <w:pageBreakBefore/>
        <w:spacing w:after="200" w:before="2000"/>
      </w:pPr>
      <w:r>
        <w:rPr>
          <w:rFonts w:ascii="Archivo" w:cs="Archivo" w:eastAsia="Archivo" w:hAnsi="Archivo"/>
          <w:b/>
          <w:bCs/>
          <w:color w:val="1B6DF0"/>
          <w:sz w:val="28"/>
          <w:szCs w:val="28"/>
        </w:rPr>
        <w:t xml:space="preserve">PARTE V</w:t>
      </w:r>
    </w:p>
    <w:p>
      <w:pPr>
        <w:pBdr>
          <w:bottom w:val="single" w:color="CBD5E1" w:sz="6" w:space="12"/>
        </w:pBdr>
        <w:spacing w:after="600"/>
      </w:pPr>
      <w:r>
        <w:rPr>
          <w:rFonts w:ascii="Fraunces" w:cs="Fraunces" w:eastAsia="Fraunces" w:hAnsi="Fraunces"/>
          <w:b/>
          <w:bCs/>
          <w:color w:val="0A2540"/>
          <w:sz w:val="44"/>
          <w:szCs w:val="44"/>
        </w:rPr>
        <w:t xml:space="preserve">Anexos prácticos</w:t>
      </w:r>
    </w:p>
    <w:p>
      <w:pPr>
        <w:pStyle w:val="Heading1"/>
        <w:pageBreakBefore/>
        <w:spacing w:after="300"/>
      </w:pPr>
      <w:r>
        <w:rPr>
          <w:rFonts w:ascii="Fraunces" w:cs="Fraunces" w:eastAsia="Fraunces" w:hAnsi="Fraunces"/>
          <w:b/>
          <w:bCs/>
          <w:color w:val="0A2540"/>
          <w:sz w:val="30"/>
          <w:szCs w:val="30"/>
        </w:rPr>
        <w:t xml:space="preserve">Anexo I. Glosario de términos</w:t>
      </w:r>
    </w:p>
    <w:p>
      <w:pPr>
        <w:spacing w:after="180" w:line="300"/>
        <w:jc w:val="both"/>
      </w:pPr>
      <w:r>
        <w:rPr>
          <w:rFonts w:ascii="Archivo" w:cs="Archivo" w:eastAsia="Archivo" w:hAnsi="Archivo"/>
          <w:sz w:val="21"/>
          <w:szCs w:val="21"/>
        </w:rPr>
        <w:t xml:space="preserve">El glosario recoge los términos técnicos empleados a lo largo de la obra, con una definición breve orientada a la práctica del seguro de hogar y no a su tratamiento doctrinal exhaustivo, que se encuentra en el capítulo correspondiente. Los términos se ordenan alfabéticamente; entre paréntesis se indica el capítulo donde cada concepto se desarrolla con mayor detalle.</w:t>
      </w:r>
    </w:p>
    <w:p>
      <w:pPr>
        <w:spacing w:after="200"/>
      </w:pPr>
    </w:p>
    <w:p>
      <w:pPr>
        <w:pStyle w:val="Heading3"/>
        <w:spacing w:after="120" w:before="300"/>
      </w:pPr>
      <w:r>
        <w:rPr>
          <w:rFonts w:ascii="Archivo" w:cs="Archivo" w:eastAsia="Archivo" w:hAnsi="Archivo"/>
          <w:b/>
          <w:bCs/>
          <w:caps/>
          <w:color w:val="1B6DF0"/>
          <w:sz w:val="22"/>
          <w:szCs w:val="22"/>
        </w:rPr>
        <w:t xml:space="preserve">A</w:t>
      </w:r>
    </w:p>
    <w:p>
      <w:pPr>
        <w:spacing w:after="160" w:line="300"/>
        <w:jc w:val="both"/>
      </w:pPr>
      <w:r>
        <w:rPr>
          <w:rFonts w:ascii="Archivo" w:cs="Archivo" w:eastAsia="Archivo" w:hAnsi="Archivo"/>
          <w:b/>
          <w:bCs/>
          <w:color w:val="0A2540"/>
          <w:sz w:val="21"/>
          <w:szCs w:val="21"/>
        </w:rPr>
        <w:t xml:space="preserve">Acción directa. </w:t>
      </w:r>
      <w:r>
        <w:rPr>
          <w:rFonts w:ascii="Archivo" w:cs="Archivo" w:eastAsia="Archivo" w:hAnsi="Archivo"/>
          <w:sz w:val="21"/>
          <w:szCs w:val="21"/>
        </w:rPr>
        <w:t xml:space="preserve">Acción que la ley reconoce al tercero perjudicado por un hecho de responsabilidad civil para reclamar directamente a la aseguradora del causante, inmune a las excepciones que esta pudiera oponer a su propio asegurado, salvo la culpa exclusiva del perjudicado y las excepciones personales frente a él (art. 76 LCS; capítulo 13).</w:t>
      </w:r>
    </w:p>
    <w:p>
      <w:pPr>
        <w:spacing w:after="160" w:line="300"/>
        <w:jc w:val="both"/>
      </w:pPr>
      <w:r>
        <w:rPr>
          <w:rFonts w:ascii="Archivo" w:cs="Archivo" w:eastAsia="Archivo" w:hAnsi="Archivo"/>
          <w:b/>
          <w:bCs/>
          <w:color w:val="0A2540"/>
          <w:sz w:val="21"/>
          <w:szCs w:val="21"/>
        </w:rPr>
        <w:t xml:space="preserve">Actio nata. </w:t>
      </w:r>
      <w:r>
        <w:rPr>
          <w:rFonts w:ascii="Archivo" w:cs="Archivo" w:eastAsia="Archivo" w:hAnsi="Archivo"/>
          <w:sz w:val="21"/>
          <w:szCs w:val="21"/>
        </w:rPr>
        <w:t xml:space="preserve">Principio conforme al cual el plazo de prescripción de una acción no comienza a correr hasta que esta puede efectivamente ejercitarse, es decir, hasta que su titular dispone de los elementos fácticos y jurídicos necesarios (capítulo 22).</w:t>
      </w:r>
    </w:p>
    <w:p>
      <w:pPr>
        <w:spacing w:after="160" w:line="300"/>
        <w:jc w:val="both"/>
      </w:pPr>
      <w:r>
        <w:rPr>
          <w:rFonts w:ascii="Archivo" w:cs="Archivo" w:eastAsia="Archivo" w:hAnsi="Archivo"/>
          <w:b/>
          <w:bCs/>
          <w:color w:val="0A2540"/>
          <w:sz w:val="21"/>
          <w:szCs w:val="21"/>
        </w:rPr>
        <w:t xml:space="preserve">Agente de seguros. </w:t>
      </w:r>
      <w:r>
        <w:rPr>
          <w:rFonts w:ascii="Archivo" w:cs="Archivo" w:eastAsia="Archivo" w:hAnsi="Archivo"/>
          <w:sz w:val="21"/>
          <w:szCs w:val="21"/>
        </w:rPr>
        <w:t xml:space="preserve">Distribuidor de seguros vinculado, en exclusiva o casi exclusiva, a una o varias aseguradoras determinadas, cuya función es ofrecer los productos de estas, sin el deber de comparación de mercado propio del corredor (capítulo 3).</w:t>
      </w:r>
    </w:p>
    <w:p>
      <w:pPr>
        <w:spacing w:after="160" w:line="300"/>
        <w:jc w:val="both"/>
      </w:pPr>
      <w:r>
        <w:rPr>
          <w:rFonts w:ascii="Archivo" w:cs="Archivo" w:eastAsia="Archivo" w:hAnsi="Archivo"/>
          <w:b/>
          <w:bCs/>
          <w:color w:val="0A2540"/>
          <w:sz w:val="21"/>
          <w:szCs w:val="21"/>
        </w:rPr>
        <w:t xml:space="preserve">Agravación del riesgo. </w:t>
      </w:r>
      <w:r>
        <w:rPr>
          <w:rFonts w:ascii="Archivo" w:cs="Archivo" w:eastAsia="Archivo" w:hAnsi="Archivo"/>
          <w:sz w:val="21"/>
          <w:szCs w:val="21"/>
        </w:rPr>
        <w:t xml:space="preserve">Alteración, durante la vigencia del contrato, de las circunstancias declaradas en el cuestionario inicial que aumenta la probabilidad o la entidad del riesgo cubierto, sujeta a un deber de comunicación al asegurador (art. 11 LCS; capítulo 4).</w:t>
      </w:r>
    </w:p>
    <w:p>
      <w:pPr>
        <w:spacing w:after="160" w:line="300"/>
        <w:jc w:val="both"/>
      </w:pPr>
      <w:r>
        <w:rPr>
          <w:rFonts w:ascii="Archivo" w:cs="Archivo" w:eastAsia="Archivo" w:hAnsi="Archivo"/>
          <w:b/>
          <w:bCs/>
          <w:color w:val="0A2540"/>
          <w:sz w:val="21"/>
          <w:szCs w:val="21"/>
        </w:rPr>
        <w:t xml:space="preserve">Asegurado. </w:t>
      </w:r>
      <w:r>
        <w:rPr>
          <w:rFonts w:ascii="Archivo" w:cs="Archivo" w:eastAsia="Archivo" w:hAnsi="Archivo"/>
          <w:sz w:val="21"/>
          <w:szCs w:val="21"/>
        </w:rPr>
        <w:t xml:space="preserve">Titular del interés objeto de cobertura, a quien corresponden los derechos derivados del contrato de seguro, coincida o no con el tomador (art. 7 LCS; capítulo 2).</w:t>
      </w:r>
    </w:p>
    <w:p>
      <w:pPr>
        <w:pStyle w:val="Heading3"/>
        <w:spacing w:after="120" w:before="300"/>
      </w:pPr>
      <w:r>
        <w:rPr>
          <w:rFonts w:ascii="Archivo" w:cs="Archivo" w:eastAsia="Archivo" w:hAnsi="Archivo"/>
          <w:b/>
          <w:bCs/>
          <w:caps/>
          <w:color w:val="1B6DF0"/>
          <w:sz w:val="22"/>
          <w:szCs w:val="22"/>
        </w:rPr>
        <w:t xml:space="preserve">B</w:t>
      </w:r>
    </w:p>
    <w:p>
      <w:pPr>
        <w:spacing w:after="160" w:line="300"/>
        <w:jc w:val="both"/>
      </w:pPr>
      <w:r>
        <w:rPr>
          <w:rFonts w:ascii="Archivo" w:cs="Archivo" w:eastAsia="Archivo" w:hAnsi="Archivo"/>
          <w:b/>
          <w:bCs/>
          <w:color w:val="0A2540"/>
          <w:sz w:val="21"/>
          <w:szCs w:val="21"/>
        </w:rPr>
        <w:t xml:space="preserve">Beneficiario. </w:t>
      </w:r>
      <w:r>
        <w:rPr>
          <w:rFonts w:ascii="Archivo" w:cs="Archivo" w:eastAsia="Archivo" w:hAnsi="Archivo"/>
          <w:sz w:val="21"/>
          <w:szCs w:val="21"/>
        </w:rPr>
        <w:t xml:space="preserve">Persona designada en la póliza para percibir la indemnización o prestación, que puede coincidir con el asegurado o ser un tercero (por ejemplo, la entidad acreedora hipotecaria) (capítulo 2).</w:t>
      </w:r>
    </w:p>
    <w:p>
      <w:pPr>
        <w:spacing w:after="160" w:line="300"/>
        <w:jc w:val="both"/>
      </w:pPr>
      <w:r>
        <w:rPr>
          <w:rFonts w:ascii="Archivo" w:cs="Archivo" w:eastAsia="Archivo" w:hAnsi="Archivo"/>
          <w:b/>
          <w:bCs/>
          <w:color w:val="0A2540"/>
          <w:sz w:val="21"/>
          <w:szCs w:val="21"/>
        </w:rPr>
        <w:t xml:space="preserve">Burofax. </w:t>
      </w:r>
      <w:r>
        <w:rPr>
          <w:rFonts w:ascii="Archivo" w:cs="Archivo" w:eastAsia="Archivo" w:hAnsi="Archivo"/>
          <w:sz w:val="21"/>
          <w:szCs w:val="21"/>
        </w:rPr>
        <w:t xml:space="preserve">Servicio postal certificado con acuse de recibo utilizado habitualmente para las comunicaciones fehacientes entre asegurado y aseguradora, en particular la reclamación previa que interrumpe la prescripción (art. 1973 CC; Anexo IV, Modelo 1).</w:t>
      </w:r>
    </w:p>
    <w:p>
      <w:pPr>
        <w:pStyle w:val="Heading3"/>
        <w:spacing w:after="120" w:before="300"/>
      </w:pPr>
      <w:r>
        <w:rPr>
          <w:rFonts w:ascii="Archivo" w:cs="Archivo" w:eastAsia="Archivo" w:hAnsi="Archivo"/>
          <w:b/>
          <w:bCs/>
          <w:caps/>
          <w:color w:val="1B6DF0"/>
          <w:sz w:val="22"/>
          <w:szCs w:val="22"/>
        </w:rPr>
        <w:t xml:space="preserve">C</w:t>
      </w:r>
    </w:p>
    <w:p>
      <w:pPr>
        <w:spacing w:after="160" w:line="300"/>
        <w:jc w:val="both"/>
      </w:pPr>
      <w:r>
        <w:rPr>
          <w:rFonts w:ascii="Archivo" w:cs="Archivo" w:eastAsia="Archivo" w:hAnsi="Archivo"/>
          <w:b/>
          <w:bCs/>
          <w:color w:val="0A2540"/>
          <w:sz w:val="21"/>
          <w:szCs w:val="21"/>
        </w:rPr>
        <w:t xml:space="preserve">Cláusula delimitadora del riesgo. </w:t>
      </w:r>
      <w:r>
        <w:rPr>
          <w:rFonts w:ascii="Archivo" w:cs="Archivo" w:eastAsia="Archivo" w:hAnsi="Archivo"/>
          <w:sz w:val="21"/>
          <w:szCs w:val="21"/>
        </w:rPr>
        <w:t xml:space="preserve">Estipulación que concreta el objeto del contrato, fijando qué riesgos, de producirse, hacen surgir el derecho a la prestación; se incorpora al contrato mediante aceptación genérica, sin necesidad de destacado especial (art. 3 LCS; capítulo 1).</w:t>
      </w:r>
    </w:p>
    <w:p>
      <w:pPr>
        <w:spacing w:after="160" w:line="300"/>
        <w:jc w:val="both"/>
      </w:pPr>
      <w:r>
        <w:rPr>
          <w:rFonts w:ascii="Archivo" w:cs="Archivo" w:eastAsia="Archivo" w:hAnsi="Archivo"/>
          <w:b/>
          <w:bCs/>
          <w:color w:val="0A2540"/>
          <w:sz w:val="21"/>
          <w:szCs w:val="21"/>
        </w:rPr>
        <w:t xml:space="preserve">Cláusula lesiva. </w:t>
      </w:r>
      <w:r>
        <w:rPr>
          <w:rFonts w:ascii="Archivo" w:cs="Archivo" w:eastAsia="Archivo" w:hAnsi="Archivo"/>
          <w:sz w:val="21"/>
          <w:szCs w:val="21"/>
        </w:rPr>
        <w:t xml:space="preserve">Estipulación que produce un desequilibrio importante e injustificado en perjuicio del asegurado, nula de pleno derecho y no subsanable por aceptación expresa, a diferencia de la limitativa (art. 3 LCS; capítulo 1).</w:t>
      </w:r>
    </w:p>
    <w:p>
      <w:pPr>
        <w:spacing w:after="160" w:line="300"/>
        <w:jc w:val="both"/>
      </w:pPr>
      <w:r>
        <w:rPr>
          <w:rFonts w:ascii="Archivo" w:cs="Archivo" w:eastAsia="Archivo" w:hAnsi="Archivo"/>
          <w:b/>
          <w:bCs/>
          <w:color w:val="0A2540"/>
          <w:sz w:val="21"/>
          <w:szCs w:val="21"/>
        </w:rPr>
        <w:t xml:space="preserve">Cláusula limitativa de derechos. </w:t>
      </w:r>
      <w:r>
        <w:rPr>
          <w:rFonts w:ascii="Archivo" w:cs="Archivo" w:eastAsia="Archivo" w:hAnsi="Archivo"/>
          <w:sz w:val="21"/>
          <w:szCs w:val="21"/>
        </w:rPr>
        <w:t xml:space="preserve">Estipulación que, una vez nacido el derecho del asegurado a la prestación, lo restringe, condiciona o modifica; exige destacado formal especial y aceptación específica y por escrito distinta de la firma general de la póliza (art. 3 LCS; capítulo 1).</w:t>
      </w:r>
    </w:p>
    <w:p>
      <w:pPr>
        <w:spacing w:after="160" w:line="300"/>
        <w:jc w:val="both"/>
      </w:pPr>
      <w:r>
        <w:rPr>
          <w:rFonts w:ascii="Archivo" w:cs="Archivo" w:eastAsia="Archivo" w:hAnsi="Archivo"/>
          <w:b/>
          <w:bCs/>
          <w:color w:val="0A2540"/>
          <w:sz w:val="21"/>
          <w:szCs w:val="21"/>
        </w:rPr>
        <w:t xml:space="preserve">Cláusula sorpresiva. </w:t>
      </w:r>
      <w:r>
        <w:rPr>
          <w:rFonts w:ascii="Archivo" w:cs="Archivo" w:eastAsia="Archivo" w:hAnsi="Archivo"/>
          <w:sz w:val="21"/>
          <w:szCs w:val="21"/>
        </w:rPr>
        <w:t xml:space="preserve">Cláusula que, aunque formalmente delimitadora, se aparta del contenido natural o usual del ramo contratado y frustra las expectativas razonables del asegurado, recibiendo en la práctica el tratamiento de las cláusulas limitativas (capítulo 1).</w:t>
      </w:r>
    </w:p>
    <w:p>
      <w:pPr>
        <w:spacing w:after="160" w:line="300"/>
        <w:jc w:val="both"/>
      </w:pPr>
      <w:r>
        <w:rPr>
          <w:rFonts w:ascii="Archivo" w:cs="Archivo" w:eastAsia="Archivo" w:hAnsi="Archivo"/>
          <w:b/>
          <w:bCs/>
          <w:color w:val="0A2540"/>
          <w:sz w:val="21"/>
          <w:szCs w:val="21"/>
        </w:rPr>
        <w:t xml:space="preserve">Concurrencia de seguros. </w:t>
      </w:r>
      <w:r>
        <w:rPr>
          <w:rFonts w:ascii="Archivo" w:cs="Archivo" w:eastAsia="Archivo" w:hAnsi="Archivo"/>
          <w:sz w:val="21"/>
          <w:szCs w:val="21"/>
        </w:rPr>
        <w:t xml:space="preserve">Situación en la que dos o más contratos de seguro cubren el mismo riesgo sobre el mismo interés durante el mismo período, lo que determina la contribución proporcional de los aseguradores concurrentes (art. 32 LCS; capítulos 8 y 19).</w:t>
      </w:r>
    </w:p>
    <w:p>
      <w:pPr>
        <w:spacing w:after="160" w:line="300"/>
        <w:jc w:val="both"/>
      </w:pPr>
      <w:r>
        <w:rPr>
          <w:rFonts w:ascii="Archivo" w:cs="Archivo" w:eastAsia="Archivo" w:hAnsi="Archivo"/>
          <w:b/>
          <w:bCs/>
          <w:color w:val="0A2540"/>
          <w:sz w:val="21"/>
          <w:szCs w:val="21"/>
        </w:rPr>
        <w:t xml:space="preserve">Condiciones especiales. </w:t>
      </w:r>
      <w:r>
        <w:rPr>
          <w:rFonts w:ascii="Archivo" w:cs="Archivo" w:eastAsia="Archivo" w:hAnsi="Archivo"/>
          <w:sz w:val="21"/>
          <w:szCs w:val="21"/>
        </w:rPr>
        <w:t xml:space="preserve">Estipulaciones que modulan, para un contrato o producto concreto, alguna previsión de las condiciones generales (capítulo 5).</w:t>
      </w:r>
    </w:p>
    <w:p>
      <w:pPr>
        <w:spacing w:after="160" w:line="300"/>
        <w:jc w:val="both"/>
      </w:pPr>
      <w:r>
        <w:rPr>
          <w:rFonts w:ascii="Archivo" w:cs="Archivo" w:eastAsia="Archivo" w:hAnsi="Archivo"/>
          <w:b/>
          <w:bCs/>
          <w:color w:val="0A2540"/>
          <w:sz w:val="21"/>
          <w:szCs w:val="21"/>
        </w:rPr>
        <w:t xml:space="preserve">Condiciones generales. </w:t>
      </w:r>
      <w:r>
        <w:rPr>
          <w:rFonts w:ascii="Archivo" w:cs="Archivo" w:eastAsia="Archivo" w:hAnsi="Archivo"/>
          <w:sz w:val="21"/>
          <w:szCs w:val="21"/>
        </w:rPr>
        <w:t xml:space="preserve">Clausulado estándar predispuesto por la aseguradora para la generalidad de los contratos de un determinado producto (capítulo 5).</w:t>
      </w:r>
    </w:p>
    <w:p>
      <w:pPr>
        <w:spacing w:after="160" w:line="300"/>
        <w:jc w:val="both"/>
      </w:pPr>
      <w:r>
        <w:rPr>
          <w:rFonts w:ascii="Archivo" w:cs="Archivo" w:eastAsia="Archivo" w:hAnsi="Archivo"/>
          <w:b/>
          <w:bCs/>
          <w:color w:val="0A2540"/>
          <w:sz w:val="21"/>
          <w:szCs w:val="21"/>
        </w:rPr>
        <w:t xml:space="preserve">Condiciones particulares. </w:t>
      </w:r>
      <w:r>
        <w:rPr>
          <w:rFonts w:ascii="Archivo" w:cs="Archivo" w:eastAsia="Archivo" w:hAnsi="Archivo"/>
          <w:sz w:val="21"/>
          <w:szCs w:val="21"/>
        </w:rPr>
        <w:t xml:space="preserve">Datos y pactos específicos de cada contrato concreto: sumas aseguradas, franquicias, dirección del inmueble, sublímites contratados (capítulo 5).</w:t>
      </w:r>
    </w:p>
    <w:p>
      <w:pPr>
        <w:spacing w:after="160" w:line="300"/>
        <w:jc w:val="both"/>
      </w:pPr>
      <w:r>
        <w:rPr>
          <w:rFonts w:ascii="Archivo" w:cs="Archivo" w:eastAsia="Archivo" w:hAnsi="Archivo"/>
          <w:b/>
          <w:bCs/>
          <w:color w:val="0A2540"/>
          <w:sz w:val="21"/>
          <w:szCs w:val="21"/>
        </w:rPr>
        <w:t xml:space="preserve">Consorcio de Compensación de Seguros (CCS). </w:t>
      </w:r>
      <w:r>
        <w:rPr>
          <w:rFonts w:ascii="Archivo" w:cs="Archivo" w:eastAsia="Archivo" w:hAnsi="Archivo"/>
          <w:sz w:val="21"/>
          <w:szCs w:val="21"/>
        </w:rPr>
        <w:t xml:space="preserve">Entidad pública empresarial que indemniza, en régimen de compensación financiado mediante recargo obligatorio, las pérdidas derivadas de acontecimientos extraordinarios (inundación extraordinaria, terremoto, tempestad ciclónica atípica, entre otros) (RDL 7/2004; capítulo 10).</w:t>
      </w:r>
    </w:p>
    <w:p>
      <w:pPr>
        <w:spacing w:after="160" w:line="300"/>
        <w:jc w:val="both"/>
      </w:pPr>
      <w:r>
        <w:rPr>
          <w:rFonts w:ascii="Archivo" w:cs="Archivo" w:eastAsia="Archivo" w:hAnsi="Archivo"/>
          <w:b/>
          <w:bCs/>
          <w:color w:val="0A2540"/>
          <w:sz w:val="21"/>
          <w:szCs w:val="21"/>
        </w:rPr>
        <w:t xml:space="preserve">Contenido. </w:t>
      </w:r>
      <w:r>
        <w:rPr>
          <w:rFonts w:ascii="Archivo" w:cs="Archivo" w:eastAsia="Archivo" w:hAnsi="Archivo"/>
          <w:sz w:val="21"/>
          <w:szCs w:val="21"/>
        </w:rPr>
        <w:t xml:space="preserve">Los bienes muebles del hogar asegurado: mobiliario, electrodomésticos, ropa, y, con sublímites específicos, joyas, dinero en efectivo y objetos de valor (capítulo 1).</w:t>
      </w:r>
    </w:p>
    <w:p>
      <w:pPr>
        <w:spacing w:after="160" w:line="300"/>
        <w:jc w:val="both"/>
      </w:pPr>
      <w:r>
        <w:rPr>
          <w:rFonts w:ascii="Archivo" w:cs="Archivo" w:eastAsia="Archivo" w:hAnsi="Archivo"/>
          <w:b/>
          <w:bCs/>
          <w:color w:val="0A2540"/>
          <w:sz w:val="21"/>
          <w:szCs w:val="21"/>
        </w:rPr>
        <w:t xml:space="preserve">Continente. </w:t>
      </w:r>
      <w:r>
        <w:rPr>
          <w:rFonts w:ascii="Archivo" w:cs="Archivo" w:eastAsia="Archivo" w:hAnsi="Archivo"/>
          <w:sz w:val="21"/>
          <w:szCs w:val="21"/>
        </w:rPr>
        <w:t xml:space="preserve">La construcción en sí —muros, techos, suelos, instalaciones fijas— y, en su caso, los elementos comunes, en la proporción correspondiente (capítulo 1).</w:t>
      </w:r>
    </w:p>
    <w:p>
      <w:pPr>
        <w:spacing w:after="160" w:line="300"/>
        <w:jc w:val="both"/>
      </w:pPr>
      <w:r>
        <w:rPr>
          <w:rFonts w:ascii="Archivo" w:cs="Archivo" w:eastAsia="Archivo" w:hAnsi="Archivo"/>
          <w:b/>
          <w:bCs/>
          <w:color w:val="0A2540"/>
          <w:sz w:val="21"/>
          <w:szCs w:val="21"/>
        </w:rPr>
        <w:t xml:space="preserve">Contra proferentem. </w:t>
      </w:r>
      <w:r>
        <w:rPr>
          <w:rFonts w:ascii="Archivo" w:cs="Archivo" w:eastAsia="Archivo" w:hAnsi="Archivo"/>
          <w:sz w:val="21"/>
          <w:szCs w:val="21"/>
        </w:rPr>
        <w:t xml:space="preserve">Regla de interpretación conforme a la cual las cláusulas oscuras de un contrato no deben favorecer a la parte que ocasionó la oscuridad, es decir, al asegurador que redactó unilateralmente las condiciones generales (art. 1288 CC; capítulos 5 y 6).</w:t>
      </w:r>
    </w:p>
    <w:p>
      <w:pPr>
        <w:spacing w:after="160" w:line="300"/>
        <w:jc w:val="both"/>
      </w:pPr>
      <w:r>
        <w:rPr>
          <w:rFonts w:ascii="Archivo" w:cs="Archivo" w:eastAsia="Archivo" w:hAnsi="Archivo"/>
          <w:b/>
          <w:bCs/>
          <w:color w:val="0A2540"/>
          <w:sz w:val="21"/>
          <w:szCs w:val="21"/>
        </w:rPr>
        <w:t xml:space="preserve">Corredor de seguros. </w:t>
      </w:r>
      <w:r>
        <w:rPr>
          <w:rFonts w:ascii="Archivo" w:cs="Archivo" w:eastAsia="Archivo" w:hAnsi="Archivo"/>
          <w:sz w:val="21"/>
          <w:szCs w:val="21"/>
        </w:rPr>
        <w:t xml:space="preserve">Distribuidor de seguros independiente de cualquier aseguradora concreta, obligado a ofrecer un asesoramiento profesional fundado en el análisis objetivo del mercado (capítulo 3).</w:t>
      </w:r>
    </w:p>
    <w:p>
      <w:pPr>
        <w:spacing w:after="160" w:line="300"/>
        <w:jc w:val="both"/>
      </w:pPr>
      <w:r>
        <w:rPr>
          <w:rFonts w:ascii="Archivo" w:cs="Archivo" w:eastAsia="Archivo" w:hAnsi="Archivo"/>
          <w:b/>
          <w:bCs/>
          <w:color w:val="0A2540"/>
          <w:sz w:val="21"/>
          <w:szCs w:val="21"/>
        </w:rPr>
        <w:t xml:space="preserve">Culpa grave. </w:t>
      </w:r>
      <w:r>
        <w:rPr>
          <w:rFonts w:ascii="Archivo" w:cs="Archivo" w:eastAsia="Archivo" w:hAnsi="Archivo"/>
          <w:sz w:val="21"/>
          <w:szCs w:val="21"/>
        </w:rPr>
        <w:t xml:space="preserve">Grado de negligencia especialmente intenso, próximo al dolo aunque sin la intención de causar el daño, que en determinadas coberturas (robo, incendio) exonera al asegurador de su obligación de indemnizar (arts. 48 y 52 LCS; capítulo 21).</w:t>
      </w:r>
    </w:p>
    <w:p>
      <w:pPr>
        <w:spacing w:after="160" w:line="300"/>
        <w:jc w:val="both"/>
      </w:pPr>
      <w:r>
        <w:rPr>
          <w:rFonts w:ascii="Archivo" w:cs="Archivo" w:eastAsia="Archivo" w:hAnsi="Archivo"/>
          <w:b/>
          <w:bCs/>
          <w:color w:val="0A2540"/>
          <w:sz w:val="21"/>
          <w:szCs w:val="21"/>
        </w:rPr>
        <w:t xml:space="preserve">Cuestionario de riesgo. </w:t>
      </w:r>
      <w:r>
        <w:rPr>
          <w:rFonts w:ascii="Archivo" w:cs="Archivo" w:eastAsia="Archivo" w:hAnsi="Archivo"/>
          <w:sz w:val="21"/>
          <w:szCs w:val="21"/>
        </w:rPr>
        <w:t xml:space="preserve">Conjunto de preguntas que el asegurador somete al tomador antes de la conclusión del contrato para valorar el riesgo; su ausencia exonera al tomador del deber de declaración (art. 10 LCS; capítulo 4).</w:t>
      </w:r>
    </w:p>
    <w:p>
      <w:pPr>
        <w:pStyle w:val="Heading3"/>
        <w:spacing w:after="120" w:before="300"/>
      </w:pPr>
      <w:r>
        <w:rPr>
          <w:rFonts w:ascii="Archivo" w:cs="Archivo" w:eastAsia="Archivo" w:hAnsi="Archivo"/>
          <w:b/>
          <w:bCs/>
          <w:caps/>
          <w:color w:val="1B6DF0"/>
          <w:sz w:val="22"/>
          <w:szCs w:val="22"/>
        </w:rPr>
        <w:t xml:space="preserve">D</w:t>
      </w:r>
    </w:p>
    <w:p>
      <w:pPr>
        <w:spacing w:after="160" w:line="300"/>
        <w:jc w:val="both"/>
      </w:pPr>
      <w:r>
        <w:rPr>
          <w:rFonts w:ascii="Archivo" w:cs="Archivo" w:eastAsia="Archivo" w:hAnsi="Archivo"/>
          <w:b/>
          <w:bCs/>
          <w:color w:val="0A2540"/>
          <w:sz w:val="21"/>
          <w:szCs w:val="21"/>
        </w:rPr>
        <w:t xml:space="preserve">Declaración del riesgo. </w:t>
      </w:r>
      <w:r>
        <w:rPr>
          <w:rFonts w:ascii="Archivo" w:cs="Archivo" w:eastAsia="Archivo" w:hAnsi="Archivo"/>
          <w:sz w:val="21"/>
          <w:szCs w:val="21"/>
        </w:rPr>
        <w:t xml:space="preserve">Deber precontractual del tomador de responder con veracidad al cuestionario que le somete el asegurador sobre las circunstancias que puedan influir en la valoración del riesgo (art. 10 LCS; capítulo 4).</w:t>
      </w:r>
    </w:p>
    <w:p>
      <w:pPr>
        <w:spacing w:after="160" w:line="300"/>
        <w:jc w:val="both"/>
      </w:pPr>
      <w:r>
        <w:rPr>
          <w:rFonts w:ascii="Archivo" w:cs="Archivo" w:eastAsia="Archivo" w:hAnsi="Archivo"/>
          <w:b/>
          <w:bCs/>
          <w:color w:val="0A2540"/>
          <w:sz w:val="21"/>
          <w:szCs w:val="21"/>
        </w:rPr>
        <w:t xml:space="preserve">Defensor del Asegurado. </w:t>
      </w:r>
      <w:r>
        <w:rPr>
          <w:rFonts w:ascii="Archivo" w:cs="Archivo" w:eastAsia="Archivo" w:hAnsi="Archivo"/>
          <w:sz w:val="21"/>
          <w:szCs w:val="21"/>
        </w:rPr>
        <w:t xml:space="preserve">Órgano interno o externo de la aseguradora encargado de resolver las reclamaciones de los clientes en segunda instancia, tras el Servicio de Atención al Cliente (capítulo 23).</w:t>
      </w:r>
    </w:p>
    <w:p>
      <w:pPr>
        <w:spacing w:after="160" w:line="300"/>
        <w:jc w:val="both"/>
      </w:pPr>
      <w:r>
        <w:rPr>
          <w:rFonts w:ascii="Archivo" w:cs="Archivo" w:eastAsia="Archivo" w:hAnsi="Archivo"/>
          <w:b/>
          <w:bCs/>
          <w:color w:val="0A2540"/>
          <w:sz w:val="21"/>
          <w:szCs w:val="21"/>
        </w:rPr>
        <w:t xml:space="preserve">DGSFP. </w:t>
      </w:r>
      <w:r>
        <w:rPr>
          <w:rFonts w:ascii="Archivo" w:cs="Archivo" w:eastAsia="Archivo" w:hAnsi="Archivo"/>
          <w:sz w:val="21"/>
          <w:szCs w:val="21"/>
        </w:rPr>
        <w:t xml:space="preserve">Dirección General de Seguros y Fondos de Pensiones, organismo público de supervisión del sector asegurador español, ante cuyo Servicio de Reclamaciones puede acudirse una vez agotada la vía interna de la aseguradora (capítulo 23).</w:t>
      </w:r>
    </w:p>
    <w:p>
      <w:pPr>
        <w:spacing w:after="160" w:line="300"/>
        <w:jc w:val="both"/>
      </w:pPr>
      <w:r>
        <w:rPr>
          <w:rFonts w:ascii="Archivo" w:cs="Archivo" w:eastAsia="Archivo" w:hAnsi="Archivo"/>
          <w:b/>
          <w:bCs/>
          <w:color w:val="0A2540"/>
          <w:sz w:val="21"/>
          <w:szCs w:val="21"/>
        </w:rPr>
        <w:t xml:space="preserve">Dies a quo. </w:t>
      </w:r>
      <w:r>
        <w:rPr>
          <w:rFonts w:ascii="Archivo" w:cs="Archivo" w:eastAsia="Archivo" w:hAnsi="Archivo"/>
          <w:sz w:val="21"/>
          <w:szCs w:val="21"/>
        </w:rPr>
        <w:t xml:space="preserve">Fecha en la que comienza a computarse un plazo, en particular el de prescripción de la acción derivada del contrato de seguro (capítulo 22).</w:t>
      </w:r>
    </w:p>
    <w:p>
      <w:pPr>
        <w:spacing w:after="160" w:line="300"/>
        <w:jc w:val="both"/>
      </w:pPr>
      <w:r>
        <w:rPr>
          <w:rFonts w:ascii="Archivo" w:cs="Archivo" w:eastAsia="Archivo" w:hAnsi="Archivo"/>
          <w:b/>
          <w:bCs/>
          <w:color w:val="0A2540"/>
          <w:sz w:val="21"/>
          <w:szCs w:val="21"/>
        </w:rPr>
        <w:t xml:space="preserve">Dolo. </w:t>
      </w:r>
      <w:r>
        <w:rPr>
          <w:rFonts w:ascii="Archivo" w:cs="Archivo" w:eastAsia="Archivo" w:hAnsi="Archivo"/>
          <w:sz w:val="21"/>
          <w:szCs w:val="21"/>
        </w:rPr>
        <w:t xml:space="preserve">Provocación consciente y deliberada del siniestro por el propio asegurado, único supuesto que exonera al asegurador conforme a la regla general del art. 19 LCS (capítulo 21).</w:t>
      </w:r>
    </w:p>
    <w:p>
      <w:pPr>
        <w:pStyle w:val="Heading3"/>
        <w:spacing w:after="120" w:before="300"/>
      </w:pPr>
      <w:r>
        <w:rPr>
          <w:rFonts w:ascii="Archivo" w:cs="Archivo" w:eastAsia="Archivo" w:hAnsi="Archivo"/>
          <w:b/>
          <w:bCs/>
          <w:caps/>
          <w:color w:val="1B6DF0"/>
          <w:sz w:val="22"/>
          <w:szCs w:val="22"/>
        </w:rPr>
        <w:t xml:space="preserve">E</w:t>
      </w:r>
    </w:p>
    <w:p>
      <w:pPr>
        <w:spacing w:after="160" w:line="300"/>
        <w:jc w:val="both"/>
      </w:pPr>
      <w:r>
        <w:rPr>
          <w:rFonts w:ascii="Archivo" w:cs="Archivo" w:eastAsia="Archivo" w:hAnsi="Archivo"/>
          <w:b/>
          <w:bCs/>
          <w:color w:val="0A2540"/>
          <w:sz w:val="21"/>
          <w:szCs w:val="21"/>
        </w:rPr>
        <w:t xml:space="preserve">Expectativa razonable del asegurado. </w:t>
      </w:r>
      <w:r>
        <w:rPr>
          <w:rFonts w:ascii="Archivo" w:cs="Archivo" w:eastAsia="Archivo" w:hAnsi="Archivo"/>
          <w:sz w:val="21"/>
          <w:szCs w:val="21"/>
        </w:rPr>
        <w:t xml:space="preserve">Canon interpretativo conforme al cual el alcance de una cobertura debe medirse con arreglo a lo que un asegurado medio razonablemente esperaría del producto contratado, atendido su contenido natural y la práctica aseguradora (capítulos 1 y 6).</w:t>
      </w:r>
    </w:p>
    <w:p>
      <w:pPr>
        <w:pStyle w:val="Heading3"/>
        <w:spacing w:after="120" w:before="300"/>
      </w:pPr>
      <w:r>
        <w:rPr>
          <w:rFonts w:ascii="Archivo" w:cs="Archivo" w:eastAsia="Archivo" w:hAnsi="Archivo"/>
          <w:b/>
          <w:bCs/>
          <w:caps/>
          <w:color w:val="1B6DF0"/>
          <w:sz w:val="22"/>
          <w:szCs w:val="22"/>
        </w:rPr>
        <w:t xml:space="preserve">F</w:t>
      </w:r>
    </w:p>
    <w:p>
      <w:pPr>
        <w:spacing w:after="160" w:line="300"/>
        <w:jc w:val="both"/>
      </w:pPr>
      <w:r>
        <w:rPr>
          <w:rFonts w:ascii="Archivo" w:cs="Archivo" w:eastAsia="Archivo" w:hAnsi="Archivo"/>
          <w:b/>
          <w:bCs/>
          <w:color w:val="0A2540"/>
          <w:sz w:val="21"/>
          <w:szCs w:val="21"/>
        </w:rPr>
        <w:t xml:space="preserve">Franquicia. </w:t>
      </w:r>
      <w:r>
        <w:rPr>
          <w:rFonts w:ascii="Archivo" w:cs="Archivo" w:eastAsia="Archivo" w:hAnsi="Archivo"/>
          <w:sz w:val="21"/>
          <w:szCs w:val="21"/>
        </w:rPr>
        <w:t xml:space="preserve">Cantidad o porcentaje del daño que queda a cargo del propio asegurado en cada siniestro, pactada en las condiciones particulares.</w:t>
      </w:r>
    </w:p>
    <w:p>
      <w:pPr>
        <w:pStyle w:val="Heading3"/>
        <w:spacing w:after="120" w:before="300"/>
      </w:pPr>
      <w:r>
        <w:rPr>
          <w:rFonts w:ascii="Archivo" w:cs="Archivo" w:eastAsia="Archivo" w:hAnsi="Archivo"/>
          <w:b/>
          <w:bCs/>
          <w:caps/>
          <w:color w:val="1B6DF0"/>
          <w:sz w:val="22"/>
          <w:szCs w:val="22"/>
        </w:rPr>
        <w:t xml:space="preserve">I</w:t>
      </w:r>
    </w:p>
    <w:p>
      <w:pPr>
        <w:spacing w:after="160" w:line="300"/>
        <w:jc w:val="both"/>
      </w:pPr>
      <w:r>
        <w:rPr>
          <w:rFonts w:ascii="Archivo" w:cs="Archivo" w:eastAsia="Archivo" w:hAnsi="Archivo"/>
          <w:b/>
          <w:bCs/>
          <w:color w:val="0A2540"/>
          <w:sz w:val="21"/>
          <w:szCs w:val="21"/>
        </w:rPr>
        <w:t xml:space="preserve">Importe mínimo. </w:t>
      </w:r>
      <w:r>
        <w:rPr>
          <w:rFonts w:ascii="Archivo" w:cs="Archivo" w:eastAsia="Archivo" w:hAnsi="Archivo"/>
          <w:sz w:val="21"/>
          <w:szCs w:val="21"/>
        </w:rPr>
        <w:t xml:space="preserve">Cantidad que el asegurador debe abonar dentro de los cuarenta días desde la declaración del siniestro, según las circunstancias por él conocidas, con independencia de que la liquidación definitiva requiera más tiempo (art. 18 LCS; capítulo 20).</w:t>
      </w:r>
    </w:p>
    <w:p>
      <w:pPr>
        <w:spacing w:after="160" w:line="300"/>
        <w:jc w:val="both"/>
      </w:pPr>
      <w:r>
        <w:rPr>
          <w:rFonts w:ascii="Archivo" w:cs="Archivo" w:eastAsia="Archivo" w:hAnsi="Archivo"/>
          <w:b/>
          <w:bCs/>
          <w:color w:val="0A2540"/>
          <w:sz w:val="21"/>
          <w:szCs w:val="21"/>
        </w:rPr>
        <w:t xml:space="preserve">Infraseguro. </w:t>
      </w:r>
      <w:r>
        <w:rPr>
          <w:rFonts w:ascii="Archivo" w:cs="Archivo" w:eastAsia="Archivo" w:hAnsi="Archivo"/>
          <w:sz w:val="21"/>
          <w:szCs w:val="21"/>
        </w:rPr>
        <w:t xml:space="preserve">Situación en la que la suma asegurada es inferior al valor real del interés asegurado en el momento del siniestro, lo que determina la aplicación de la regla proporcional (art. 30 LCS; capítulo 19).</w:t>
      </w:r>
    </w:p>
    <w:p>
      <w:pPr>
        <w:spacing w:after="160" w:line="300"/>
        <w:jc w:val="both"/>
      </w:pPr>
      <w:r>
        <w:rPr>
          <w:rFonts w:ascii="Archivo" w:cs="Archivo" w:eastAsia="Archivo" w:hAnsi="Archivo"/>
          <w:b/>
          <w:bCs/>
          <w:color w:val="0A2540"/>
          <w:sz w:val="21"/>
          <w:szCs w:val="21"/>
        </w:rPr>
        <w:t xml:space="preserve">Interés asegurable. </w:t>
      </w:r>
      <w:r>
        <w:rPr>
          <w:rFonts w:ascii="Archivo" w:cs="Archivo" w:eastAsia="Archivo" w:hAnsi="Archivo"/>
          <w:sz w:val="21"/>
          <w:szCs w:val="21"/>
        </w:rPr>
        <w:t xml:space="preserve">Relación económica lícita del asegurado con el bien objeto de cobertura, presupuesto de validez del seguro de daños, cuya ausencia determina la nulidad del contrato (art. 25 LCS; capítulo 2).</w:t>
      </w:r>
    </w:p>
    <w:p>
      <w:pPr>
        <w:pStyle w:val="Heading3"/>
        <w:spacing w:after="120" w:before="300"/>
      </w:pPr>
      <w:r>
        <w:rPr>
          <w:rFonts w:ascii="Archivo" w:cs="Archivo" w:eastAsia="Archivo" w:hAnsi="Archivo"/>
          <w:b/>
          <w:bCs/>
          <w:caps/>
          <w:color w:val="1B6DF0"/>
          <w:sz w:val="22"/>
          <w:szCs w:val="22"/>
        </w:rPr>
        <w:t xml:space="preserve">M</w:t>
      </w:r>
    </w:p>
    <w:p>
      <w:pPr>
        <w:spacing w:after="160" w:line="300"/>
        <w:jc w:val="both"/>
      </w:pPr>
      <w:r>
        <w:rPr>
          <w:rFonts w:ascii="Archivo" w:cs="Archivo" w:eastAsia="Archivo" w:hAnsi="Archivo"/>
          <w:b/>
          <w:bCs/>
          <w:color w:val="0A2540"/>
          <w:sz w:val="21"/>
          <w:szCs w:val="21"/>
        </w:rPr>
        <w:t xml:space="preserve">Malquerencia de extraños. </w:t>
      </w:r>
      <w:r>
        <w:rPr>
          <w:rFonts w:ascii="Archivo" w:cs="Archivo" w:eastAsia="Archivo" w:hAnsi="Archivo"/>
          <w:sz w:val="21"/>
          <w:szCs w:val="21"/>
        </w:rPr>
        <w:t xml:space="preserve">Causa legal de cobertura en el seguro de incendio referida al incendio provocado deliberadamente por terceros ajenos al asegurado y a su círculo de convivencia (art. 48 LCS; capítulo 7).</w:t>
      </w:r>
    </w:p>
    <w:p>
      <w:pPr>
        <w:spacing w:after="160" w:line="300"/>
        <w:jc w:val="both"/>
      </w:pPr>
      <w:r>
        <w:rPr>
          <w:rFonts w:ascii="Archivo" w:cs="Archivo" w:eastAsia="Archivo" w:hAnsi="Archivo"/>
          <w:b/>
          <w:bCs/>
          <w:color w:val="0A2540"/>
          <w:sz w:val="21"/>
          <w:szCs w:val="21"/>
        </w:rPr>
        <w:t xml:space="preserve">MASC. </w:t>
      </w:r>
      <w:r>
        <w:rPr>
          <w:rFonts w:ascii="Archivo" w:cs="Archivo" w:eastAsia="Archivo" w:hAnsi="Archivo"/>
          <w:sz w:val="21"/>
          <w:szCs w:val="21"/>
        </w:rPr>
        <w:t xml:space="preserve">Medios adecuados de solución de controversias: cauces de resolución negociada de conflictos (negociación, mediación, conciliación) cuyo intento previo constituye, desde la Ley Orgánica 1/2025, requisito de procedibilidad para determinadas acciones civiles (capítulo 23).</w:t>
      </w:r>
    </w:p>
    <w:p>
      <w:pPr>
        <w:spacing w:after="160" w:line="300"/>
        <w:jc w:val="both"/>
      </w:pPr>
      <w:r>
        <w:rPr>
          <w:rFonts w:ascii="Archivo" w:cs="Archivo" w:eastAsia="Archivo" w:hAnsi="Archivo"/>
          <w:b/>
          <w:bCs/>
          <w:color w:val="0A2540"/>
          <w:sz w:val="21"/>
          <w:szCs w:val="21"/>
        </w:rPr>
        <w:t xml:space="preserve">Mediador de seguros. </w:t>
      </w:r>
      <w:r>
        <w:rPr>
          <w:rFonts w:ascii="Archivo" w:cs="Archivo" w:eastAsia="Archivo" w:hAnsi="Archivo"/>
          <w:sz w:val="21"/>
          <w:szCs w:val="21"/>
        </w:rPr>
        <w:t xml:space="preserve">Categoría genérica que engloba a agentes, corredores y operadores de banca-seguros, sujetos al régimen de distribución de seguros del RD-ley 3/2020 (capítulo 3).</w:t>
      </w:r>
    </w:p>
    <w:p>
      <w:pPr>
        <w:spacing w:after="160" w:line="300"/>
        <w:jc w:val="both"/>
      </w:pPr>
      <w:r>
        <w:rPr>
          <w:rFonts w:ascii="Archivo" w:cs="Archivo" w:eastAsia="Archivo" w:hAnsi="Archivo"/>
          <w:b/>
          <w:bCs/>
          <w:color w:val="0A2540"/>
          <w:sz w:val="21"/>
          <w:szCs w:val="21"/>
        </w:rPr>
        <w:t xml:space="preserve">Mora del asegurador. </w:t>
      </w:r>
      <w:r>
        <w:rPr>
          <w:rFonts w:ascii="Archivo" w:cs="Archivo" w:eastAsia="Archivo" w:hAnsi="Archivo"/>
          <w:sz w:val="21"/>
          <w:szCs w:val="21"/>
        </w:rPr>
        <w:t xml:space="preserve">Situación de retraso del asegurador en el pago de la indemnización más allá de los plazos legales, que genera el devengo de los intereses especiales del art. 20 LCS (capítulo 20).</w:t>
      </w:r>
    </w:p>
    <w:p>
      <w:pPr>
        <w:pStyle w:val="Heading3"/>
        <w:spacing w:after="120" w:before="300"/>
      </w:pPr>
      <w:r>
        <w:rPr>
          <w:rFonts w:ascii="Archivo" w:cs="Archivo" w:eastAsia="Archivo" w:hAnsi="Archivo"/>
          <w:b/>
          <w:bCs/>
          <w:caps/>
          <w:color w:val="1B6DF0"/>
          <w:sz w:val="22"/>
          <w:szCs w:val="22"/>
        </w:rPr>
        <w:t xml:space="preserve">P</w:t>
      </w:r>
    </w:p>
    <w:p>
      <w:pPr>
        <w:spacing w:after="160" w:line="300"/>
        <w:jc w:val="both"/>
      </w:pPr>
      <w:r>
        <w:rPr>
          <w:rFonts w:ascii="Archivo" w:cs="Archivo" w:eastAsia="Archivo" w:hAnsi="Archivo"/>
          <w:b/>
          <w:bCs/>
          <w:color w:val="0A2540"/>
          <w:sz w:val="21"/>
          <w:szCs w:val="21"/>
        </w:rPr>
        <w:t xml:space="preserve">Peritación contradictoria. </w:t>
      </w:r>
      <w:r>
        <w:rPr>
          <w:rFonts w:ascii="Archivo" w:cs="Archivo" w:eastAsia="Archivo" w:hAnsi="Archivo"/>
          <w:sz w:val="21"/>
          <w:szCs w:val="21"/>
        </w:rPr>
        <w:t xml:space="preserve">Procedimiento extrajudicial de determinación del daño mediante peritos designados por cada parte y, en su caso, un tercer perito, cuyo dictamen es vinculante en cuanto a la liquidación del daño salvo impugnación judicial en plazo (art. 38 LCS; capítulo 18).</w:t>
      </w:r>
    </w:p>
    <w:p>
      <w:pPr>
        <w:spacing w:after="160" w:line="300"/>
        <w:jc w:val="both"/>
      </w:pPr>
      <w:r>
        <w:rPr>
          <w:rFonts w:ascii="Archivo" w:cs="Archivo" w:eastAsia="Archivo" w:hAnsi="Archivo"/>
          <w:b/>
          <w:bCs/>
          <w:color w:val="0A2540"/>
          <w:sz w:val="21"/>
          <w:szCs w:val="21"/>
        </w:rPr>
        <w:t xml:space="preserve">Prescripción. </w:t>
      </w:r>
      <w:r>
        <w:rPr>
          <w:rFonts w:ascii="Archivo" w:cs="Archivo" w:eastAsia="Archivo" w:hAnsi="Archivo"/>
          <w:sz w:val="21"/>
          <w:szCs w:val="21"/>
        </w:rPr>
        <w:t xml:space="preserve">Extinción de la acción derivada del contrato de seguro por el transcurso del plazo legal sin haberse ejercitado ni interrumpido; dos años en el seguro de daños (art. 23 LCS; capítulo 22).</w:t>
      </w:r>
    </w:p>
    <w:p>
      <w:pPr>
        <w:spacing w:after="160" w:line="300"/>
        <w:jc w:val="both"/>
      </w:pPr>
      <w:r>
        <w:rPr>
          <w:rFonts w:ascii="Archivo" w:cs="Archivo" w:eastAsia="Archivo" w:hAnsi="Archivo"/>
          <w:b/>
          <w:bCs/>
          <w:color w:val="0A2540"/>
          <w:sz w:val="21"/>
          <w:szCs w:val="21"/>
        </w:rPr>
        <w:t xml:space="preserve">Prima. </w:t>
      </w:r>
      <w:r>
        <w:rPr>
          <w:rFonts w:ascii="Archivo" w:cs="Archivo" w:eastAsia="Archivo" w:hAnsi="Archivo"/>
          <w:sz w:val="21"/>
          <w:szCs w:val="21"/>
        </w:rPr>
        <w:t xml:space="preserve">Contraprestación económica que el tomador satisface al asegurador a cambio de la cobertura del riesgo.</w:t>
      </w:r>
    </w:p>
    <w:p>
      <w:pPr>
        <w:spacing w:after="160" w:line="300"/>
        <w:jc w:val="both"/>
      </w:pPr>
      <w:r>
        <w:rPr>
          <w:rFonts w:ascii="Archivo" w:cs="Archivo" w:eastAsia="Archivo" w:hAnsi="Archivo"/>
          <w:b/>
          <w:bCs/>
          <w:color w:val="0A2540"/>
          <w:sz w:val="21"/>
          <w:szCs w:val="21"/>
        </w:rPr>
        <w:t xml:space="preserve">Principio indemnizatorio. </w:t>
      </w:r>
      <w:r>
        <w:rPr>
          <w:rFonts w:ascii="Archivo" w:cs="Archivo" w:eastAsia="Archivo" w:hAnsi="Archivo"/>
          <w:sz w:val="21"/>
          <w:szCs w:val="21"/>
        </w:rPr>
        <w:t xml:space="preserve">Principio conforme al cual el seguro de daños no puede ser fuente de enriquecimiento para el asegurado, que solo tiene derecho al resarcimiento del daño realmente sufrido (art. 26 LCS; capítulo 2).</w:t>
      </w:r>
    </w:p>
    <w:p>
      <w:pPr>
        <w:pStyle w:val="Heading3"/>
        <w:spacing w:after="120" w:before="300"/>
      </w:pPr>
      <w:r>
        <w:rPr>
          <w:rFonts w:ascii="Archivo" w:cs="Archivo" w:eastAsia="Archivo" w:hAnsi="Archivo"/>
          <w:b/>
          <w:bCs/>
          <w:caps/>
          <w:color w:val="1B6DF0"/>
          <w:sz w:val="22"/>
          <w:szCs w:val="22"/>
        </w:rPr>
        <w:t xml:space="preserve">R</w:t>
      </w:r>
    </w:p>
    <w:p>
      <w:pPr>
        <w:spacing w:after="160" w:line="300"/>
        <w:jc w:val="both"/>
      </w:pPr>
      <w:r>
        <w:rPr>
          <w:rFonts w:ascii="Archivo" w:cs="Archivo" w:eastAsia="Archivo" w:hAnsi="Archivo"/>
          <w:b/>
          <w:bCs/>
          <w:color w:val="0A2540"/>
          <w:sz w:val="21"/>
          <w:szCs w:val="21"/>
        </w:rPr>
        <w:t xml:space="preserve">Regla proporcional. </w:t>
      </w:r>
      <w:r>
        <w:rPr>
          <w:rFonts w:ascii="Archivo" w:cs="Archivo" w:eastAsia="Archivo" w:hAnsi="Archivo"/>
          <w:sz w:val="21"/>
          <w:szCs w:val="21"/>
        </w:rPr>
        <w:t xml:space="preserve">Fórmula de reducción de la indemnización aplicable en caso de infraseguro: indemnización = daño × (suma asegurada / valor real del interés) (art. 30 LCS; capítulo 19).</w:t>
      </w:r>
    </w:p>
    <w:p>
      <w:pPr>
        <w:spacing w:after="160" w:line="300"/>
        <w:jc w:val="both"/>
      </w:pPr>
      <w:r>
        <w:rPr>
          <w:rFonts w:ascii="Archivo" w:cs="Archivo" w:eastAsia="Archivo" w:hAnsi="Archivo"/>
          <w:b/>
          <w:bCs/>
          <w:color w:val="0A2540"/>
          <w:sz w:val="21"/>
          <w:szCs w:val="21"/>
        </w:rPr>
        <w:t xml:space="preserve">Reposición uniforme. </w:t>
      </w:r>
      <w:r>
        <w:rPr>
          <w:rFonts w:ascii="Archivo" w:cs="Archivo" w:eastAsia="Archivo" w:hAnsi="Archivo"/>
          <w:sz w:val="21"/>
          <w:szCs w:val="21"/>
        </w:rPr>
        <w:t xml:space="preserve">Criterio jurisprudencial conforme al cual, cuando no existen en el mercado materiales idénticos a los dañados, la indemnización puede extenderse a la sustitución de todo el conjunto homogéneo para evitar un desajuste estético (capítulo 12).</w:t>
      </w:r>
    </w:p>
    <w:p>
      <w:pPr>
        <w:pStyle w:val="Heading3"/>
        <w:spacing w:after="120" w:before="300"/>
      </w:pPr>
      <w:r>
        <w:rPr>
          <w:rFonts w:ascii="Archivo" w:cs="Archivo" w:eastAsia="Archivo" w:hAnsi="Archivo"/>
          <w:b/>
          <w:bCs/>
          <w:caps/>
          <w:color w:val="1B6DF0"/>
          <w:sz w:val="22"/>
          <w:szCs w:val="22"/>
        </w:rPr>
        <w:t xml:space="preserve">S</w:t>
      </w:r>
    </w:p>
    <w:p>
      <w:pPr>
        <w:spacing w:after="160" w:line="300"/>
        <w:jc w:val="both"/>
      </w:pPr>
      <w:r>
        <w:rPr>
          <w:rFonts w:ascii="Archivo" w:cs="Archivo" w:eastAsia="Archivo" w:hAnsi="Archivo"/>
          <w:b/>
          <w:bCs/>
          <w:color w:val="0A2540"/>
          <w:sz w:val="21"/>
          <w:szCs w:val="21"/>
        </w:rPr>
        <w:t xml:space="preserve">Seguro a primer riesgo. </w:t>
      </w:r>
      <w:r>
        <w:rPr>
          <w:rFonts w:ascii="Archivo" w:cs="Archivo" w:eastAsia="Archivo" w:hAnsi="Archivo"/>
          <w:sz w:val="21"/>
          <w:szCs w:val="21"/>
        </w:rPr>
        <w:t xml:space="preserve">Modalidad de cobertura, pactada por exclusión convencional de la regla proporcional, en la que el asegurador indemniza el daño real hasta el límite pactado con independencia de la relación entre la suma asegurada y el valor total del interés (art. 30 LCS; capítulo 19).</w:t>
      </w:r>
    </w:p>
    <w:p>
      <w:pPr>
        <w:spacing w:after="160" w:line="300"/>
        <w:jc w:val="both"/>
      </w:pPr>
      <w:r>
        <w:rPr>
          <w:rFonts w:ascii="Archivo" w:cs="Archivo" w:eastAsia="Archivo" w:hAnsi="Archivo"/>
          <w:b/>
          <w:bCs/>
          <w:color w:val="0A2540"/>
          <w:sz w:val="21"/>
          <w:szCs w:val="21"/>
        </w:rPr>
        <w:t xml:space="preserve">Servicio de Atención al Cliente (SAC). </w:t>
      </w:r>
      <w:r>
        <w:rPr>
          <w:rFonts w:ascii="Archivo" w:cs="Archivo" w:eastAsia="Archivo" w:hAnsi="Archivo"/>
          <w:sz w:val="21"/>
          <w:szCs w:val="21"/>
        </w:rPr>
        <w:t xml:space="preserve">Órgano interno que toda aseguradora debe habilitar para la resolución de quejas y reclamaciones de sus clientes, primer escalón de la vía extrajudicial de reclamación (capítulo 23).</w:t>
      </w:r>
    </w:p>
    <w:p>
      <w:pPr>
        <w:spacing w:after="160" w:line="300"/>
        <w:jc w:val="both"/>
      </w:pPr>
      <w:r>
        <w:rPr>
          <w:rFonts w:ascii="Archivo" w:cs="Archivo" w:eastAsia="Archivo" w:hAnsi="Archivo"/>
          <w:b/>
          <w:bCs/>
          <w:color w:val="0A2540"/>
          <w:sz w:val="21"/>
          <w:szCs w:val="21"/>
        </w:rPr>
        <w:t xml:space="preserve">Sobreseguro. </w:t>
      </w:r>
      <w:r>
        <w:rPr>
          <w:rFonts w:ascii="Archivo" w:cs="Archivo" w:eastAsia="Archivo" w:hAnsi="Archivo"/>
          <w:sz w:val="21"/>
          <w:szCs w:val="21"/>
        </w:rPr>
        <w:t xml:space="preserve">Situación en la que la suma asegurada excede notablemente el valor real del interés, sin que ello genere, por sí mismo, derecho a una indemnización superior al daño realmente sufrido (art. 27 LCS; capítulo 19).</w:t>
      </w:r>
    </w:p>
    <w:p>
      <w:pPr>
        <w:spacing w:after="160" w:line="300"/>
        <w:jc w:val="both"/>
      </w:pPr>
      <w:r>
        <w:rPr>
          <w:rFonts w:ascii="Archivo" w:cs="Archivo" w:eastAsia="Archivo" w:hAnsi="Archivo"/>
          <w:b/>
          <w:bCs/>
          <w:color w:val="0A2540"/>
          <w:sz w:val="21"/>
          <w:szCs w:val="21"/>
        </w:rPr>
        <w:t xml:space="preserve">Sublímite. </w:t>
      </w:r>
      <w:r>
        <w:rPr>
          <w:rFonts w:ascii="Archivo" w:cs="Archivo" w:eastAsia="Archivo" w:hAnsi="Archivo"/>
          <w:sz w:val="21"/>
          <w:szCs w:val="21"/>
        </w:rPr>
        <w:t xml:space="preserve">Límite cuantitativo específico, inferior a la suma asegurada general, aplicable a una categoría concreta de bienes (joyas, dinero en efectivo, equipos electrónicos) (capítulo 15).</w:t>
      </w:r>
    </w:p>
    <w:p>
      <w:pPr>
        <w:spacing w:after="160" w:line="300"/>
        <w:jc w:val="both"/>
      </w:pPr>
      <w:r>
        <w:rPr>
          <w:rFonts w:ascii="Archivo" w:cs="Archivo" w:eastAsia="Archivo" w:hAnsi="Archivo"/>
          <w:b/>
          <w:bCs/>
          <w:color w:val="0A2540"/>
          <w:sz w:val="21"/>
          <w:szCs w:val="21"/>
        </w:rPr>
        <w:t xml:space="preserve">Suma asegurada. </w:t>
      </w:r>
      <w:r>
        <w:rPr>
          <w:rFonts w:ascii="Archivo" w:cs="Archivo" w:eastAsia="Archivo" w:hAnsi="Archivo"/>
          <w:sz w:val="21"/>
          <w:szCs w:val="21"/>
        </w:rPr>
        <w:t xml:space="preserve">Límite máximo de la indemnización a pagar por el asegurador en cada siniestro, pactado en la póliza (art. 27 LCS; capítulo 19).</w:t>
      </w:r>
    </w:p>
    <w:p>
      <w:pPr>
        <w:pStyle w:val="Heading3"/>
        <w:spacing w:after="120" w:before="300"/>
      </w:pPr>
      <w:r>
        <w:rPr>
          <w:rFonts w:ascii="Archivo" w:cs="Archivo" w:eastAsia="Archivo" w:hAnsi="Archivo"/>
          <w:b/>
          <w:bCs/>
          <w:caps/>
          <w:color w:val="1B6DF0"/>
          <w:sz w:val="22"/>
          <w:szCs w:val="22"/>
        </w:rPr>
        <w:t xml:space="preserve">T</w:t>
      </w:r>
    </w:p>
    <w:p>
      <w:pPr>
        <w:spacing w:after="160" w:line="300"/>
        <w:jc w:val="both"/>
      </w:pPr>
      <w:r>
        <w:rPr>
          <w:rFonts w:ascii="Archivo" w:cs="Archivo" w:eastAsia="Archivo" w:hAnsi="Archivo"/>
          <w:b/>
          <w:bCs/>
          <w:color w:val="0A2540"/>
          <w:sz w:val="21"/>
          <w:szCs w:val="21"/>
        </w:rPr>
        <w:t xml:space="preserve">Tercer perito. </w:t>
      </w:r>
      <w:r>
        <w:rPr>
          <w:rFonts w:ascii="Archivo" w:cs="Archivo" w:eastAsia="Archivo" w:hAnsi="Archivo"/>
          <w:sz w:val="21"/>
          <w:szCs w:val="21"/>
        </w:rPr>
        <w:t xml:space="preserve">Perito designado de común acuerdo por las partes, o en su defecto mediante expediente de jurisdicción voluntaria o notarial, cuando los peritos de parte no alcanzan acuerdo en la peritación contradictoria (art. 38 LCS; capítulo 18).</w:t>
      </w:r>
    </w:p>
    <w:p>
      <w:pPr>
        <w:spacing w:after="160" w:line="300"/>
        <w:jc w:val="both"/>
      </w:pPr>
      <w:r>
        <w:rPr>
          <w:rFonts w:ascii="Archivo" w:cs="Archivo" w:eastAsia="Archivo" w:hAnsi="Archivo"/>
          <w:b/>
          <w:bCs/>
          <w:color w:val="0A2540"/>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en particular el pago de la prima, coincida o no con el asegurado (art. 7 LCS; capítulo 2).</w:t>
      </w:r>
    </w:p>
    <w:p>
      <w:pPr>
        <w:spacing w:after="160" w:line="300"/>
        <w:jc w:val="both"/>
      </w:pPr>
      <w:r>
        <w:rPr>
          <w:rFonts w:ascii="Archivo" w:cs="Archivo" w:eastAsia="Archivo" w:hAnsi="Archivo"/>
          <w:b/>
          <w:bCs/>
          <w:color w:val="0A2540"/>
          <w:sz w:val="21"/>
          <w:szCs w:val="21"/>
        </w:rPr>
        <w:t xml:space="preserve">Transparencia (control de). </w:t>
      </w:r>
      <w:r>
        <w:rPr>
          <w:rFonts w:ascii="Archivo" w:cs="Archivo" w:eastAsia="Archivo" w:hAnsi="Archivo"/>
          <w:sz w:val="21"/>
          <w:szCs w:val="21"/>
        </w:rPr>
        <w:t xml:space="preserve">Control de comprensibilidad real del clausulado, distinto del control de incorporación, que examina si el adherente pudo conocer la carga económica y jurídica real de una cláusula; reservado a los consumidores en su vertiente cualificada (capítulos 6 y 25).</w:t>
      </w:r>
    </w:p>
    <w:p>
      <w:pPr>
        <w:pStyle w:val="Heading1"/>
        <w:pageBreakBefore/>
        <w:spacing w:after="300"/>
      </w:pPr>
      <w:r>
        <w:rPr>
          <w:rFonts w:ascii="Fraunces" w:cs="Fraunces" w:eastAsia="Fraunces" w:hAnsi="Fraunces"/>
          <w:b/>
          <w:bCs/>
          <w:color w:val="0A2540"/>
          <w:sz w:val="30"/>
          <w:szCs w:val="30"/>
        </w:rPr>
        <w:t xml:space="preserve">Anexo II. Índice de legislación citada</w:t>
      </w:r>
    </w:p>
    <w:p>
      <w:pPr>
        <w:spacing w:after="180" w:line="300"/>
        <w:jc w:val="both"/>
      </w:pPr>
      <w:r>
        <w:rPr>
          <w:rFonts w:ascii="Archivo" w:cs="Archivo" w:eastAsia="Archivo" w:hAnsi="Archivo"/>
          <w:sz w:val="21"/>
          <w:szCs w:val="21"/>
        </w:rPr>
        <w:t xml:space="preserve">Se relacionan a continuación, organizados por norma y en orden creciente de articulado, todos los preceptos legales reproducidos o comentados a lo largo de la obra, con indicación de su contenido esencial y del capítulo donde se desarrollan. El texto íntegro de cada precepto, verificado contra el BOE consolidado en la fecha de cierre de cada capítulo, se encuentra en la caja de «Texto legal» correspondiente; este índice cumple una función de localización rápida, no de sustitución de la consulta de la norma vigente.</w:t>
      </w:r>
    </w:p>
    <w:p>
      <w:pPr>
        <w:spacing w:after="200"/>
      </w:pPr>
    </w:p>
    <w:p>
      <w:pPr>
        <w:pStyle w:val="Heading3"/>
        <w:spacing w:after="120" w:before="280"/>
      </w:pPr>
      <w:r>
        <w:rPr>
          <w:rFonts w:ascii="Archivo" w:cs="Archivo" w:eastAsia="Archivo" w:hAnsi="Archivo"/>
          <w:b/>
          <w:bCs/>
          <w:color w:val="1B6DF0"/>
          <w:sz w:val="21"/>
          <w:szCs w:val="21"/>
        </w:rPr>
        <w:t xml:space="preserve">Ley 50/1980, de 8 de octubre, de Contrato de Seguro (LCS)</w:t>
      </w:r>
    </w:p>
    <w:p>
      <w:pPr>
        <w:tabs>
          <w:tab w:val="right" w:pos="9026" w:leader="dot"/>
        </w:tabs>
        <w:spacing w:after="100" w:line="280"/>
        <w:jc w:val="both"/>
      </w:pPr>
      <w:r>
        <w:rPr>
          <w:rFonts w:ascii="Archivo" w:cs="Archivo" w:eastAsia="Archivo" w:hAnsi="Archivo"/>
          <w:b/>
          <w:bCs/>
          <w:color w:val="0A2540"/>
          <w:sz w:val="20"/>
          <w:szCs w:val="20"/>
        </w:rPr>
        <w:t xml:space="preserve">Art. 1. </w:t>
      </w:r>
      <w:r>
        <w:rPr>
          <w:rFonts w:ascii="Archivo" w:cs="Archivo" w:eastAsia="Archivo" w:hAnsi="Archivo"/>
          <w:sz w:val="20"/>
          <w:szCs w:val="20"/>
        </w:rPr>
        <w:t xml:space="preserve">Concepto legal del contrato de seguro.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2. </w:t>
      </w:r>
      <w:r>
        <w:rPr>
          <w:rFonts w:ascii="Archivo" w:cs="Archivo" w:eastAsia="Archivo" w:hAnsi="Archivo"/>
          <w:sz w:val="20"/>
          <w:szCs w:val="20"/>
        </w:rPr>
        <w:t xml:space="preserve">Carácter imperativo relativo de la Ley; validez de las cláusulas más beneficiosas para el asegurado.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3. </w:t>
      </w:r>
      <w:r>
        <w:rPr>
          <w:rFonts w:ascii="Archivo" w:cs="Archivo" w:eastAsia="Archivo" w:hAnsi="Archivo"/>
          <w:sz w:val="20"/>
          <w:szCs w:val="20"/>
        </w:rPr>
        <w:t xml:space="preserve">Condiciones generales y particulares; cláusulas limitativas, delimitadoras y lesivas.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5. </w:t>
      </w:r>
      <w:r>
        <w:rPr>
          <w:rFonts w:ascii="Archivo" w:cs="Archivo" w:eastAsia="Archivo" w:hAnsi="Archivo"/>
          <w:sz w:val="20"/>
          <w:szCs w:val="20"/>
        </w:rPr>
        <w:t xml:space="preserve">Formalización escrita del contrato y entrega de la póliza o el documento de cobertura provisional.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6. </w:t>
      </w:r>
      <w:r>
        <w:rPr>
          <w:rFonts w:ascii="Archivo" w:cs="Archivo" w:eastAsia="Archivo" w:hAnsi="Archivo"/>
          <w:sz w:val="20"/>
          <w:szCs w:val="20"/>
        </w:rPr>
        <w:t xml:space="preserve">Solicitud y proposición de seguro; vinculación de la proposición durante quince días.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7. </w:t>
      </w:r>
      <w:r>
        <w:rPr>
          <w:rFonts w:ascii="Archivo" w:cs="Archivo" w:eastAsia="Archivo" w:hAnsi="Archivo"/>
          <w:sz w:val="20"/>
          <w:szCs w:val="20"/>
        </w:rPr>
        <w:t xml:space="preserve">Seguro por cuenta propia o ajena; reparto de obligaciones y derechos entre tomador y asegurado.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8. </w:t>
      </w:r>
      <w:r>
        <w:rPr>
          <w:rFonts w:ascii="Archivo" w:cs="Archivo" w:eastAsia="Archivo" w:hAnsi="Archivo"/>
          <w:sz w:val="20"/>
          <w:szCs w:val="20"/>
        </w:rPr>
        <w:t xml:space="preserve">Contenido documental mínimo de la póliza; mecanismo de subsanación en un mes.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10. </w:t>
      </w:r>
      <w:r>
        <w:rPr>
          <w:rFonts w:ascii="Archivo" w:cs="Archivo" w:eastAsia="Archivo" w:hAnsi="Archivo"/>
          <w:sz w:val="20"/>
          <w:szCs w:val="20"/>
        </w:rPr>
        <w:t xml:space="preserve">Deber precontractual de declaración del riesgo; modelo de declaración-cuestionario.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11. </w:t>
      </w:r>
      <w:r>
        <w:rPr>
          <w:rFonts w:ascii="Archivo" w:cs="Archivo" w:eastAsia="Archivo" w:hAnsi="Archivo"/>
          <w:sz w:val="20"/>
          <w:szCs w:val="20"/>
        </w:rPr>
        <w:t xml:space="preserve">Deber de comunicación de la agravación del riesgo durante la vigencia del contrato.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12. </w:t>
      </w:r>
      <w:r>
        <w:rPr>
          <w:rFonts w:ascii="Archivo" w:cs="Archivo" w:eastAsia="Archivo" w:hAnsi="Archivo"/>
          <w:sz w:val="20"/>
          <w:szCs w:val="20"/>
        </w:rPr>
        <w:t xml:space="preserve">Consecuencias del incumplimiento del deber de comunicación de la agravación del riesgo.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15. </w:t>
      </w:r>
      <w:r>
        <w:rPr>
          <w:rFonts w:ascii="Archivo" w:cs="Archivo" w:eastAsia="Archivo" w:hAnsi="Archivo"/>
          <w:sz w:val="20"/>
          <w:szCs w:val="20"/>
        </w:rPr>
        <w:t xml:space="preserve">Consecuencias del impago de la prima, primera y sucesivas.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16. </w:t>
      </w:r>
      <w:r>
        <w:rPr>
          <w:rFonts w:ascii="Archivo" w:cs="Archivo" w:eastAsia="Archivo" w:hAnsi="Archivo"/>
          <w:sz w:val="20"/>
          <w:szCs w:val="20"/>
        </w:rPr>
        <w:t xml:space="preserve">Deber de comunicación del siniestro en el plazo de siete días; deber de información sobre sus circunstancias. </w:t>
      </w:r>
      <w:r>
        <w:rPr>
          <w:rFonts w:ascii="Archivo" w:cs="Archivo" w:eastAsia="Archivo" w:hAnsi="Archivo"/>
          <w:i/>
          <w:iCs/>
          <w:color w:val="6B7A8F"/>
          <w:sz w:val="18"/>
          <w:szCs w:val="18"/>
        </w:rPr>
        <w:t xml:space="preserve">(cap. 17)</w:t>
      </w:r>
    </w:p>
    <w:p>
      <w:pPr>
        <w:tabs>
          <w:tab w:val="right" w:pos="9026" w:leader="dot"/>
        </w:tabs>
        <w:spacing w:after="100" w:line="280"/>
        <w:jc w:val="both"/>
      </w:pPr>
      <w:r>
        <w:rPr>
          <w:rFonts w:ascii="Archivo" w:cs="Archivo" w:eastAsia="Archivo" w:hAnsi="Archivo"/>
          <w:b/>
          <w:bCs/>
          <w:color w:val="0A2540"/>
          <w:sz w:val="20"/>
          <w:szCs w:val="20"/>
        </w:rPr>
        <w:t xml:space="preserve">Art. 18. </w:t>
      </w:r>
      <w:r>
        <w:rPr>
          <w:rFonts w:ascii="Archivo" w:cs="Archivo" w:eastAsia="Archivo" w:hAnsi="Archivo"/>
          <w:sz w:val="20"/>
          <w:szCs w:val="20"/>
        </w:rPr>
        <w:t xml:space="preserve">Obligación de pago del importe mínimo dentro de los cuarenta días desde la declaración del siniestro.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19. </w:t>
      </w:r>
      <w:r>
        <w:rPr>
          <w:rFonts w:ascii="Archivo" w:cs="Archivo" w:eastAsia="Archivo" w:hAnsi="Archivo"/>
          <w:sz w:val="20"/>
          <w:szCs w:val="20"/>
        </w:rPr>
        <w:t xml:space="preserve">Exoneración del asegurador por mala fe del asegurado (régimen general). </w:t>
      </w:r>
      <w:r>
        <w:rPr>
          <w:rFonts w:ascii="Archivo" w:cs="Archivo" w:eastAsia="Archivo" w:hAnsi="Archivo"/>
          <w:i/>
          <w:iCs/>
          <w:color w:val="6B7A8F"/>
          <w:sz w:val="18"/>
          <w:szCs w:val="18"/>
        </w:rPr>
        <w:t xml:space="preserve">(cap. 21)</w:t>
      </w:r>
    </w:p>
    <w:p>
      <w:pPr>
        <w:tabs>
          <w:tab w:val="right" w:pos="9026" w:leader="dot"/>
        </w:tabs>
        <w:spacing w:after="100" w:line="280"/>
        <w:jc w:val="both"/>
      </w:pPr>
      <w:r>
        <w:rPr>
          <w:rFonts w:ascii="Archivo" w:cs="Archivo" w:eastAsia="Archivo" w:hAnsi="Archivo"/>
          <w:b/>
          <w:bCs/>
          <w:color w:val="0A2540"/>
          <w:sz w:val="20"/>
          <w:szCs w:val="20"/>
        </w:rPr>
        <w:t xml:space="preserve">Art. 20. </w:t>
      </w:r>
      <w:r>
        <w:rPr>
          <w:rFonts w:ascii="Archivo" w:cs="Archivo" w:eastAsia="Archivo" w:hAnsi="Archivo"/>
          <w:sz w:val="20"/>
          <w:szCs w:val="20"/>
        </w:rPr>
        <w:t xml:space="preserve">Mora del asegurador; régimen especial de intereses moratorios.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22. </w:t>
      </w:r>
      <w:r>
        <w:rPr>
          <w:rFonts w:ascii="Archivo" w:cs="Archivo" w:eastAsia="Archivo" w:hAnsi="Archivo"/>
          <w:sz w:val="20"/>
          <w:szCs w:val="20"/>
        </w:rPr>
        <w:t xml:space="preserve">Duración del contrato, prórroga y plazos de oposición a la renovación.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23. </w:t>
      </w:r>
      <w:r>
        <w:rPr>
          <w:rFonts w:ascii="Archivo" w:cs="Archivo" w:eastAsia="Archivo" w:hAnsi="Archivo"/>
          <w:sz w:val="20"/>
          <w:szCs w:val="20"/>
        </w:rPr>
        <w:t xml:space="preserve">Prescripción de las acciones derivadas del contrato de seguro: dos años en el seguro de daños.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25. </w:t>
      </w:r>
      <w:r>
        <w:rPr>
          <w:rFonts w:ascii="Archivo" w:cs="Archivo" w:eastAsia="Archivo" w:hAnsi="Archivo"/>
          <w:sz w:val="20"/>
          <w:szCs w:val="20"/>
        </w:rPr>
        <w:t xml:space="preserve">El interés asegurable como presupuesto de validez del seguro de daños.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26. </w:t>
      </w:r>
      <w:r>
        <w:rPr>
          <w:rFonts w:ascii="Archivo" w:cs="Archivo" w:eastAsia="Archivo" w:hAnsi="Archivo"/>
          <w:sz w:val="20"/>
          <w:szCs w:val="20"/>
        </w:rPr>
        <w:t xml:space="preserve">Principio indemnizatorio; prohibición de enriquecimiento injusto.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27. </w:t>
      </w:r>
      <w:r>
        <w:rPr>
          <w:rFonts w:ascii="Archivo" w:cs="Archivo" w:eastAsia="Archivo" w:hAnsi="Archivo"/>
          <w:sz w:val="20"/>
          <w:szCs w:val="20"/>
        </w:rPr>
        <w:t xml:space="preserve">La suma asegurada como límite máximo de la indemnización; sobreseguro.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30. </w:t>
      </w:r>
      <w:r>
        <w:rPr>
          <w:rFonts w:ascii="Archivo" w:cs="Archivo" w:eastAsia="Archivo" w:hAnsi="Archivo"/>
          <w:sz w:val="20"/>
          <w:szCs w:val="20"/>
        </w:rPr>
        <w:t xml:space="preserve">Regla proporcional del infraseguro y su exclusión convencional.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32. </w:t>
      </w:r>
      <w:r>
        <w:rPr>
          <w:rFonts w:ascii="Archivo" w:cs="Archivo" w:eastAsia="Archivo" w:hAnsi="Archivo"/>
          <w:sz w:val="20"/>
          <w:szCs w:val="20"/>
        </w:rPr>
        <w:t xml:space="preserve">Concurrencia de seguros: comunicación y contribución proporcional entre aseguradores.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38. </w:t>
      </w:r>
      <w:r>
        <w:rPr>
          <w:rFonts w:ascii="Archivo" w:cs="Archivo" w:eastAsia="Archivo" w:hAnsi="Archivo"/>
          <w:sz w:val="20"/>
          <w:szCs w:val="20"/>
        </w:rPr>
        <w:t xml:space="preserve">Procedimiento de peritación contradictoria; designación de peritos, tercer perito e impugnación del dictamen. </w:t>
      </w:r>
      <w:r>
        <w:rPr>
          <w:rFonts w:ascii="Archivo" w:cs="Archivo" w:eastAsia="Archivo" w:hAnsi="Archivo"/>
          <w:i/>
          <w:iCs/>
          <w:color w:val="6B7A8F"/>
          <w:sz w:val="18"/>
          <w:szCs w:val="18"/>
        </w:rPr>
        <w:t xml:space="preserve">(cap. 18)</w:t>
      </w:r>
    </w:p>
    <w:p>
      <w:pPr>
        <w:tabs>
          <w:tab w:val="right" w:pos="9026" w:leader="dot"/>
        </w:tabs>
        <w:spacing w:after="100" w:line="280"/>
        <w:jc w:val="both"/>
      </w:pPr>
      <w:r>
        <w:rPr>
          <w:rFonts w:ascii="Archivo" w:cs="Archivo" w:eastAsia="Archivo" w:hAnsi="Archivo"/>
          <w:b/>
          <w:bCs/>
          <w:color w:val="0A2540"/>
          <w:sz w:val="20"/>
          <w:szCs w:val="20"/>
        </w:rPr>
        <w:t xml:space="preserve">Art. 43. </w:t>
      </w:r>
      <w:r>
        <w:rPr>
          <w:rFonts w:ascii="Archivo" w:cs="Archivo" w:eastAsia="Archivo" w:hAnsi="Archivo"/>
          <w:sz w:val="20"/>
          <w:szCs w:val="20"/>
        </w:rPr>
        <w:t xml:space="preserve">Subrogación del asegurador en los derechos del asegurado frente a terceros responsables.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45. </w:t>
      </w:r>
      <w:r>
        <w:rPr>
          <w:rFonts w:ascii="Archivo" w:cs="Archivo" w:eastAsia="Archivo" w:hAnsi="Archivo"/>
          <w:sz w:val="20"/>
          <w:szCs w:val="20"/>
        </w:rPr>
        <w:t xml:space="preserve">Concepto legal de incendio a efectos del seguro.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46. </w:t>
      </w:r>
      <w:r>
        <w:rPr>
          <w:rFonts w:ascii="Archivo" w:cs="Archivo" w:eastAsia="Archivo" w:hAnsi="Archivo"/>
          <w:sz w:val="20"/>
          <w:szCs w:val="20"/>
        </w:rPr>
        <w:t xml:space="preserve">Exclusión legal de valores, dinero y objetos de arte, salvo pacto expreso.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47. </w:t>
      </w:r>
      <w:r>
        <w:rPr>
          <w:rFonts w:ascii="Archivo" w:cs="Archivo" w:eastAsia="Archivo" w:hAnsi="Archivo"/>
          <w:sz w:val="20"/>
          <w:szCs w:val="20"/>
        </w:rPr>
        <w:t xml:space="preserve">Desplazamiento del objeto asegurado fuera del lugar descrito en la póliza.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48. </w:t>
      </w:r>
      <w:r>
        <w:rPr>
          <w:rFonts w:ascii="Archivo" w:cs="Archivo" w:eastAsia="Archivo" w:hAnsi="Archivo"/>
          <w:sz w:val="20"/>
          <w:szCs w:val="20"/>
        </w:rPr>
        <w:t xml:space="preserve">Causas de cobertura y de exoneración en el seguro de incendio; malquerencia de extraños.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49. </w:t>
      </w:r>
      <w:r>
        <w:rPr>
          <w:rFonts w:ascii="Archivo" w:cs="Archivo" w:eastAsia="Archivo" w:hAnsi="Archivo"/>
          <w:sz w:val="20"/>
          <w:szCs w:val="20"/>
        </w:rPr>
        <w:t xml:space="preserve">Extensión de la cobertura de incendio a daños conexos.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50. </w:t>
      </w:r>
      <w:r>
        <w:rPr>
          <w:rFonts w:ascii="Archivo" w:cs="Archivo" w:eastAsia="Archivo" w:hAnsi="Archivo"/>
          <w:sz w:val="20"/>
          <w:szCs w:val="20"/>
        </w:rPr>
        <w:t xml:space="preserve">Concepto legal de robo a efectos aseguraticios: sustracción ilegítima.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51. </w:t>
      </w:r>
      <w:r>
        <w:rPr>
          <w:rFonts w:ascii="Archivo" w:cs="Archivo" w:eastAsia="Archivo" w:hAnsi="Archivo"/>
          <w:sz w:val="20"/>
          <w:szCs w:val="20"/>
        </w:rPr>
        <w:t xml:space="preserve">Alcance de la indemnización en el seguro de robo.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52. </w:t>
      </w:r>
      <w:r>
        <w:rPr>
          <w:rFonts w:ascii="Archivo" w:cs="Archivo" w:eastAsia="Archivo" w:hAnsi="Archivo"/>
          <w:sz w:val="20"/>
          <w:szCs w:val="20"/>
        </w:rPr>
        <w:t xml:space="preserve">Causas legales de exoneración en el seguro de robo: negligencia grave, lugar, riesgos extraordinarios.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53. </w:t>
      </w:r>
      <w:r>
        <w:rPr>
          <w:rFonts w:ascii="Archivo" w:cs="Archivo" w:eastAsia="Archivo" w:hAnsi="Archivo"/>
          <w:sz w:val="20"/>
          <w:szCs w:val="20"/>
        </w:rPr>
        <w:t xml:space="preserve">Recuperación del objeto sustraído, antes y después del pago de la indemnización.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73. </w:t>
      </w:r>
      <w:r>
        <w:rPr>
          <w:rFonts w:ascii="Archivo" w:cs="Archivo" w:eastAsia="Archivo" w:hAnsi="Archivo"/>
          <w:sz w:val="20"/>
          <w:szCs w:val="20"/>
        </w:rPr>
        <w:t xml:space="preserve">Concepto del seguro de responsabilidad civil.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74. </w:t>
      </w:r>
      <w:r>
        <w:rPr>
          <w:rFonts w:ascii="Archivo" w:cs="Archivo" w:eastAsia="Archivo" w:hAnsi="Archivo"/>
          <w:sz w:val="20"/>
          <w:szCs w:val="20"/>
        </w:rPr>
        <w:t xml:space="preserve">Dirección jurídica del siniestro por el asegurador y conflicto de intereses.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76. </w:t>
      </w:r>
      <w:r>
        <w:rPr>
          <w:rFonts w:ascii="Archivo" w:cs="Archivo" w:eastAsia="Archivo" w:hAnsi="Archivo"/>
          <w:sz w:val="20"/>
          <w:szCs w:val="20"/>
        </w:rPr>
        <w:t xml:space="preserve">Acción directa del perjudicado; inmunidad frente a las excepciones del asegurador contra el asegurado.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Arts. 76.a) a 76.g). </w:t>
      </w:r>
      <w:r>
        <w:rPr>
          <w:rFonts w:ascii="Archivo" w:cs="Archivo" w:eastAsia="Archivo" w:hAnsi="Archivo"/>
          <w:sz w:val="20"/>
          <w:szCs w:val="20"/>
        </w:rPr>
        <w:t xml:space="preserve">Régimen especial del seguro de defensa jurídica; libre elección de abogado y procurador. </w:t>
      </w:r>
      <w:r>
        <w:rPr>
          <w:rFonts w:ascii="Archivo" w:cs="Archivo" w:eastAsia="Archivo" w:hAnsi="Archivo"/>
          <w:i/>
          <w:iCs/>
          <w:color w:val="6B7A8F"/>
          <w:sz w:val="18"/>
          <w:szCs w:val="18"/>
        </w:rPr>
        <w:t xml:space="preserve">(cap. 14)</w:t>
      </w:r>
    </w:p>
    <w:p>
      <w:pPr>
        <w:spacing w:after="200"/>
      </w:pPr>
    </w:p>
    <w:p>
      <w:pPr>
        <w:pStyle w:val="Heading3"/>
        <w:spacing w:after="120" w:before="280"/>
      </w:pPr>
      <w:r>
        <w:rPr>
          <w:rFonts w:ascii="Archivo" w:cs="Archivo" w:eastAsia="Archivo" w:hAnsi="Archivo"/>
          <w:b/>
          <w:bCs/>
          <w:color w:val="1B6DF0"/>
          <w:sz w:val="21"/>
          <w:szCs w:val="21"/>
        </w:rPr>
        <w:t xml:space="preserve">Código Civil (CC)</w:t>
      </w:r>
    </w:p>
    <w:p>
      <w:pPr>
        <w:tabs>
          <w:tab w:val="right" w:pos="9026" w:leader="dot"/>
        </w:tabs>
        <w:spacing w:after="100" w:line="280"/>
        <w:jc w:val="both"/>
      </w:pPr>
      <w:r>
        <w:rPr>
          <w:rFonts w:ascii="Archivo" w:cs="Archivo" w:eastAsia="Archivo" w:hAnsi="Archivo"/>
          <w:b/>
          <w:bCs/>
          <w:color w:val="0A2540"/>
          <w:sz w:val="20"/>
          <w:szCs w:val="20"/>
        </w:rPr>
        <w:t xml:space="preserve">Art. 1089. </w:t>
      </w:r>
      <w:r>
        <w:rPr>
          <w:rFonts w:ascii="Archivo" w:cs="Archivo" w:eastAsia="Archivo" w:hAnsi="Archivo"/>
          <w:sz w:val="20"/>
          <w:szCs w:val="20"/>
        </w:rPr>
        <w:t xml:space="preserve">Fuentes de las obligaciones, entre ellas el acto ilícito generador de responsabilidad civil.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1108. </w:t>
      </w:r>
      <w:r>
        <w:rPr>
          <w:rFonts w:ascii="Archivo" w:cs="Archivo" w:eastAsia="Archivo" w:hAnsi="Archivo"/>
          <w:sz w:val="20"/>
          <w:szCs w:val="20"/>
        </w:rPr>
        <w:t xml:space="preserve">Régimen general de los intereses moratorios, excluido por el art. 20 LCS.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1281. </w:t>
      </w:r>
      <w:r>
        <w:rPr>
          <w:rFonts w:ascii="Archivo" w:cs="Archivo" w:eastAsia="Archivo" w:hAnsi="Archivo"/>
          <w:sz w:val="20"/>
          <w:szCs w:val="20"/>
        </w:rPr>
        <w:t xml:space="preserve">Interpretación literal del contrato como punto de partida.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1284. </w:t>
      </w:r>
      <w:r>
        <w:rPr>
          <w:rFonts w:ascii="Archivo" w:cs="Archivo" w:eastAsia="Archivo" w:hAnsi="Archivo"/>
          <w:sz w:val="20"/>
          <w:szCs w:val="20"/>
        </w:rPr>
        <w:t xml:space="preserve">Principio de conservación: interpretación que dote de efecto útil a la cláusula.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1285. </w:t>
      </w:r>
      <w:r>
        <w:rPr>
          <w:rFonts w:ascii="Archivo" w:cs="Archivo" w:eastAsia="Archivo" w:hAnsi="Archivo"/>
          <w:sz w:val="20"/>
          <w:szCs w:val="20"/>
        </w:rPr>
        <w:t xml:space="preserve">Interpretación sistemática: las cláusulas se interpretan las unas por las otras.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1288. </w:t>
      </w:r>
      <w:r>
        <w:rPr>
          <w:rFonts w:ascii="Archivo" w:cs="Archivo" w:eastAsia="Archivo" w:hAnsi="Archivo"/>
          <w:sz w:val="20"/>
          <w:szCs w:val="20"/>
        </w:rPr>
        <w:t xml:space="preserve">Regla contra proferentem: la oscuridad no favorece a quien la ocasionó. </w:t>
      </w:r>
      <w:r>
        <w:rPr>
          <w:rFonts w:ascii="Archivo" w:cs="Archivo" w:eastAsia="Archivo" w:hAnsi="Archivo"/>
          <w:i/>
          <w:iCs/>
          <w:color w:val="6B7A8F"/>
          <w:sz w:val="18"/>
          <w:szCs w:val="18"/>
        </w:rPr>
        <w:t xml:space="preserve">(cap. 5)</w:t>
      </w:r>
    </w:p>
    <w:p>
      <w:pPr>
        <w:tabs>
          <w:tab w:val="right" w:pos="9026" w:leader="dot"/>
        </w:tabs>
        <w:spacing w:after="100" w:line="280"/>
        <w:jc w:val="both"/>
      </w:pPr>
      <w:r>
        <w:rPr>
          <w:rFonts w:ascii="Archivo" w:cs="Archivo" w:eastAsia="Archivo" w:hAnsi="Archivo"/>
          <w:b/>
          <w:bCs/>
          <w:color w:val="0A2540"/>
          <w:sz w:val="20"/>
          <w:szCs w:val="20"/>
        </w:rPr>
        <w:t xml:space="preserve">Art. 1289. </w:t>
      </w:r>
      <w:r>
        <w:rPr>
          <w:rFonts w:ascii="Archivo" w:cs="Archivo" w:eastAsia="Archivo" w:hAnsi="Archivo"/>
          <w:sz w:val="20"/>
          <w:szCs w:val="20"/>
        </w:rPr>
        <w:t xml:space="preserve">Reglas subsidiarias de cierre; nulidad por duda insalvable sobre el objeto principal.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1902. </w:t>
      </w:r>
      <w:r>
        <w:rPr>
          <w:rFonts w:ascii="Archivo" w:cs="Archivo" w:eastAsia="Archivo" w:hAnsi="Archivo"/>
          <w:sz w:val="20"/>
          <w:szCs w:val="20"/>
        </w:rPr>
        <w:t xml:space="preserve">Responsabilidad extracontractual por culpa o negligencia.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1903. </w:t>
      </w:r>
      <w:r>
        <w:rPr>
          <w:rFonts w:ascii="Archivo" w:cs="Archivo" w:eastAsia="Archivo" w:hAnsi="Archivo"/>
          <w:sz w:val="20"/>
          <w:szCs w:val="20"/>
        </w:rPr>
        <w:t xml:space="preserve">Responsabilidad por hecho ajeno; responsabilidad de los padres por los hijos bajo su guarda.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1964. </w:t>
      </w:r>
      <w:r>
        <w:rPr>
          <w:rFonts w:ascii="Archivo" w:cs="Archivo" w:eastAsia="Archivo" w:hAnsi="Archivo"/>
          <w:sz w:val="20"/>
          <w:szCs w:val="20"/>
        </w:rPr>
        <w:t xml:space="preserve">Plazo general de prescripción de las acciones personales sin plazo especial.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1969. </w:t>
      </w:r>
      <w:r>
        <w:rPr>
          <w:rFonts w:ascii="Archivo" w:cs="Archivo" w:eastAsia="Archivo" w:hAnsi="Archivo"/>
          <w:sz w:val="20"/>
          <w:szCs w:val="20"/>
        </w:rPr>
        <w:t xml:space="preserve">Cómputo del plazo de prescripción desde que la acción pudo ejercitarse (actio nata).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1973. </w:t>
      </w:r>
      <w:r>
        <w:rPr>
          <w:rFonts w:ascii="Archivo" w:cs="Archivo" w:eastAsia="Archivo" w:hAnsi="Archivo"/>
          <w:sz w:val="20"/>
          <w:szCs w:val="20"/>
        </w:rPr>
        <w:t xml:space="preserve">Interrupción de la prescripción por reclamación extrajudicial, judicial o reconocimiento de deuda. </w:t>
      </w:r>
      <w:r>
        <w:rPr>
          <w:rFonts w:ascii="Archivo" w:cs="Archivo" w:eastAsia="Archivo" w:hAnsi="Archivo"/>
          <w:i/>
          <w:iCs/>
          <w:color w:val="6B7A8F"/>
          <w:sz w:val="18"/>
          <w:szCs w:val="18"/>
        </w:rPr>
        <w:t xml:space="preserve">(cap. 22)</w:t>
      </w:r>
    </w:p>
    <w:p>
      <w:pPr>
        <w:spacing w:after="200"/>
      </w:pPr>
    </w:p>
    <w:p>
      <w:pPr>
        <w:pStyle w:val="Heading3"/>
        <w:spacing w:after="120" w:before="280"/>
      </w:pPr>
      <w:r>
        <w:rPr>
          <w:rFonts w:ascii="Archivo" w:cs="Archivo" w:eastAsia="Archivo" w:hAnsi="Archivo"/>
          <w:b/>
          <w:bCs/>
          <w:color w:val="1B6DF0"/>
          <w:sz w:val="21"/>
          <w:szCs w:val="21"/>
        </w:rPr>
        <w:t xml:space="preserve">Ley 1/2000, de Enjuiciamiento Civil (LEC)</w:t>
      </w:r>
    </w:p>
    <w:p>
      <w:pPr>
        <w:tabs>
          <w:tab w:val="right" w:pos="9026" w:leader="dot"/>
        </w:tabs>
        <w:spacing w:after="100" w:line="280"/>
        <w:jc w:val="both"/>
      </w:pPr>
      <w:r>
        <w:rPr>
          <w:rFonts w:ascii="Archivo" w:cs="Archivo" w:eastAsia="Archivo" w:hAnsi="Archivo"/>
          <w:b/>
          <w:bCs/>
          <w:color w:val="0A2540"/>
          <w:sz w:val="20"/>
          <w:szCs w:val="20"/>
        </w:rPr>
        <w:t xml:space="preserve">Arts. 50 y 51. </w:t>
      </w:r>
      <w:r>
        <w:rPr>
          <w:rFonts w:ascii="Archivo" w:cs="Archivo" w:eastAsia="Archivo" w:hAnsi="Archivo"/>
          <w:sz w:val="20"/>
          <w:szCs w:val="20"/>
        </w:rPr>
        <w:t xml:space="preserve">Fueros generales de competencia territorial (domicilio del demandado).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52.2. </w:t>
      </w:r>
      <w:r>
        <w:rPr>
          <w:rFonts w:ascii="Archivo" w:cs="Archivo" w:eastAsia="Archivo" w:hAnsi="Archivo"/>
          <w:sz w:val="20"/>
          <w:szCs w:val="20"/>
        </w:rPr>
        <w:t xml:space="preserve">Fuero especial en materia de seguros: domicilio del asegurado, a elección del demandante.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Arts. 249.1 y 249.2. </w:t>
      </w:r>
      <w:r>
        <w:rPr>
          <w:rFonts w:ascii="Archivo" w:cs="Archivo" w:eastAsia="Archivo" w:hAnsi="Archivo"/>
          <w:sz w:val="20"/>
          <w:szCs w:val="20"/>
        </w:rPr>
        <w:t xml:space="preserve">Ámbito del juicio ordinario; cuantía superior a 15.000 euros.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250.2. </w:t>
      </w:r>
      <w:r>
        <w:rPr>
          <w:rFonts w:ascii="Archivo" w:cs="Archivo" w:eastAsia="Archivo" w:hAnsi="Archivo"/>
          <w:sz w:val="20"/>
          <w:szCs w:val="20"/>
        </w:rPr>
        <w:t xml:space="preserve">Ámbito del juicio verbal; cuantía no superior a 15.000 euros.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264.4.º. </w:t>
      </w:r>
      <w:r>
        <w:rPr>
          <w:rFonts w:ascii="Archivo" w:cs="Archivo" w:eastAsia="Archivo" w:hAnsi="Archivo"/>
          <w:sz w:val="20"/>
          <w:szCs w:val="20"/>
        </w:rPr>
        <w:t xml:space="preserve">Acreditación de la actividad negociadora previa (MASC) como documento a acompañar a la demanda.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394. </w:t>
      </w:r>
      <w:r>
        <w:rPr>
          <w:rFonts w:ascii="Archivo" w:cs="Archivo" w:eastAsia="Archivo" w:hAnsi="Archivo"/>
          <w:sz w:val="20"/>
          <w:szCs w:val="20"/>
        </w:rPr>
        <w:t xml:space="preserve">Costas procesales; principio del vencimiento objetivo.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399. </w:t>
      </w:r>
      <w:r>
        <w:rPr>
          <w:rFonts w:ascii="Archivo" w:cs="Archivo" w:eastAsia="Archivo" w:hAnsi="Archivo"/>
          <w:sz w:val="20"/>
          <w:szCs w:val="20"/>
        </w:rPr>
        <w:t xml:space="preserve">Contenido de la demanda; mención de la actividad negociadora previa.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403. </w:t>
      </w:r>
      <w:r>
        <w:rPr>
          <w:rFonts w:ascii="Archivo" w:cs="Archivo" w:eastAsia="Archivo" w:hAnsi="Archivo"/>
          <w:sz w:val="20"/>
          <w:szCs w:val="20"/>
        </w:rPr>
        <w:t xml:space="preserve">Casos excepcionales de inadmisión de la demanda por falta de acreditación del MASC.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576. </w:t>
      </w:r>
      <w:r>
        <w:rPr>
          <w:rFonts w:ascii="Archivo" w:cs="Archivo" w:eastAsia="Archivo" w:hAnsi="Archivo"/>
          <w:sz w:val="20"/>
          <w:szCs w:val="20"/>
        </w:rPr>
        <w:t xml:space="preserve">Intereses procesales, con las salvedades del art. 20 LCS. </w:t>
      </w:r>
      <w:r>
        <w:rPr>
          <w:rFonts w:ascii="Archivo" w:cs="Archivo" w:eastAsia="Archivo" w:hAnsi="Archivo"/>
          <w:i/>
          <w:iCs/>
          <w:color w:val="6B7A8F"/>
          <w:sz w:val="18"/>
          <w:szCs w:val="18"/>
        </w:rPr>
        <w:t xml:space="preserve">(cap. 20)</w:t>
      </w:r>
    </w:p>
    <w:p>
      <w:pPr>
        <w:spacing w:after="200"/>
      </w:pPr>
    </w:p>
    <w:p>
      <w:pPr>
        <w:pStyle w:val="Heading3"/>
        <w:spacing w:after="120" w:before="280"/>
      </w:pPr>
      <w:r>
        <w:rPr>
          <w:rFonts w:ascii="Archivo" w:cs="Archivo" w:eastAsia="Archivo" w:hAnsi="Archivo"/>
          <w:b/>
          <w:bCs/>
          <w:color w:val="1B6DF0"/>
          <w:sz w:val="21"/>
          <w:szCs w:val="21"/>
        </w:rPr>
        <w:t xml:space="preserve">Ley de Enjuiciamiento Criminal (LECrim)</w:t>
      </w:r>
    </w:p>
    <w:p>
      <w:pPr>
        <w:tabs>
          <w:tab w:val="right" w:pos="9026" w:leader="dot"/>
        </w:tabs>
        <w:spacing w:after="100" w:line="280"/>
        <w:jc w:val="both"/>
      </w:pPr>
      <w:r>
        <w:rPr>
          <w:rFonts w:ascii="Archivo" w:cs="Archivo" w:eastAsia="Archivo" w:hAnsi="Archivo"/>
          <w:b/>
          <w:bCs/>
          <w:color w:val="0A2540"/>
          <w:sz w:val="20"/>
          <w:szCs w:val="20"/>
        </w:rPr>
        <w:t xml:space="preserve">Arts. 111 y 114. </w:t>
      </w:r>
      <w:r>
        <w:rPr>
          <w:rFonts w:ascii="Archivo" w:cs="Archivo" w:eastAsia="Archivo" w:hAnsi="Archivo"/>
          <w:sz w:val="20"/>
          <w:szCs w:val="20"/>
        </w:rPr>
        <w:t xml:space="preserve">Preferencia de la jurisdicción penal y su incidencia en el cómputo de la prescripción civil. </w:t>
      </w:r>
      <w:r>
        <w:rPr>
          <w:rFonts w:ascii="Archivo" w:cs="Archivo" w:eastAsia="Archivo" w:hAnsi="Archivo"/>
          <w:i/>
          <w:iCs/>
          <w:color w:val="6B7A8F"/>
          <w:sz w:val="18"/>
          <w:szCs w:val="18"/>
        </w:rPr>
        <w:t xml:space="preserve">(cap. 22)</w:t>
      </w:r>
    </w:p>
    <w:p>
      <w:pPr>
        <w:spacing w:after="200"/>
      </w:pPr>
    </w:p>
    <w:p>
      <w:pPr>
        <w:pStyle w:val="Heading3"/>
        <w:spacing w:after="120" w:before="280"/>
      </w:pPr>
      <w:r>
        <w:rPr>
          <w:rFonts w:ascii="Archivo" w:cs="Archivo" w:eastAsia="Archivo" w:hAnsi="Archivo"/>
          <w:b/>
          <w:bCs/>
          <w:color w:val="1B6DF0"/>
          <w:sz w:val="21"/>
          <w:szCs w:val="21"/>
        </w:rPr>
        <w:t xml:space="preserve">Real Decreto Legislativo 1/2007, Texto Refundido de la Ley General para la Defensa de los Consumidores y Usuarios (TRLGDCU)</w:t>
      </w:r>
    </w:p>
    <w:p>
      <w:pPr>
        <w:tabs>
          <w:tab w:val="right" w:pos="9026" w:leader="dot"/>
        </w:tabs>
        <w:spacing w:after="100" w:line="280"/>
        <w:jc w:val="both"/>
      </w:pPr>
      <w:r>
        <w:rPr>
          <w:rFonts w:ascii="Archivo" w:cs="Archivo" w:eastAsia="Archivo" w:hAnsi="Archivo"/>
          <w:b/>
          <w:bCs/>
          <w:color w:val="0A2540"/>
          <w:sz w:val="20"/>
          <w:szCs w:val="20"/>
        </w:rPr>
        <w:t xml:space="preserve">Art. 80. </w:t>
      </w:r>
      <w:r>
        <w:rPr>
          <w:rFonts w:ascii="Archivo" w:cs="Archivo" w:eastAsia="Archivo" w:hAnsi="Archivo"/>
          <w:sz w:val="20"/>
          <w:szCs w:val="20"/>
        </w:rPr>
        <w:t xml:space="preserve">Requisitos de concreción, claridad, accesibilidad y legibilidad de las cláusulas no negociadas individualmente.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 82. </w:t>
      </w:r>
      <w:r>
        <w:rPr>
          <w:rFonts w:ascii="Archivo" w:cs="Archivo" w:eastAsia="Archivo" w:hAnsi="Archivo"/>
          <w:sz w:val="20"/>
          <w:szCs w:val="20"/>
        </w:rPr>
        <w:t xml:space="preserve">Concepto legal de cláusula abusiva.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 83. </w:t>
      </w:r>
      <w:r>
        <w:rPr>
          <w:rFonts w:ascii="Archivo" w:cs="Archivo" w:eastAsia="Archivo" w:hAnsi="Archivo"/>
          <w:sz w:val="20"/>
          <w:szCs w:val="20"/>
        </w:rPr>
        <w:t xml:space="preserve">Nulidad de pleno derecho de las cláusulas abusivas y subsistencia del contrato.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Arts. 85 a 90. </w:t>
      </w:r>
      <w:r>
        <w:rPr>
          <w:rFonts w:ascii="Archivo" w:cs="Archivo" w:eastAsia="Archivo" w:hAnsi="Archivo"/>
          <w:sz w:val="20"/>
          <w:szCs w:val="20"/>
        </w:rPr>
        <w:t xml:space="preserve">Catálogo casuístico de cláusulas abusivas. </w:t>
      </w:r>
      <w:r>
        <w:rPr>
          <w:rFonts w:ascii="Archivo" w:cs="Archivo" w:eastAsia="Archivo" w:hAnsi="Archivo"/>
          <w:i/>
          <w:iCs/>
          <w:color w:val="6B7A8F"/>
          <w:sz w:val="18"/>
          <w:szCs w:val="18"/>
        </w:rPr>
        <w:t xml:space="preserve">(cap. 25)</w:t>
      </w:r>
    </w:p>
    <w:p>
      <w:pPr>
        <w:spacing w:after="200"/>
      </w:pPr>
    </w:p>
    <w:p>
      <w:pPr>
        <w:pStyle w:val="Heading3"/>
        <w:spacing w:after="120" w:before="280"/>
      </w:pPr>
      <w:r>
        <w:rPr>
          <w:rFonts w:ascii="Archivo" w:cs="Archivo" w:eastAsia="Archivo" w:hAnsi="Archivo"/>
          <w:b/>
          <w:bCs/>
          <w:color w:val="1B6DF0"/>
          <w:sz w:val="21"/>
          <w:szCs w:val="21"/>
        </w:rPr>
        <w:t xml:space="preserve">Ley 7/1998, sobre Condiciones Generales de la Contratación (LCGC)</w:t>
      </w:r>
    </w:p>
    <w:p>
      <w:pPr>
        <w:tabs>
          <w:tab w:val="right" w:pos="9026" w:leader="dot"/>
        </w:tabs>
        <w:spacing w:after="100" w:line="280"/>
        <w:jc w:val="both"/>
      </w:pPr>
      <w:r>
        <w:rPr>
          <w:rFonts w:ascii="Archivo" w:cs="Archivo" w:eastAsia="Archivo" w:hAnsi="Archivo"/>
          <w:b/>
          <w:bCs/>
          <w:color w:val="0A2540"/>
          <w:sz w:val="20"/>
          <w:szCs w:val="20"/>
        </w:rPr>
        <w:t xml:space="preserve">Art. 5. </w:t>
      </w:r>
      <w:r>
        <w:rPr>
          <w:rFonts w:ascii="Archivo" w:cs="Archivo" w:eastAsia="Archivo" w:hAnsi="Archivo"/>
          <w:sz w:val="20"/>
          <w:szCs w:val="20"/>
        </w:rPr>
        <w:t xml:space="preserve">Requisitos de incorporación de las condiciones generales al contrato. </w:t>
      </w:r>
      <w:r>
        <w:rPr>
          <w:rFonts w:ascii="Archivo" w:cs="Archivo" w:eastAsia="Archivo" w:hAnsi="Archivo"/>
          <w:i/>
          <w:iCs/>
          <w:color w:val="6B7A8F"/>
          <w:sz w:val="18"/>
          <w:szCs w:val="18"/>
        </w:rPr>
        <w:t xml:space="preserve">(cap. 5)</w:t>
      </w:r>
    </w:p>
    <w:p>
      <w:pPr>
        <w:tabs>
          <w:tab w:val="right" w:pos="9026" w:leader="dot"/>
        </w:tabs>
        <w:spacing w:after="100" w:line="280"/>
        <w:jc w:val="both"/>
      </w:pPr>
      <w:r>
        <w:rPr>
          <w:rFonts w:ascii="Archivo" w:cs="Archivo" w:eastAsia="Archivo" w:hAnsi="Archivo"/>
          <w:b/>
          <w:bCs/>
          <w:color w:val="0A2540"/>
          <w:sz w:val="20"/>
          <w:szCs w:val="20"/>
        </w:rPr>
        <w:t xml:space="preserve">Art. 7. </w:t>
      </w:r>
      <w:r>
        <w:rPr>
          <w:rFonts w:ascii="Archivo" w:cs="Archivo" w:eastAsia="Archivo" w:hAnsi="Archivo"/>
          <w:sz w:val="20"/>
          <w:szCs w:val="20"/>
        </w:rPr>
        <w:t xml:space="preserve">Supuestos de no incorporación: falta de oportunidad real de conocer la cláusula; cláusulas ilegibles u oscuras. </w:t>
      </w:r>
      <w:r>
        <w:rPr>
          <w:rFonts w:ascii="Archivo" w:cs="Archivo" w:eastAsia="Archivo" w:hAnsi="Archivo"/>
          <w:i/>
          <w:iCs/>
          <w:color w:val="6B7A8F"/>
          <w:sz w:val="18"/>
          <w:szCs w:val="18"/>
        </w:rPr>
        <w:t xml:space="preserve">(cap. 5)</w:t>
      </w:r>
    </w:p>
    <w:p>
      <w:pPr>
        <w:spacing w:after="200"/>
      </w:pPr>
    </w:p>
    <w:p>
      <w:pPr>
        <w:pStyle w:val="Heading3"/>
        <w:spacing w:after="120" w:before="280"/>
      </w:pPr>
      <w:r>
        <w:rPr>
          <w:rFonts w:ascii="Archivo" w:cs="Archivo" w:eastAsia="Archivo" w:hAnsi="Archivo"/>
          <w:b/>
          <w:bCs/>
          <w:color w:val="1B6DF0"/>
          <w:sz w:val="21"/>
          <w:szCs w:val="21"/>
        </w:rPr>
        <w:t xml:space="preserve">Real Decreto-ley 3/2020, de distribución de seguros y reaseguros privados</w:t>
      </w:r>
    </w:p>
    <w:p>
      <w:pPr>
        <w:tabs>
          <w:tab w:val="right" w:pos="9026" w:leader="dot"/>
        </w:tabs>
        <w:spacing w:after="100" w:line="280"/>
        <w:jc w:val="both"/>
      </w:pPr>
      <w:r>
        <w:rPr>
          <w:rFonts w:ascii="Archivo" w:cs="Archivo" w:eastAsia="Archivo" w:hAnsi="Archivo"/>
          <w:b/>
          <w:bCs/>
          <w:color w:val="0A2540"/>
          <w:sz w:val="20"/>
          <w:szCs w:val="20"/>
        </w:rPr>
        <w:t xml:space="preserve">Art. 173. </w:t>
      </w:r>
      <w:r>
        <w:rPr>
          <w:rFonts w:ascii="Archivo" w:cs="Archivo" w:eastAsia="Archivo" w:hAnsi="Archivo"/>
          <w:sz w:val="20"/>
          <w:szCs w:val="20"/>
        </w:rPr>
        <w:t xml:space="preserve">Deberes de información precontractual del mediador de seguros. </w:t>
      </w:r>
      <w:r>
        <w:rPr>
          <w:rFonts w:ascii="Archivo" w:cs="Archivo" w:eastAsia="Archivo" w:hAnsi="Archivo"/>
          <w:i/>
          <w:iCs/>
          <w:color w:val="6B7A8F"/>
          <w:sz w:val="18"/>
          <w:szCs w:val="18"/>
        </w:rPr>
        <w:t xml:space="preserve">(cap. 3)</w:t>
      </w:r>
    </w:p>
    <w:p>
      <w:pPr>
        <w:tabs>
          <w:tab w:val="right" w:pos="9026" w:leader="dot"/>
        </w:tabs>
        <w:spacing w:after="100" w:line="280"/>
        <w:jc w:val="both"/>
      </w:pPr>
      <w:r>
        <w:rPr>
          <w:rFonts w:ascii="Archivo" w:cs="Archivo" w:eastAsia="Archivo" w:hAnsi="Archivo"/>
          <w:b/>
          <w:bCs/>
          <w:color w:val="0A2540"/>
          <w:sz w:val="20"/>
          <w:szCs w:val="20"/>
        </w:rPr>
        <w:t xml:space="preserve">Art. 174. </w:t>
      </w:r>
      <w:r>
        <w:rPr>
          <w:rFonts w:ascii="Archivo" w:cs="Archivo" w:eastAsia="Archivo" w:hAnsi="Archivo"/>
          <w:sz w:val="20"/>
          <w:szCs w:val="20"/>
        </w:rPr>
        <w:t xml:space="preserve">Deberes de información precontractual de la aseguradora que distribuye directamente sus productos. </w:t>
      </w:r>
      <w:r>
        <w:rPr>
          <w:rFonts w:ascii="Archivo" w:cs="Archivo" w:eastAsia="Archivo" w:hAnsi="Archivo"/>
          <w:i/>
          <w:iCs/>
          <w:color w:val="6B7A8F"/>
          <w:sz w:val="18"/>
          <w:szCs w:val="18"/>
        </w:rPr>
        <w:t xml:space="preserve">(cap. 3)</w:t>
      </w:r>
    </w:p>
    <w:p>
      <w:pPr>
        <w:tabs>
          <w:tab w:val="right" w:pos="9026" w:leader="dot"/>
        </w:tabs>
        <w:spacing w:after="100" w:line="280"/>
        <w:jc w:val="both"/>
      </w:pPr>
      <w:r>
        <w:rPr>
          <w:rFonts w:ascii="Archivo" w:cs="Archivo" w:eastAsia="Archivo" w:hAnsi="Archivo"/>
          <w:b/>
          <w:bCs/>
          <w:color w:val="0A2540"/>
          <w:sz w:val="20"/>
          <w:szCs w:val="20"/>
        </w:rPr>
        <w:t xml:space="preserve">Art. 175. </w:t>
      </w:r>
      <w:r>
        <w:rPr>
          <w:rFonts w:ascii="Archivo" w:cs="Archivo" w:eastAsia="Archivo" w:hAnsi="Archivo"/>
          <w:sz w:val="20"/>
          <w:szCs w:val="20"/>
        </w:rPr>
        <w:t xml:space="preserve">Test de exigencias y necesidades; deber de asesoramiento y recomendación personalizada. </w:t>
      </w:r>
      <w:r>
        <w:rPr>
          <w:rFonts w:ascii="Archivo" w:cs="Archivo" w:eastAsia="Archivo" w:hAnsi="Archivo"/>
          <w:i/>
          <w:iCs/>
          <w:color w:val="6B7A8F"/>
          <w:sz w:val="18"/>
          <w:szCs w:val="18"/>
        </w:rPr>
        <w:t xml:space="preserve">(cap. 3)</w:t>
      </w:r>
    </w:p>
    <w:p>
      <w:pPr>
        <w:spacing w:after="200"/>
      </w:pPr>
    </w:p>
    <w:p>
      <w:pPr>
        <w:pStyle w:val="Heading3"/>
        <w:spacing w:after="120" w:before="280"/>
      </w:pPr>
      <w:r>
        <w:rPr>
          <w:rFonts w:ascii="Archivo" w:cs="Archivo" w:eastAsia="Archivo" w:hAnsi="Archivo"/>
          <w:b/>
          <w:bCs/>
          <w:color w:val="1B6DF0"/>
          <w:sz w:val="21"/>
          <w:szCs w:val="21"/>
        </w:rPr>
        <w:t xml:space="preserve">Ley 5/2019, reguladora de los Contratos de Crédito Inmobiliario</w:t>
      </w:r>
    </w:p>
    <w:p>
      <w:pPr>
        <w:tabs>
          <w:tab w:val="right" w:pos="9026" w:leader="dot"/>
        </w:tabs>
        <w:spacing w:after="100" w:line="280"/>
        <w:jc w:val="both"/>
      </w:pPr>
      <w:r>
        <w:rPr>
          <w:rFonts w:ascii="Archivo" w:cs="Archivo" w:eastAsia="Archivo" w:hAnsi="Archivo"/>
          <w:b/>
          <w:bCs/>
          <w:color w:val="0A2540"/>
          <w:sz w:val="20"/>
          <w:szCs w:val="20"/>
        </w:rPr>
        <w:t xml:space="preserve">Art. 17. </w:t>
      </w:r>
      <w:r>
        <w:rPr>
          <w:rFonts w:ascii="Archivo" w:cs="Archivo" w:eastAsia="Archivo" w:hAnsi="Archivo"/>
          <w:sz w:val="20"/>
          <w:szCs w:val="20"/>
        </w:rPr>
        <w:t xml:space="preserve">Prohibición general de venta vinculada y excepción para el seguro de daños del inmueble hipotecado; derecho a póliza alternativa. </w:t>
      </w:r>
      <w:r>
        <w:rPr>
          <w:rFonts w:ascii="Archivo" w:cs="Archivo" w:eastAsia="Archivo" w:hAnsi="Archivo"/>
          <w:i/>
          <w:iCs/>
          <w:color w:val="6B7A8F"/>
          <w:sz w:val="18"/>
          <w:szCs w:val="18"/>
        </w:rPr>
        <w:t xml:space="preserve">(cap. 3)</w:t>
      </w:r>
    </w:p>
    <w:p>
      <w:pPr>
        <w:spacing w:after="200"/>
      </w:pPr>
    </w:p>
    <w:p>
      <w:pPr>
        <w:pStyle w:val="Heading3"/>
        <w:spacing w:after="120" w:before="280"/>
      </w:pPr>
      <w:r>
        <w:rPr>
          <w:rFonts w:ascii="Archivo" w:cs="Archivo" w:eastAsia="Archivo" w:hAnsi="Archivo"/>
          <w:b/>
          <w:bCs/>
          <w:color w:val="1B6DF0"/>
          <w:sz w:val="21"/>
          <w:szCs w:val="21"/>
        </w:rPr>
        <w:t xml:space="preserve">Ley 49/1960, de Propiedad Horizontal (LPH)</w:t>
      </w:r>
    </w:p>
    <w:p>
      <w:pPr>
        <w:tabs>
          <w:tab w:val="right" w:pos="9026" w:leader="dot"/>
        </w:tabs>
        <w:spacing w:after="100" w:line="280"/>
        <w:jc w:val="both"/>
      </w:pPr>
      <w:r>
        <w:rPr>
          <w:rFonts w:ascii="Archivo" w:cs="Archivo" w:eastAsia="Archivo" w:hAnsi="Archivo"/>
          <w:b/>
          <w:bCs/>
          <w:color w:val="0A2540"/>
          <w:sz w:val="20"/>
          <w:szCs w:val="20"/>
        </w:rPr>
        <w:t xml:space="preserve">Art. 9.1.f). </w:t>
      </w:r>
      <w:r>
        <w:rPr>
          <w:rFonts w:ascii="Archivo" w:cs="Archivo" w:eastAsia="Archivo" w:hAnsi="Archivo"/>
          <w:sz w:val="20"/>
          <w:szCs w:val="20"/>
        </w:rPr>
        <w:t xml:space="preserve">Facultad de la comunidad de propietarios de suscribir un seguro con cargo al fondo de reserva. </w:t>
      </w:r>
      <w:r>
        <w:rPr>
          <w:rFonts w:ascii="Archivo" w:cs="Archivo" w:eastAsia="Archivo" w:hAnsi="Archivo"/>
          <w:i/>
          <w:iCs/>
          <w:color w:val="6B7A8F"/>
          <w:sz w:val="18"/>
          <w:szCs w:val="18"/>
        </w:rPr>
        <w:t xml:space="preserve">(cap. 15)</w:t>
      </w:r>
    </w:p>
    <w:p>
      <w:pPr>
        <w:tabs>
          <w:tab w:val="right" w:pos="9026" w:leader="dot"/>
        </w:tabs>
        <w:spacing w:after="100" w:line="280"/>
        <w:jc w:val="both"/>
      </w:pPr>
      <w:r>
        <w:rPr>
          <w:rFonts w:ascii="Archivo" w:cs="Archivo" w:eastAsia="Archivo" w:hAnsi="Archivo"/>
          <w:b/>
          <w:bCs/>
          <w:color w:val="0A2540"/>
          <w:sz w:val="20"/>
          <w:szCs w:val="20"/>
        </w:rPr>
        <w:t xml:space="preserve">Art. 10. </w:t>
      </w:r>
      <w:r>
        <w:rPr>
          <w:rFonts w:ascii="Archivo" w:cs="Archivo" w:eastAsia="Archivo" w:hAnsi="Archivo"/>
          <w:sz w:val="20"/>
          <w:szCs w:val="20"/>
        </w:rPr>
        <w:t xml:space="preserve">Deber de conservación de los elementos comunes del edificio. </w:t>
      </w:r>
      <w:r>
        <w:rPr>
          <w:rFonts w:ascii="Archivo" w:cs="Archivo" w:eastAsia="Archivo" w:hAnsi="Archivo"/>
          <w:i/>
          <w:iCs/>
          <w:color w:val="6B7A8F"/>
          <w:sz w:val="18"/>
          <w:szCs w:val="18"/>
        </w:rPr>
        <w:t xml:space="preserve">(cap. 8)</w:t>
      </w:r>
    </w:p>
    <w:p>
      <w:pPr>
        <w:spacing w:after="200"/>
      </w:pPr>
    </w:p>
    <w:p>
      <w:pPr>
        <w:pStyle w:val="Heading3"/>
        <w:spacing w:after="120" w:before="280"/>
      </w:pPr>
      <w:r>
        <w:rPr>
          <w:rFonts w:ascii="Archivo" w:cs="Archivo" w:eastAsia="Archivo" w:hAnsi="Archivo"/>
          <w:b/>
          <w:bCs/>
          <w:color w:val="1B6DF0"/>
          <w:sz w:val="21"/>
          <w:szCs w:val="21"/>
        </w:rPr>
        <w:t xml:space="preserve">Real Decreto Legislativo 7/2004, Texto Refundido del Estatuto Legal del Consorcio de Compensación de Seguros</w:t>
      </w:r>
    </w:p>
    <w:p>
      <w:pPr>
        <w:tabs>
          <w:tab w:val="right" w:pos="9026" w:leader="dot"/>
        </w:tabs>
        <w:spacing w:after="100" w:line="280"/>
        <w:jc w:val="both"/>
      </w:pPr>
      <w:r>
        <w:rPr>
          <w:rFonts w:ascii="Archivo" w:cs="Archivo" w:eastAsia="Archivo" w:hAnsi="Archivo"/>
          <w:b/>
          <w:bCs/>
          <w:color w:val="0A2540"/>
          <w:sz w:val="20"/>
          <w:szCs w:val="20"/>
        </w:rPr>
        <w:t xml:space="preserve">Art. 6. </w:t>
      </w:r>
      <w:r>
        <w:rPr>
          <w:rFonts w:ascii="Archivo" w:cs="Archivo" w:eastAsia="Archivo" w:hAnsi="Archivo"/>
          <w:sz w:val="20"/>
          <w:szCs w:val="20"/>
        </w:rPr>
        <w:t xml:space="preserve">Ámbito de los acontecimientos extraordinarios cubiertos por el Consorcio.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8. </w:t>
      </w:r>
      <w:r>
        <w:rPr>
          <w:rFonts w:ascii="Archivo" w:cs="Archivo" w:eastAsia="Archivo" w:hAnsi="Archivo"/>
          <w:sz w:val="20"/>
          <w:szCs w:val="20"/>
        </w:rPr>
        <w:t xml:space="preserve">Presupuestos y límites de la obligación indemnizatoria del Consorcio. </w:t>
      </w:r>
      <w:r>
        <w:rPr>
          <w:rFonts w:ascii="Archivo" w:cs="Archivo" w:eastAsia="Archivo" w:hAnsi="Archivo"/>
          <w:i/>
          <w:iCs/>
          <w:color w:val="6B7A8F"/>
          <w:sz w:val="18"/>
          <w:szCs w:val="18"/>
        </w:rPr>
        <w:t xml:space="preserve">(cap. 10)</w:t>
      </w:r>
    </w:p>
    <w:p>
      <w:pPr>
        <w:spacing w:after="200"/>
      </w:pPr>
    </w:p>
    <w:p>
      <w:pPr>
        <w:pStyle w:val="Heading3"/>
        <w:spacing w:after="120" w:before="280"/>
      </w:pPr>
      <w:r>
        <w:rPr>
          <w:rFonts w:ascii="Archivo" w:cs="Archivo" w:eastAsia="Archivo" w:hAnsi="Archivo"/>
          <w:b/>
          <w:bCs/>
          <w:color w:val="1B6DF0"/>
          <w:sz w:val="21"/>
          <w:szCs w:val="21"/>
        </w:rPr>
        <w:t xml:space="preserve">Real Decreto 300/2004, Reglamento del seguro de riesgos extraordinarios</w:t>
      </w:r>
    </w:p>
    <w:p>
      <w:pPr>
        <w:tabs>
          <w:tab w:val="right" w:pos="9026" w:leader="dot"/>
        </w:tabs>
        <w:spacing w:after="100" w:line="280"/>
        <w:jc w:val="both"/>
      </w:pPr>
      <w:r>
        <w:rPr>
          <w:rFonts w:ascii="Archivo" w:cs="Archivo" w:eastAsia="Archivo" w:hAnsi="Archivo"/>
          <w:b/>
          <w:bCs/>
          <w:color w:val="0A2540"/>
          <w:sz w:val="20"/>
          <w:szCs w:val="20"/>
        </w:rPr>
        <w:t xml:space="preserve">Art. 1. </w:t>
      </w:r>
      <w:r>
        <w:rPr>
          <w:rFonts w:ascii="Archivo" w:cs="Archivo" w:eastAsia="Archivo" w:hAnsi="Archivo"/>
          <w:sz w:val="20"/>
          <w:szCs w:val="20"/>
        </w:rPr>
        <w:t xml:space="preserve">Riesgos cubiertos y delimitación de los riesgos situados en España.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2.1.c). </w:t>
      </w:r>
      <w:r>
        <w:rPr>
          <w:rFonts w:ascii="Archivo" w:cs="Archivo" w:eastAsia="Archivo" w:hAnsi="Archivo"/>
          <w:sz w:val="20"/>
          <w:szCs w:val="20"/>
        </w:rPr>
        <w:t xml:space="preserve">Definición de inundación extraordinaria y exclusión de la lluvia recogida por cubierta, azotea, red de desagüe o patios: frontera con el seguro privado.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2.1.e). </w:t>
      </w:r>
      <w:r>
        <w:rPr>
          <w:rFonts w:ascii="Archivo" w:cs="Archivo" w:eastAsia="Archivo" w:hAnsi="Archivo"/>
          <w:sz w:val="20"/>
          <w:szCs w:val="20"/>
        </w:rPr>
        <w:t xml:space="preserve">Definición de tempestad ciclónica atípica y umbrales de intensidad (40 litros por metro cuadrado y hora; velocidades de viento). </w:t>
      </w:r>
      <w:r>
        <w:rPr>
          <w:rFonts w:ascii="Archivo" w:cs="Archivo" w:eastAsia="Archivo" w:hAnsi="Archivo"/>
          <w:i/>
          <w:iCs/>
          <w:color w:val="6B7A8F"/>
          <w:sz w:val="18"/>
          <w:szCs w:val="18"/>
        </w:rPr>
        <w:t xml:space="preserve">(cap. 10)</w:t>
      </w:r>
    </w:p>
    <w:p>
      <w:pPr>
        <w:spacing w:after="200"/>
      </w:pPr>
    </w:p>
    <w:p>
      <w:pPr>
        <w:pStyle w:val="Heading3"/>
        <w:spacing w:after="120" w:before="280"/>
      </w:pPr>
      <w:r>
        <w:rPr>
          <w:rFonts w:ascii="Archivo" w:cs="Archivo" w:eastAsia="Archivo" w:hAnsi="Archivo"/>
          <w:b/>
          <w:bCs/>
          <w:color w:val="1B6DF0"/>
          <w:sz w:val="21"/>
          <w:szCs w:val="21"/>
        </w:rPr>
        <w:t xml:space="preserve">Real Decreto-ley 3/2020, en materia de distribución de seguros privados</w:t>
      </w:r>
    </w:p>
    <w:p>
      <w:pPr>
        <w:tabs>
          <w:tab w:val="right" w:pos="9026" w:leader="dot"/>
        </w:tabs>
        <w:spacing w:after="100" w:line="280"/>
        <w:jc w:val="both"/>
      </w:pPr>
      <w:r>
        <w:rPr>
          <w:rFonts w:ascii="Archivo" w:cs="Archivo" w:eastAsia="Archivo" w:hAnsi="Archivo"/>
          <w:b/>
          <w:bCs/>
          <w:color w:val="0A2540"/>
          <w:sz w:val="20"/>
          <w:szCs w:val="20"/>
        </w:rPr>
        <w:t xml:space="preserve">Art. 172. </w:t>
      </w:r>
      <w:r>
        <w:rPr>
          <w:rFonts w:ascii="Archivo" w:cs="Archivo" w:eastAsia="Archivo" w:hAnsi="Archivo"/>
          <w:sz w:val="20"/>
          <w:szCs w:val="20"/>
        </w:rPr>
        <w:t xml:space="preserve">Principio general de actuación honesta, equitativa y profesional en beneficio del cliente.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175.1. </w:t>
      </w:r>
      <w:r>
        <w:rPr>
          <w:rFonts w:ascii="Archivo" w:cs="Archivo" w:eastAsia="Archivo" w:hAnsi="Archivo"/>
          <w:sz w:val="20"/>
          <w:szCs w:val="20"/>
        </w:rPr>
        <w:t xml:space="preserve">Deber del distribuidor de determinar las exigencias y necesidades del cliente; todo contrato propuesto debe respetarlas.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176. </w:t>
      </w:r>
      <w:r>
        <w:rPr>
          <w:rFonts w:ascii="Archivo" w:cs="Archivo" w:eastAsia="Archivo" w:hAnsi="Archivo"/>
          <w:sz w:val="20"/>
          <w:szCs w:val="20"/>
        </w:rPr>
        <w:t xml:space="preserve">Documento de información previa sobre el producto de seguro. </w:t>
      </w:r>
      <w:r>
        <w:rPr>
          <w:rFonts w:ascii="Archivo" w:cs="Archivo" w:eastAsia="Archivo" w:hAnsi="Archivo"/>
          <w:i/>
          <w:iCs/>
          <w:color w:val="6B7A8F"/>
          <w:sz w:val="18"/>
          <w:szCs w:val="18"/>
        </w:rPr>
        <w:t xml:space="preserve">(cap. 19)</w:t>
      </w:r>
    </w:p>
    <w:p>
      <w:pPr>
        <w:spacing w:after="200"/>
      </w:pPr>
    </w:p>
    <w:p>
      <w:pPr>
        <w:pStyle w:val="Heading3"/>
        <w:spacing w:after="120" w:before="280"/>
      </w:pPr>
      <w:r>
        <w:rPr>
          <w:rFonts w:ascii="Archivo" w:cs="Archivo" w:eastAsia="Archivo" w:hAnsi="Archivo"/>
          <w:b/>
          <w:bCs/>
          <w:color w:val="1B6DF0"/>
          <w:sz w:val="21"/>
          <w:szCs w:val="21"/>
        </w:rPr>
        <w:t xml:space="preserve">Ley Orgánica 1/2025, de medidas en materia de eficiencia del Servicio Público de Justicia</w:t>
      </w:r>
    </w:p>
    <w:p>
      <w:pPr>
        <w:tabs>
          <w:tab w:val="right" w:pos="9026" w:leader="dot"/>
        </w:tabs>
        <w:spacing w:after="100" w:line="280"/>
        <w:jc w:val="both"/>
      </w:pPr>
      <w:r>
        <w:rPr>
          <w:rFonts w:ascii="Archivo" w:cs="Archivo" w:eastAsia="Archivo" w:hAnsi="Archivo"/>
          <w:b/>
          <w:bCs/>
          <w:color w:val="0A2540"/>
          <w:sz w:val="20"/>
          <w:szCs w:val="20"/>
        </w:rPr>
        <w:t xml:space="preserve">Disposición general. </w:t>
      </w:r>
      <w:r>
        <w:rPr>
          <w:rFonts w:ascii="Archivo" w:cs="Archivo" w:eastAsia="Archivo" w:hAnsi="Archivo"/>
          <w:sz w:val="20"/>
          <w:szCs w:val="20"/>
        </w:rPr>
        <w:t xml:space="preserve">Introduce los medios adecuados de solución de controversias (MASC) como requisito de procedibilidad, modificando los arts. 264 y 403 LEC. </w:t>
      </w:r>
      <w:r>
        <w:rPr>
          <w:rFonts w:ascii="Archivo" w:cs="Archivo" w:eastAsia="Archivo" w:hAnsi="Archivo"/>
          <w:i/>
          <w:iCs/>
          <w:color w:val="6B7A8F"/>
          <w:sz w:val="18"/>
          <w:szCs w:val="18"/>
        </w:rPr>
        <w:t xml:space="preserve">(cap. 23)</w:t>
      </w:r>
    </w:p>
    <w:p>
      <w:pPr>
        <w:spacing w:after="200"/>
      </w:pPr>
    </w:p>
    <w:p>
      <w:pPr>
        <w:spacing w:after="240"/>
      </w:pPr>
    </w:p>
    <w:p>
      <w:pPr>
        <w:pStyle w:val="Heading2"/>
        <w:spacing w:after="160" w:before="400"/>
      </w:pPr>
      <w:r>
        <w:rPr>
          <w:rFonts w:ascii="Fraunces" w:cs="Fraunces" w:eastAsia="Fraunces" w:hAnsi="Fraunces"/>
          <w:b/>
          <w:bCs/>
          <w:color w:val="0A2540"/>
          <w:sz w:val="24"/>
          <w:szCs w:val="24"/>
        </w:rPr>
        <w:t xml:space="preserve">Normativa extranjera y de la Unión Europea</w:t>
      </w:r>
    </w:p>
    <w:p>
      <w:pPr>
        <w:spacing w:after="180" w:line="300"/>
        <w:jc w:val="both"/>
      </w:pPr>
      <w:r>
        <w:rPr>
          <w:rFonts w:ascii="Archivo" w:cs="Archivo" w:eastAsia="Archivo" w:hAnsi="Archivo"/>
          <w:sz w:val="21"/>
          <w:szCs w:val="21"/>
        </w:rPr>
        <w:t xml:space="preserve">El capítulo 28, dedicado al Derecho comparado, maneja además normativa extranjera y de la Unión Europea que no se recoge en este índice por no formar parte del ordenamiento aplicable al contrato: Code des assurances francés, Bürgerliches Gesetzbuch y Versicherungsvertragsgesetz alemanes, Insurance Act 2015, CIDRA 2012, Consumer Rights Act 2015 y Water Act 2014 británicas, Codice civile y Ley 213/2023 italianas, Decreto-Lei 72/2008 portugués, y las Directivas 93/13/CEE y (UE) 2016/97. Su relación completa figura al final de dicho capítulo, con la advertencia de que deben verificarse en su versión vigente antes de citarlas en un escrito.</w:t>
      </w:r>
    </w:p>
    <w:p>
      <w:pPr>
        <w:pStyle w:val="Heading1"/>
        <w:pageBreakBefore/>
        <w:spacing w:after="300"/>
      </w:pPr>
      <w:r>
        <w:rPr>
          <w:rFonts w:ascii="Fraunces" w:cs="Fraunces" w:eastAsia="Fraunces" w:hAnsi="Fraunces"/>
          <w:b/>
          <w:bCs/>
          <w:color w:val="0A2540"/>
          <w:sz w:val="30"/>
          <w:szCs w:val="30"/>
        </w:rPr>
        <w:t xml:space="preserve">Anexo III. Índice de jurisprudencia citada</w:t>
      </w:r>
    </w:p>
    <w:p>
      <w:pPr>
        <w:spacing w:after="180" w:line="300"/>
        <w:jc w:val="both"/>
      </w:pPr>
      <w:r>
        <w:rPr>
          <w:rFonts w:ascii="Archivo" w:cs="Archivo" w:eastAsia="Archivo" w:hAnsi="Archivo"/>
          <w:sz w:val="21"/>
          <w:szCs w:val="21"/>
        </w:rPr>
        <w:t xml:space="preserve">Se relacionan, por orden cronológico, las treinta y una resoluciones del Tribunal Supremo y de Audiencias Provinciales citadas y transcritas literalmente a lo largo de la obra, todas ellas verificadas contra la fuente oficial (CENDOJ) en la fecha de redacción del capítulo correspondiente. Para el texto completo de cada pasaje citado, véase la caja de «Jurisprudencia» del capítulo indicado. El capítulo 26 ofrece, además, una sistematización de esta misma jurisprudencia agrupada por líneas temáticas.</w:t>
      </w:r>
    </w:p>
    <w:p>
      <w:pPr>
        <w:spacing w:after="200"/>
      </w:pPr>
    </w:p>
    <w:p>
      <w:pPr>
        <w:pStyle w:val="Heading2"/>
        <w:spacing w:after="160" w:before="400"/>
      </w:pPr>
      <w:r>
        <w:rPr>
          <w:rFonts w:ascii="Fraunces" w:cs="Fraunces" w:eastAsia="Fraunces" w:hAnsi="Fraunces"/>
          <w:b/>
          <w:bCs/>
          <w:color w:val="0A2540"/>
          <w:sz w:val="24"/>
          <w:szCs w:val="24"/>
        </w:rPr>
        <w:t xml:space="preserve">A. Sentencias del Tribunal Supremo (Sala de lo Civil)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14 de noviembre de 2002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7531/2002    </w:t>
            </w:r>
            <w:r>
              <w:rPr>
                <w:rFonts w:ascii="Archivo" w:cs="Archivo" w:eastAsia="Archivo" w:hAnsi="Archivo"/>
                <w:b/>
                <w:bCs/>
                <w:sz w:val="19"/>
                <w:szCs w:val="19"/>
              </w:rPr>
              <w:t xml:space="preserve">ECLI: </w:t>
            </w:r>
            <w:r>
              <w:rPr>
                <w:rFonts w:ascii="Archivo" w:cs="Archivo" w:eastAsia="Archivo" w:hAnsi="Archivo"/>
                <w:sz w:val="19"/>
                <w:szCs w:val="19"/>
              </w:rPr>
              <w:t xml:space="preserve">ES:TS:2002:7531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Marín Castán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Distinción entre infraseguro y concurrencia de seguros; incomunicabilidad de pólizas distintas.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19</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7 de julio de 2006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5884/2006    </w:t>
            </w:r>
            <w:r>
              <w:rPr>
                <w:rFonts w:ascii="Archivo" w:cs="Archivo" w:eastAsia="Archivo" w:hAnsi="Archivo"/>
                <w:b/>
                <w:bCs/>
                <w:sz w:val="19"/>
                <w:szCs w:val="19"/>
              </w:rPr>
              <w:t xml:space="preserve">ECLI: </w:t>
            </w:r>
            <w:r>
              <w:rPr>
                <w:rFonts w:ascii="Archivo" w:cs="Archivo" w:eastAsia="Archivo" w:hAnsi="Archivo"/>
                <w:sz w:val="19"/>
                <w:szCs w:val="19"/>
              </w:rPr>
              <w:t xml:space="preserve">ES:TS:2006:5884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Juan Antonio Xiol Ríos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intencionalidad excluyente de cobertura se predica del resultado dañoso, no de cualquier conducta previa arriesgada.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7 de febrero de 2007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696/2007    </w:t>
            </w:r>
            <w:r>
              <w:rPr>
                <w:rFonts w:ascii="Archivo" w:cs="Archivo" w:eastAsia="Archivo" w:hAnsi="Archivo"/>
                <w:b/>
                <w:bCs/>
                <w:sz w:val="19"/>
                <w:szCs w:val="19"/>
              </w:rPr>
              <w:t xml:space="preserve">ECLI: </w:t>
            </w:r>
            <w:r>
              <w:rPr>
                <w:rFonts w:ascii="Archivo" w:cs="Archivo" w:eastAsia="Archivo" w:hAnsi="Archivo"/>
                <w:sz w:val="19"/>
                <w:szCs w:val="19"/>
              </w:rPr>
              <w:t xml:space="preserve">ES:TS:2007:696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Marín Castán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Distribución de seguros: independencia funcional del corredor frente al agente.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3</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31 de octubre de 2007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6939/2007    </w:t>
            </w:r>
            <w:r>
              <w:rPr>
                <w:rFonts w:ascii="Archivo" w:cs="Archivo" w:eastAsia="Archivo" w:hAnsi="Archivo"/>
                <w:b/>
                <w:bCs/>
                <w:sz w:val="19"/>
                <w:szCs w:val="19"/>
              </w:rPr>
              <w:t xml:space="preserve">ECLI: </w:t>
            </w:r>
            <w:r>
              <w:rPr>
                <w:rFonts w:ascii="Archivo" w:cs="Archivo" w:eastAsia="Archivo" w:hAnsi="Archivo"/>
                <w:sz w:val="19"/>
                <w:szCs w:val="19"/>
              </w:rPr>
              <w:t xml:space="preserve">ES:TS:2007:6939</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Román García Varela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Riesgos extraordinarios: corresponde a los tribunales, y no a la Administración, interpretar el concepto jurídico indeterminado de inundación.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17 de julio de 2012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5990/2012    </w:t>
            </w:r>
            <w:r>
              <w:rPr>
                <w:rFonts w:ascii="Archivo" w:cs="Archivo" w:eastAsia="Archivo" w:hAnsi="Archivo"/>
                <w:b/>
                <w:bCs/>
                <w:sz w:val="19"/>
                <w:szCs w:val="19"/>
              </w:rPr>
              <w:t xml:space="preserve">ECLI: </w:t>
            </w:r>
            <w:r>
              <w:rPr>
                <w:rFonts w:ascii="Archivo" w:cs="Archivo" w:eastAsia="Archivo" w:hAnsi="Archivo"/>
                <w:sz w:val="19"/>
                <w:szCs w:val="19"/>
              </w:rPr>
              <w:t xml:space="preserve">ES:TS:2012:5990</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Arroyo Fiestas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Carga de la prueba del dolo o la culpa grave y de su nexo causal con el siniestro, a cargo del asegurador.</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(Pleno), de 14 de julio de 2015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3754/2015    </w:t>
            </w:r>
            <w:r>
              <w:rPr>
                <w:rFonts w:ascii="Archivo" w:cs="Archivo" w:eastAsia="Archivo" w:hAnsi="Archivo"/>
                <w:b/>
                <w:bCs/>
                <w:sz w:val="19"/>
                <w:szCs w:val="19"/>
              </w:rPr>
              <w:t xml:space="preserve">ECLI: </w:t>
            </w:r>
            <w:r>
              <w:rPr>
                <w:rFonts w:ascii="Archivo" w:cs="Archivo" w:eastAsia="Archivo" w:hAnsi="Archivo"/>
                <w:sz w:val="19"/>
                <w:szCs w:val="19"/>
              </w:rPr>
              <w:t xml:space="preserve">ES:TS:2015:3754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Sebastián Sastre Papiol</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Compendio de los requisitos formales del art. 3 LCS: destacado en condiciones particulares, ausencia de abigarramiento y firma del tomador.</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16 de marzo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1208/2016    </w:t>
            </w:r>
            <w:r>
              <w:rPr>
                <w:rFonts w:ascii="Archivo" w:cs="Archivo" w:eastAsia="Archivo" w:hAnsi="Archivo"/>
                <w:b/>
                <w:bCs/>
                <w:sz w:val="19"/>
                <w:szCs w:val="19"/>
              </w:rPr>
              <w:t xml:space="preserve">ECLI: </w:t>
            </w:r>
            <w:r>
              <w:rPr>
                <w:rFonts w:ascii="Archivo" w:cs="Archivo" w:eastAsia="Archivo" w:hAnsi="Archivo"/>
                <w:sz w:val="19"/>
                <w:szCs w:val="19"/>
              </w:rPr>
              <w:t xml:space="preserve">ES:TS:2016:1208</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Orduña Moreno</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art. 10 LCS impone un deber de contestación al cuestionario, no de declaración espontánea.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 de junio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2550/2016    </w:t>
            </w:r>
            <w:r>
              <w:rPr>
                <w:rFonts w:ascii="Archivo" w:cs="Archivo" w:eastAsia="Archivo" w:hAnsi="Archivo"/>
                <w:b/>
                <w:bCs/>
                <w:sz w:val="19"/>
                <w:szCs w:val="19"/>
              </w:rPr>
              <w:t xml:space="preserve">ECLI: </w:t>
            </w:r>
            <w:r>
              <w:rPr>
                <w:rFonts w:ascii="Archivo" w:cs="Archivo" w:eastAsia="Archivo" w:hAnsi="Archivo"/>
                <w:sz w:val="19"/>
                <w:szCs w:val="19"/>
              </w:rPr>
              <w:t xml:space="preserve">ES:TS:2016:2550</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control de transparencia cualificada/abusividad queda reservado a los adherentes consumidores.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14 de septiembre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4056/2016    </w:t>
            </w:r>
            <w:r>
              <w:rPr>
                <w:rFonts w:ascii="Archivo" w:cs="Archivo" w:eastAsia="Archivo" w:hAnsi="Archivo"/>
                <w:b/>
                <w:bCs/>
                <w:sz w:val="19"/>
                <w:szCs w:val="19"/>
              </w:rPr>
              <w:t xml:space="preserve">ECLI: </w:t>
            </w:r>
            <w:r>
              <w:rPr>
                <w:rFonts w:ascii="Archivo" w:cs="Archivo" w:eastAsia="Archivo" w:hAnsi="Archivo"/>
                <w:sz w:val="19"/>
                <w:szCs w:val="19"/>
              </w:rPr>
              <w:t xml:space="preserve">ES:TS:2016:4056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Eduardo Baena Ruiz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impugnación del dictamen pericial del art. 38 LCS debe ser expresa y dentro de plazo.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 de marzo de 2017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732/2017    </w:t>
            </w:r>
            <w:r>
              <w:rPr>
                <w:rFonts w:ascii="Archivo" w:cs="Archivo" w:eastAsia="Archivo" w:hAnsi="Archivo"/>
                <w:b/>
                <w:bCs/>
                <w:sz w:val="19"/>
                <w:szCs w:val="19"/>
              </w:rPr>
              <w:t xml:space="preserve">ECLI: </w:t>
            </w:r>
            <w:r>
              <w:rPr>
                <w:rFonts w:ascii="Archivo" w:cs="Archivo" w:eastAsia="Archivo" w:hAnsi="Archivo"/>
                <w:sz w:val="19"/>
                <w:szCs w:val="19"/>
              </w:rPr>
              <w:t xml:space="preserve">ES:TS:2017:732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Orduña Moreno</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Principio de transparencia y cláusulas introductorias con «insólito plus» restrictivo.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6 de julio de 2020</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2233/2020    </w:t>
            </w:r>
            <w:r>
              <w:rPr>
                <w:rFonts w:ascii="Archivo" w:cs="Archivo" w:eastAsia="Archivo" w:hAnsi="Archivo"/>
                <w:b/>
                <w:bCs/>
                <w:sz w:val="19"/>
                <w:szCs w:val="19"/>
              </w:rPr>
              <w:t xml:space="preserve">ECLI: </w:t>
            </w:r>
            <w:r>
              <w:rPr>
                <w:rFonts w:ascii="Archivo" w:cs="Archivo" w:eastAsia="Archivo" w:hAnsi="Archivo"/>
                <w:sz w:val="19"/>
                <w:szCs w:val="19"/>
              </w:rPr>
              <w:t xml:space="preserve">ES:TS:2020:2233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Cláusula de valoración por «valor real» en el seguro multirriesgo de hogar, limitativa e inoponible.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24 de febrero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584/2021    </w:t>
            </w:r>
            <w:r>
              <w:rPr>
                <w:rFonts w:ascii="Archivo" w:cs="Archivo" w:eastAsia="Archivo" w:hAnsi="Archivo"/>
                <w:b/>
                <w:bCs/>
                <w:sz w:val="19"/>
                <w:szCs w:val="19"/>
              </w:rPr>
              <w:t xml:space="preserve">ECLI: </w:t>
            </w:r>
            <w:r>
              <w:rPr>
                <w:rFonts w:ascii="Archivo" w:cs="Archivo" w:eastAsia="Archivo" w:hAnsi="Archivo"/>
                <w:sz w:val="19"/>
                <w:szCs w:val="19"/>
              </w:rPr>
              <w:t xml:space="preserve">ES:TS:2021:584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de los Ángeles Parra Lucán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Límite cuantitativo insuficiente en la cobertura de defensa jurídica: limitativo o lesivo.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22 de marzo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1081/2021    </w:t>
            </w:r>
            <w:r>
              <w:rPr>
                <w:rFonts w:ascii="Archivo" w:cs="Archivo" w:eastAsia="Archivo" w:hAnsi="Archivo"/>
                <w:b/>
                <w:bCs/>
                <w:sz w:val="19"/>
                <w:szCs w:val="19"/>
              </w:rPr>
              <w:t xml:space="preserve">ECLI: </w:t>
            </w:r>
            <w:r>
              <w:rPr>
                <w:rFonts w:ascii="Archivo" w:cs="Archivo" w:eastAsia="Archivo" w:hAnsi="Archivo"/>
                <w:sz w:val="19"/>
                <w:szCs w:val="19"/>
              </w:rPr>
              <w:t xml:space="preserve">ES:TS:2021:1081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Arroyo Fiestas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Multirriesgo familia-hogar: el umbral de «lluvia anormal» de 40 litros por metro cuadrado y hora es cláusula limitativa inoponible si no se destaca ni se acepta expresamente.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21 de julio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3162/2021    </w:t>
            </w:r>
            <w:r>
              <w:rPr>
                <w:rFonts w:ascii="Archivo" w:cs="Archivo" w:eastAsia="Archivo" w:hAnsi="Archivo"/>
                <w:b/>
                <w:bCs/>
                <w:sz w:val="19"/>
                <w:szCs w:val="19"/>
              </w:rPr>
              <w:t xml:space="preserve">ECLI: </w:t>
            </w:r>
            <w:r>
              <w:rPr>
                <w:rFonts w:ascii="Archivo" w:cs="Archivo" w:eastAsia="Archivo" w:hAnsi="Archivo"/>
                <w:sz w:val="19"/>
                <w:szCs w:val="19"/>
              </w:rPr>
              <w:t xml:space="preserve">ES:TS:2021:3162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Acción subrogatoria del seguro de comunidad: el comunero es asegurado, y no tercero, si la póliza así lo prevé.</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26 de julio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3193/2021    </w:t>
            </w:r>
            <w:r>
              <w:rPr>
                <w:rFonts w:ascii="Archivo" w:cs="Archivo" w:eastAsia="Archivo" w:hAnsi="Archivo"/>
                <w:b/>
                <w:bCs/>
                <w:sz w:val="19"/>
                <w:szCs w:val="19"/>
              </w:rPr>
              <w:t xml:space="preserve">ECLI: </w:t>
            </w:r>
            <w:r>
              <w:rPr>
                <w:rFonts w:ascii="Archivo" w:cs="Archivo" w:eastAsia="Archivo" w:hAnsi="Archivo"/>
                <w:sz w:val="19"/>
                <w:szCs w:val="19"/>
              </w:rPr>
              <w:t xml:space="preserve">ES:TS:2021:3193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dictamen pericial del art. 38 LCS solo vincula en la liquidación del daño, no en la cobertura.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13 de diciembre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4579/2021    </w:t>
            </w:r>
            <w:r>
              <w:rPr>
                <w:rFonts w:ascii="Archivo" w:cs="Archivo" w:eastAsia="Archivo" w:hAnsi="Archivo"/>
                <w:b/>
                <w:bCs/>
                <w:sz w:val="19"/>
                <w:szCs w:val="19"/>
              </w:rPr>
              <w:t xml:space="preserve">ECLI: </w:t>
            </w:r>
            <w:r>
              <w:rPr>
                <w:rFonts w:ascii="Archivo" w:cs="Archivo" w:eastAsia="Archivo" w:hAnsi="Archivo"/>
                <w:sz w:val="19"/>
                <w:szCs w:val="19"/>
              </w:rPr>
              <w:t xml:space="preserve">ES:TS:2021:4579</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de los Ángeles Parra Lucán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Regla general: el comunero es tercero responsable, no asegurado, a efectos de la acción subrogatoria del art. 43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15 de febrero de 2022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517/2022    </w:t>
            </w:r>
            <w:r>
              <w:rPr>
                <w:rFonts w:ascii="Archivo" w:cs="Archivo" w:eastAsia="Archivo" w:hAnsi="Archivo"/>
                <w:b/>
                <w:bCs/>
                <w:sz w:val="19"/>
                <w:szCs w:val="19"/>
              </w:rPr>
              <w:t xml:space="preserve">ECLI: </w:t>
            </w:r>
            <w:r>
              <w:rPr>
                <w:rFonts w:ascii="Archivo" w:cs="Archivo" w:eastAsia="Archivo" w:hAnsi="Archivo"/>
                <w:sz w:val="19"/>
                <w:szCs w:val="19"/>
              </w:rPr>
              <w:t xml:space="preserve">ES:TS:2022:517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Cómputo autónomo del plazo de prescripción del art. 23 LCS frente a un proceso penal paralelo.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5 de julio de 2022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2904/2022    </w:t>
            </w:r>
            <w:r>
              <w:rPr>
                <w:rFonts w:ascii="Archivo" w:cs="Archivo" w:eastAsia="Archivo" w:hAnsi="Archivo"/>
                <w:b/>
                <w:bCs/>
                <w:sz w:val="19"/>
                <w:szCs w:val="19"/>
              </w:rPr>
              <w:t xml:space="preserve">ECLI: </w:t>
            </w:r>
            <w:r>
              <w:rPr>
                <w:rFonts w:ascii="Archivo" w:cs="Archivo" w:eastAsia="Archivo" w:hAnsi="Archivo"/>
                <w:sz w:val="19"/>
                <w:szCs w:val="19"/>
              </w:rPr>
              <w:t xml:space="preserve">ES:TS:2022:2904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Confirma y sistematiza la regla general de la acción subrogatoria contra el comunero causante del incendio.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 de marzo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671/2023    </w:t>
            </w:r>
            <w:r>
              <w:rPr>
                <w:rFonts w:ascii="Archivo" w:cs="Archivo" w:eastAsia="Archivo" w:hAnsi="Archivo"/>
                <w:b/>
                <w:bCs/>
                <w:sz w:val="19"/>
                <w:szCs w:val="19"/>
              </w:rPr>
              <w:t xml:space="preserve">ECLI: </w:t>
            </w:r>
            <w:r>
              <w:rPr>
                <w:rFonts w:ascii="Archivo" w:cs="Archivo" w:eastAsia="Archivo" w:hAnsi="Archivo"/>
                <w:sz w:val="19"/>
                <w:szCs w:val="19"/>
              </w:rPr>
              <w:t xml:space="preserve">ES:TS:2023:671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interés asegurable se acredita con la titularidad dominical del bien asegurado.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24 de abril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1701/2023    </w:t>
            </w:r>
            <w:r>
              <w:rPr>
                <w:rFonts w:ascii="Archivo" w:cs="Archivo" w:eastAsia="Archivo" w:hAnsi="Archivo"/>
                <w:b/>
                <w:bCs/>
                <w:sz w:val="19"/>
                <w:szCs w:val="19"/>
              </w:rPr>
              <w:t xml:space="preserve">ECLI: </w:t>
            </w:r>
            <w:r>
              <w:rPr>
                <w:rFonts w:ascii="Archivo" w:cs="Archivo" w:eastAsia="Archivo" w:hAnsi="Archivo"/>
                <w:sz w:val="19"/>
                <w:szCs w:val="19"/>
              </w:rPr>
              <w:t xml:space="preserve">ES:TS:2023:1701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Falta de entrega de condiciones generales e interpretación contra proferentem.</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20 de abril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1544/2023    </w:t>
            </w:r>
            <w:r>
              <w:rPr>
                <w:rFonts w:ascii="Archivo" w:cs="Archivo" w:eastAsia="Archivo" w:hAnsi="Archivo"/>
                <w:b/>
                <w:bCs/>
                <w:sz w:val="19"/>
                <w:szCs w:val="19"/>
              </w:rPr>
              <w:t xml:space="preserve">ECLI: </w:t>
            </w:r>
            <w:r>
              <w:rPr>
                <w:rFonts w:ascii="Archivo" w:cs="Archivo" w:eastAsia="Archivo" w:hAnsi="Archivo"/>
                <w:sz w:val="19"/>
                <w:szCs w:val="19"/>
              </w:rPr>
              <w:t xml:space="preserve">ES:TS:2023:1544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Inoponibilidad al tercero perjudicado de la mala fe del asegurado (acción directa, art. 76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13</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27 de septiembre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3983/2023    </w:t>
            </w:r>
            <w:r>
              <w:rPr>
                <w:rFonts w:ascii="Archivo" w:cs="Archivo" w:eastAsia="Archivo" w:hAnsi="Archivo"/>
                <w:b/>
                <w:bCs/>
                <w:sz w:val="19"/>
                <w:szCs w:val="19"/>
              </w:rPr>
              <w:t xml:space="preserve">ECLI: </w:t>
            </w:r>
            <w:r>
              <w:rPr>
                <w:rFonts w:ascii="Archivo" w:cs="Archivo" w:eastAsia="Archivo" w:hAnsi="Archivo"/>
                <w:sz w:val="19"/>
                <w:szCs w:val="19"/>
              </w:rPr>
              <w:t xml:space="preserve">ES:TS:2023:3983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pendencia de un proceso judicial no es, por sí sola, causa justificada de exoneración de intereses.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 de octubre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3996/2023    </w:t>
            </w:r>
            <w:r>
              <w:rPr>
                <w:rFonts w:ascii="Archivo" w:cs="Archivo" w:eastAsia="Archivo" w:hAnsi="Archivo"/>
                <w:b/>
                <w:bCs/>
                <w:sz w:val="19"/>
                <w:szCs w:val="19"/>
              </w:rPr>
              <w:t xml:space="preserve">ECLI: </w:t>
            </w:r>
            <w:r>
              <w:rPr>
                <w:rFonts w:ascii="Archivo" w:cs="Archivo" w:eastAsia="Archivo" w:hAnsi="Archivo"/>
                <w:sz w:val="19"/>
                <w:szCs w:val="19"/>
              </w:rPr>
              <w:t xml:space="preserve">ES:TS:2023:3996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Síntesis de la doctrina sobre cláusulas delimitadoras y limitativas del art. 3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25 de marzo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1227/2025    </w:t>
            </w:r>
            <w:r>
              <w:rPr>
                <w:rFonts w:ascii="Archivo" w:cs="Archivo" w:eastAsia="Archivo" w:hAnsi="Archivo"/>
                <w:b/>
                <w:bCs/>
                <w:sz w:val="19"/>
                <w:szCs w:val="19"/>
              </w:rPr>
              <w:t xml:space="preserve">ECLI: </w:t>
            </w:r>
            <w:r>
              <w:rPr>
                <w:rFonts w:ascii="Archivo" w:cs="Archivo" w:eastAsia="Archivo" w:hAnsi="Archivo"/>
                <w:sz w:val="19"/>
                <w:szCs w:val="19"/>
              </w:rPr>
              <w:t xml:space="preserve">ES:TS:2025:1227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Concurrencia de seguros entre propietario-arrendador y arrendatario: exige identidad de interés.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21 de abril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1751/2025    </w:t>
            </w:r>
            <w:r>
              <w:rPr>
                <w:rFonts w:ascii="Archivo" w:cs="Archivo" w:eastAsia="Archivo" w:hAnsi="Archivo"/>
                <w:b/>
                <w:bCs/>
                <w:sz w:val="19"/>
                <w:szCs w:val="19"/>
              </w:rPr>
              <w:t xml:space="preserve">ECLI: </w:t>
            </w:r>
            <w:r>
              <w:rPr>
                <w:rFonts w:ascii="Archivo" w:cs="Archivo" w:eastAsia="Archivo" w:hAnsi="Archivo"/>
                <w:sz w:val="19"/>
                <w:szCs w:val="19"/>
              </w:rPr>
              <w:t xml:space="preserve">ES:TS:2025:1751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Antonio García Martínez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Reitera el criterio de la cláusula sorpresiva como indicio de limitatividad.</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15 de julio de 2026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3443/2026    </w:t>
            </w:r>
            <w:r>
              <w:rPr>
                <w:rFonts w:ascii="Archivo" w:cs="Archivo" w:eastAsia="Archivo" w:hAnsi="Archivo"/>
                <w:b/>
                <w:bCs/>
                <w:sz w:val="19"/>
                <w:szCs w:val="19"/>
              </w:rPr>
              <w:t xml:space="preserve">ECLI: </w:t>
            </w:r>
            <w:r>
              <w:rPr>
                <w:rFonts w:ascii="Archivo" w:cs="Archivo" w:eastAsia="Archivo" w:hAnsi="Archivo"/>
                <w:sz w:val="19"/>
                <w:szCs w:val="19"/>
              </w:rPr>
              <w:t xml:space="preserve">ES:TS:2026:3443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Manuel Almenar Belenguer</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Alcance de la «malquerencia de extraños» del art. 48 LCS: excluye a quien tiene vinculación con el asegurado.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7</w:t>
            </w:r>
          </w:p>
        </w:tc>
      </w:tr>
    </w:tbl>
    <w:p>
      <w:pPr>
        <w:spacing w:after="160"/>
      </w:pPr>
    </w:p>
    <w:p>
      <w:pPr>
        <w:pStyle w:val="Heading2"/>
        <w:spacing w:after="160" w:before="400"/>
      </w:pPr>
      <w:r>
        <w:rPr>
          <w:rFonts w:ascii="Fraunces" w:cs="Fraunces" w:eastAsia="Fraunces" w:hAnsi="Fraunces"/>
          <w:b/>
          <w:bCs/>
          <w:color w:val="0A2540"/>
          <w:sz w:val="24"/>
          <w:szCs w:val="24"/>
        </w:rPr>
        <w:t xml:space="preserve">B. Sentencias de Audiencias Provinciales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16.ª), de 11 de enero de 2017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5946/2017    </w:t>
            </w:r>
            <w:r>
              <w:rPr>
                <w:rFonts w:ascii="Archivo" w:cs="Archivo" w:eastAsia="Archivo" w:hAnsi="Archivo"/>
                <w:b/>
                <w:bCs/>
                <w:sz w:val="19"/>
                <w:szCs w:val="19"/>
              </w:rPr>
              <w:t xml:space="preserve">ECLI: </w:t>
            </w:r>
            <w:r>
              <w:rPr>
                <w:rFonts w:ascii="Archivo" w:cs="Archivo" w:eastAsia="Archivo" w:hAnsi="Archivo"/>
                <w:sz w:val="19"/>
                <w:szCs w:val="19"/>
              </w:rPr>
              <w:t xml:space="preserve">ES:APB:2017:5946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Teresa Martín de la Sierra García-Fogeda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negligencia grave del art. 52.1.ª LCS exige abandono o precariedad en la custodia del bien.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9</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1.ª), de 29 de junio de 2018</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6782/2018    </w:t>
            </w:r>
            <w:r>
              <w:rPr>
                <w:rFonts w:ascii="Archivo" w:cs="Archivo" w:eastAsia="Archivo" w:hAnsi="Archivo"/>
                <w:b/>
                <w:bCs/>
                <w:sz w:val="19"/>
                <w:szCs w:val="19"/>
              </w:rPr>
              <w:t xml:space="preserve">ECLI: </w:t>
            </w:r>
            <w:r>
              <w:rPr>
                <w:rFonts w:ascii="Archivo" w:cs="Archivo" w:eastAsia="Archivo" w:hAnsi="Archivo"/>
                <w:sz w:val="19"/>
                <w:szCs w:val="19"/>
              </w:rPr>
              <w:t xml:space="preserve">ES:APB:2018:6782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Federico Holgado Madruga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exclusión por falta de mantenimiento decae si el daño obedece a un defecto constructivo de origen.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Alicante (Sección 5.ª), de 12 de mayo de 2020</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A 614/2020    </w:t>
            </w:r>
            <w:r>
              <w:rPr>
                <w:rFonts w:ascii="Archivo" w:cs="Archivo" w:eastAsia="Archivo" w:hAnsi="Archivo"/>
                <w:b/>
                <w:bCs/>
                <w:sz w:val="19"/>
                <w:szCs w:val="19"/>
              </w:rPr>
              <w:t xml:space="preserve">ECLI: </w:t>
            </w:r>
            <w:r>
              <w:rPr>
                <w:rFonts w:ascii="Archivo" w:cs="Archivo" w:eastAsia="Archivo" w:hAnsi="Archivo"/>
                <w:sz w:val="19"/>
                <w:szCs w:val="19"/>
              </w:rPr>
              <w:t xml:space="preserve">ES:APA:2020:614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Edmundo Tomás García Ruiz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Criterio de reposición uniforme para el daño estético cuando no existen materiales idénticos en el mercado.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Valencia (Sección 5.ª), de 30 de junio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V 2845/2021    </w:t>
            </w:r>
            <w:r>
              <w:rPr>
                <w:rFonts w:ascii="Archivo" w:cs="Archivo" w:eastAsia="Archivo" w:hAnsi="Archivo"/>
                <w:b/>
                <w:bCs/>
                <w:sz w:val="19"/>
                <w:szCs w:val="19"/>
              </w:rPr>
              <w:t xml:space="preserve">ECLI: </w:t>
            </w:r>
            <w:r>
              <w:rPr>
                <w:rFonts w:ascii="Archivo" w:cs="Archivo" w:eastAsia="Archivo" w:hAnsi="Archivo"/>
                <w:sz w:val="19"/>
                <w:szCs w:val="19"/>
              </w:rPr>
              <w:t xml:space="preserve">ES:APV:2021:2845</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Luis Viguer Soler</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exclusión por falta de mantenimiento, clara y destacada, es delimitadora y no sorpresiva.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Jaén (Sección 1.ª), de 15 de septiembre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J 1184/2021    </w:t>
            </w:r>
            <w:r>
              <w:rPr>
                <w:rFonts w:ascii="Archivo" w:cs="Archivo" w:eastAsia="Archivo" w:hAnsi="Archivo"/>
                <w:b/>
                <w:bCs/>
                <w:sz w:val="19"/>
                <w:szCs w:val="19"/>
              </w:rPr>
              <w:t xml:space="preserve">ECLI: </w:t>
            </w:r>
            <w:r>
              <w:rPr>
                <w:rFonts w:ascii="Archivo" w:cs="Archivo" w:eastAsia="Archivo" w:hAnsi="Archivo"/>
                <w:sz w:val="19"/>
                <w:szCs w:val="19"/>
              </w:rPr>
              <w:t xml:space="preserve">ES:APJ:2021:1184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Antonio Carrascosa González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Distinción entre la defensa jurídica propia (activa o pasiva) y la dirección jurídica accesoria a la RC (solo pasiva).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14</w:t>
            </w:r>
          </w:p>
        </w:tc>
      </w:tr>
    </w:tbl>
    <w:p>
      <w:pPr>
        <w:spacing w:after="160"/>
      </w:pPr>
    </w:p>
    <w:p>
      <w:pPr>
        <w:pStyle w:val="Heading2"/>
        <w:spacing w:after="160" w:before="400"/>
      </w:pPr>
      <w:r>
        <w:rPr>
          <w:rFonts w:ascii="Fraunces" w:cs="Fraunces" w:eastAsia="Fraunces" w:hAnsi="Fraunces"/>
          <w:b/>
          <w:bCs/>
          <w:color w:val="0A2540"/>
          <w:sz w:val="24"/>
          <w:szCs w:val="24"/>
        </w:rPr>
        <w:t xml:space="preserve">C. Precedentes citados de segunda mano</w:t>
      </w:r>
    </w:p>
    <w:p>
      <w:pPr>
        <w:spacing w:after="180" w:line="300"/>
        <w:jc w:val="both"/>
      </w:pPr>
      <w:r>
        <w:rPr>
          <w:rFonts w:ascii="Archivo" w:cs="Archivo" w:eastAsia="Archivo" w:hAnsi="Archivo"/>
          <w:sz w:val="21"/>
          <w:szCs w:val="21"/>
        </w:rPr>
        <w:t xml:space="preserve">Las resoluciones anteriores citan, a su vez, otros precedentes de la propia Sala Primera que se reproducen entre comillas dentro de los pasajes transcritos, pero que no han sido objeto de verificación independiente contra su ROJ y ECLI propios en esta obra (por ejemplo, la STS del Pleno 853/2006, de 11 de septiembre, sobre cláusulas delimitadoras y limitativas, o las SSTS 273/2016, 541/2016, 147/2017, 58/2019, 661/2019, 87/2021, 498/2016 y 31/2020, citadas dentro de los pasajes reproducidos en los capítulos 1, 4 y 5). A esta relación se añaden, tras la verificación de la STS 3754/2015 (Pleno), las SSTS de 1 de octubre de 2010 (RC 2273/2006), de 19 de julio de 2012 (RC 878/2010), de 15 de julio de 2008 (RC 1839/2001), de 17 de octubre de 2007 (RC 3398/2000) y de 22 de diciembre de 2008 (RC 1555/2003), citadas en el fundamento jurídico de dicha sentencia y reseñadas en el capítulo 5 únicamente por referencia a ella; y, tras la verificación de la STS 3162/2021, las SSTS 273/2012, de 3 de mayo, 432/2013, de 12 de junio, y 699/2013, de 19 de noviembre, sobre los presupuestos de la acción subrogatoria del art. 43 LCS, citadas en el capítulo 15 por referencia a la sentencia verificada que las reproduce. Se consignan por su número y fecha tal como aparecen citadas en la resolución verificada que las menciona, y su cita debe contrastarse de forma independiente antes de su empleo autónomo en un escrito profesional.</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Todas las resoluciones de este anexo son de acceso público y verificable en el Centro de Documentación Judicial (CENDOJ) del Consejo General del Poder Judicial, mediante su ROJ o su ECLI.</w:t>
      </w:r>
    </w:p>
    <w:p>
      <w:pPr>
        <w:pStyle w:val="Heading1"/>
        <w:pageBreakBefore/>
        <w:spacing w:after="300"/>
      </w:pPr>
      <w:r>
        <w:rPr>
          <w:rFonts w:ascii="Fraunces" w:cs="Fraunces" w:eastAsia="Fraunces" w:hAnsi="Fraunces"/>
          <w:b/>
          <w:bCs/>
          <w:color w:val="0A2540"/>
          <w:sz w:val="30"/>
          <w:szCs w:val="30"/>
        </w:rPr>
        <w:t xml:space="preserve">Anexo IV. Modelos y formularios</w:t>
      </w:r>
    </w:p>
    <w:p>
      <w:pPr>
        <w:spacing w:after="180" w:line="300"/>
        <w:jc w:val="both"/>
      </w:pPr>
      <w:r>
        <w:rPr>
          <w:rFonts w:ascii="Archivo" w:cs="Archivo" w:eastAsia="Archivo" w:hAnsi="Archivo"/>
          <w:sz w:val="21"/>
          <w:szCs w:val="21"/>
        </w:rPr>
        <w:t xml:space="preserve">Se recogen a continuación ocho modelos de escritos de uso frecuente en la práctica del seguro de hogar, ordenados según la secuencia habitual de una reclamación: de la vía extrajudicial (burofax de reclamación previa, acreditación del intento de negociación MASC, escrito ante el Servicio de Atención al Cliente, escrito de designación e impugnación pericial) a la vía judicial (demanda de juicio verbal, contestación a la demanda y reclamación de intereses del art. 20 LCS) y a la vía administrativa de supervisión (queja ante la DGSFP).</w:t>
      </w:r>
    </w:p>
    <w:p>
      <w:pPr>
        <w:spacing w:after="180" w:line="300"/>
        <w:jc w:val="both"/>
      </w:pPr>
      <w:r>
        <w:rPr>
          <w:rFonts w:ascii="Archivo" w:cs="Archivo" w:eastAsia="Archivo" w:hAnsi="Archivo"/>
          <w:sz w:val="21"/>
          <w:szCs w:val="21"/>
        </w:rPr>
        <w:t xml:space="preserve">Los modelos se ofrecen como plantilla de trabajo y no como escrito cerrado: los datos entre corchetes deben sustituirse por los del caso concreto, y los fundamentos jurídicos deben completarse y adaptarse a las circunstancias fácticas y a la póliza efectivamente contratada. Los preceptos legales citados en cada modelo se corresponden con el texto consolidado vigente en la fecha de cierre de este anexo. Cada modelo remite, entre paréntesis, al capítulo de la obra donde se desarrolla con detalle su fundamento jurídico.</w:t>
      </w:r>
    </w:p>
    <w:p>
      <w:pPr>
        <w:spacing w:after="200"/>
      </w:pPr>
    </w:p>
    <w:p>
      <w:pPr>
        <w:pStyle w:val="Heading2"/>
        <w:spacing w:after="160" w:before="400"/>
      </w:pPr>
      <w:r>
        <w:rPr>
          <w:rFonts w:ascii="Fraunces" w:cs="Fraunces" w:eastAsia="Fraunces" w:hAnsi="Fraunces"/>
          <w:b/>
          <w:bCs/>
          <w:color w:val="0A2540"/>
          <w:sz w:val="24"/>
          <w:szCs w:val="24"/>
        </w:rPr>
        <w:t xml:space="preserve">Modelo 1. Burofax de reclamación previa a la aseguradora</w:t>
      </w:r>
    </w:p>
    <w:p>
      <w:pPr>
        <w:spacing w:after="180" w:line="300"/>
        <w:jc w:val="both"/>
      </w:pPr>
      <w:r>
        <w:rPr>
          <w:rFonts w:ascii="Archivo" w:cs="Archivo" w:eastAsia="Archivo" w:hAnsi="Archivo"/>
          <w:i/>
          <w:iCs/>
          <w:sz w:val="21"/>
          <w:szCs w:val="21"/>
        </w:rPr>
        <w:t xml:space="preserve">Escrito extrajudicial dirigido a la aseguradora para reclamar el pago de la indemnización, dejar constancia fehaciente de la reclamación e interrumpir el plazo de prescripción de dos años del art. 23 LCS, conforme al art. 1973 CC (capítulo 22). Es, además, presupuesto habitual —y, desde la Ley Orgánica 1/2025, elemento acreditativo de la actividad negociadora previa exigida como requisito de procedibilidad (capítulo 23, y Modelo 2 de este mismo anexo)— antes de acudir a la vía judicial.</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PREVIA DE INDEMNIZACIÓN DERIVADA DE CONTRATO DE SEGURO</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póliza n.º: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siniestro / expediente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Muy Sres. míos:</w:t>
            </w:r>
          </w:p>
          <w:p>
            <w:pPr>
              <w:spacing w:after="160" w:line="300"/>
              <w:ind w:firstLine="400"/>
              <w:jc w:val="both"/>
            </w:pPr>
            <w:r>
              <w:rPr>
                <w:rFonts w:ascii="Archivo" w:cs="Archivo" w:eastAsia="Archivo" w:hAnsi="Archivo"/>
                <w:sz w:val="20"/>
                <w:szCs w:val="20"/>
              </w:rPr>
              <w:t xml:space="preserve">Por medio de la presente, en mi condición de </w:t>
            </w:r>
            <w:r>
              <w:rPr>
                <w:rFonts w:ascii="Archivo" w:cs="Archivo" w:eastAsia="Archivo" w:hAnsi="Archivo"/>
                <w:b/>
                <w:bCs/>
                <w:sz w:val="21"/>
                <w:szCs w:val="21"/>
              </w:rPr>
              <w:t xml:space="preserve">[tomador / asegurado]</w:t>
            </w:r>
            <w:r>
              <w:rPr>
                <w:rFonts w:ascii="Archivo" w:cs="Archivo" w:eastAsia="Archivo" w:hAnsi="Archivo"/>
                <w:sz w:val="20"/>
                <w:szCs w:val="20"/>
              </w:rPr>
              <w:t xml:space="preserve"> de la póliza de seguro multirriesgo de hogar arriba referenciada, suscrita con esa aseguradora con efectos desde el [fecha], me dirijo a Vds. para formular reclamación previa en relación con el siniestro ocurrido el día [fecha del siniestro], consistente en [breve descripción del siniestro: daños por agua / incendio / robo / responsabilidad civil], y que fue comunicado a esa compañía el día [fecha de comunicación] mediante [parte de siniestro / llamada telefónica / correo electrónico], quedando registrado con el número de expediente arriba indicado.</w:t>
            </w:r>
          </w:p>
          <w:p>
            <w:pPr>
              <w:spacing w:after="160" w:line="300"/>
              <w:ind w:firstLine="400"/>
              <w:jc w:val="both"/>
            </w:pPr>
            <w:r>
              <w:rPr>
                <w:rFonts w:ascii="Archivo" w:cs="Archivo" w:eastAsia="Archivo" w:hAnsi="Archivo"/>
                <w:sz w:val="20"/>
                <w:szCs w:val="20"/>
              </w:rPr>
              <w:t xml:space="preserve">PRIMERO.- Que, pese al tiempo transcurrido desde la comunicación del siniestro, esa aseguradora [no ha emitido pronunciamiento alguno sobre la cobertura / ha denegado la cobertura mediante comunicación de fecha (...) por el motivo de (...) / ha ofrecido una indemnización que se considera insuficiente por importe de (...) euros, frente a los daños reales tasados en (...) euros].</w:t>
            </w:r>
          </w:p>
          <w:p>
            <w:pPr>
              <w:spacing w:after="160" w:line="300"/>
              <w:ind w:firstLine="400"/>
              <w:jc w:val="both"/>
            </w:pPr>
            <w:r>
              <w:rPr>
                <w:rFonts w:ascii="Archivo" w:cs="Archivo" w:eastAsia="Archivo" w:hAnsi="Archivo"/>
                <w:sz w:val="20"/>
                <w:szCs w:val="20"/>
              </w:rPr>
              <w:t xml:space="preserve">SEGUNDO.- Que, de conformidad con el art. 1 de la Ley 50/1980, de Contrato de Seguro, la aseguradora se obliga, mediante el cobro de la prima, a indemnizar el daño producido al asegurado dentro de los límites pactados en la póliza, sin que conste causa de exclusión de cobertura aplicable al presente siniestro conforme a las condiciones generales y particulares suscritas.</w:t>
            </w:r>
          </w:p>
          <w:p>
            <w:pPr>
              <w:spacing w:after="160" w:line="300"/>
              <w:ind w:firstLine="400"/>
              <w:jc w:val="both"/>
            </w:pPr>
            <w:r>
              <w:rPr>
                <w:rFonts w:ascii="Archivo" w:cs="Archivo" w:eastAsia="Archivo" w:hAnsi="Archivo"/>
                <w:sz w:val="20"/>
                <w:szCs w:val="20"/>
              </w:rPr>
              <w:t xml:space="preserve">TERCERO.- Que, conforme al art. 20 LCS, la aseguradora incurre en mora si no satisface la indemnización, o el importe mínimo de lo que pueda deber, en los plazos legalmente establecidos, lo que determina el devengo de los intereses moratorios previstos en dicho precepto desde la fecha del siniestro.</w:t>
            </w:r>
          </w:p>
          <w:p>
            <w:pPr>
              <w:spacing w:after="160" w:line="300"/>
              <w:ind w:firstLine="400"/>
              <w:jc w:val="both"/>
            </w:pPr>
            <w:r>
              <w:rPr>
                <w:rFonts w:ascii="Archivo" w:cs="Archivo" w:eastAsia="Archivo" w:hAnsi="Archivo"/>
                <w:sz w:val="20"/>
                <w:szCs w:val="20"/>
              </w:rPr>
              <w:t xml:space="preserve">Por todo lo expuesto, formalmente:</w:t>
            </w:r>
          </w:p>
          <w:p>
            <w:pPr>
              <w:spacing w:after="160" w:line="300"/>
              <w:ind w:firstLine="400"/>
              <w:jc w:val="both"/>
            </w:pPr>
            <w:r>
              <w:rPr>
                <w:rFonts w:ascii="Archivo" w:cs="Archivo" w:eastAsia="Archivo" w:hAnsi="Archivo"/>
                <w:sz w:val="20"/>
                <w:szCs w:val="20"/>
              </w:rPr>
              <w:t xml:space="preserve">REQUIERO a esa aseguradora para que, en el plazo de DIEZ (10) DÍAS naturales desde la recepción de la presente, proceda al abono de la indemnización que corresponda por el siniestro referenciado, por importe de [cantidad] euros, más los intereses del art. 20 LCS que resulten de aplicación, con la advertencia de que, transcurrido dicho plazo sin haber obtenido respuesta satisfactoria, me veré obligado a ejercitar las acciones legales que en Derecho me asisten, con expresa reserva de acciones y sin perjuicio de cuantos daños y perjuicios adicionales se deriven de la demora.</w:t>
            </w:r>
          </w:p>
          <w:p>
            <w:pPr>
              <w:spacing w:after="160" w:line="300"/>
              <w:ind w:firstLine="400"/>
              <w:jc w:val="both"/>
            </w:pPr>
            <w:r>
              <w:rPr>
                <w:rFonts w:ascii="Archivo" w:cs="Archivo" w:eastAsia="Archivo" w:hAnsi="Archivo"/>
                <w:sz w:val="20"/>
                <w:szCs w:val="20"/>
              </w:rPr>
              <w:t xml:space="preserve">Esta comunicación se realiza, además, a los efectos previstos en el art. 1973 del Código Civil, en orden a la interrupción del plazo de prescripción de la acción derivada del contrato de seguro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2. Escrito de acreditación de la actividad negociadora previa (MASC)</w:t>
      </w:r>
    </w:p>
    <w:p>
      <w:pPr>
        <w:spacing w:after="180" w:line="300"/>
        <w:jc w:val="both"/>
      </w:pPr>
      <w:r>
        <w:rPr>
          <w:rFonts w:ascii="Archivo" w:cs="Archivo" w:eastAsia="Archivo" w:hAnsi="Archivo"/>
          <w:i/>
          <w:iCs/>
          <w:sz w:val="21"/>
          <w:szCs w:val="21"/>
        </w:rPr>
        <w:t xml:space="preserve">Declaración que documenta el intento de negociación previa a la vía judicial, exigido como requisito de procedibilidad por la Ley Orgánica 1/2025 y por los arts. 264.4.º y 403.2 LEC (capítulo 23). En la práctica del seguro de hogar, el propio burofax de reclamación previa (Modelo 1) y, en su caso, la reclamación ante el SAC (Modelo 3), constituyen ya esa actividad negociadora; este escrito recopila y certifica dicha actuación para su acompañamiento a la demanda, evitando el riesgo de inadmisión del art. 403.2 LEC.</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ACREDITACIÓN DE LA ACTIVIDAD NEGOCIADORA PREVIA A LA VÍA JUDICIAL</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ind w:firstLine="400"/>
              <w:jc w:val="both"/>
            </w:pPr>
            <w:r>
              <w:rPr>
                <w:rFonts w:ascii="Archivo" w:cs="Archivo" w:eastAsia="Archivo" w:hAnsi="Archivo"/>
                <w:sz w:val="20"/>
                <w:szCs w:val="20"/>
              </w:rPr>
              <w:t xml:space="preserve">De conformidad con el art. 399.3, párrafo segundo, y el art. 264.4.º de la Ley de Enjuiciamiento Civil, en su redacción dada por la Ley Orgánica 1/2025, de 2 de enero, de medidas en materia de eficiencia del Servicio Público de Justicia, se hace constar que, con carácter previo al ejercicio de la acción judicial, se ha intentado la actividad negociadora con la entidad aseguradora arriba referenciada, mediante las siguientes actuaciones:</w:t>
            </w:r>
          </w:p>
          <w:p>
            <w:pPr>
              <w:spacing w:after="160" w:line="300"/>
              <w:ind w:firstLine="400"/>
              <w:jc w:val="both"/>
            </w:pPr>
            <w:r>
              <w:rPr>
                <w:rFonts w:ascii="Archivo" w:cs="Archivo" w:eastAsia="Archivo" w:hAnsi="Archivo"/>
                <w:sz w:val="20"/>
                <w:szCs w:val="20"/>
              </w:rPr>
              <w:t xml:space="preserve">PRIMERA.- Burofax de reclamación previa remitido con fecha [fecha], con acuse de recibo de fecha [fecha] (Documento n.º 1), en el que se cuantificó la indemnización reclamada y se requirió su pago en el plazo de diez días.</w:t>
            </w:r>
          </w:p>
          <w:p>
            <w:pPr>
              <w:spacing w:after="160" w:line="300"/>
              <w:ind w:firstLine="400"/>
              <w:jc w:val="both"/>
            </w:pPr>
            <w:r>
              <w:rPr>
                <w:rFonts w:ascii="Archivo" w:cs="Archivo" w:eastAsia="Archivo" w:hAnsi="Archivo"/>
                <w:sz w:val="20"/>
                <w:szCs w:val="20"/>
              </w:rPr>
              <w:t xml:space="preserve">SEGUNDA.- [En su caso] Reclamación presentada ante el Servicio de Atención al Cliente de la entidad con fecha [fecha], con número de expediente [ ] (Documento n.º 2).</w:t>
            </w:r>
          </w:p>
          <w:p>
            <w:pPr>
              <w:spacing w:after="160" w:line="300"/>
              <w:ind w:firstLine="400"/>
              <w:jc w:val="both"/>
            </w:pPr>
            <w:r>
              <w:rPr>
                <w:rFonts w:ascii="Archivo" w:cs="Archivo" w:eastAsia="Archivo" w:hAnsi="Archivo"/>
                <w:sz w:val="20"/>
                <w:szCs w:val="20"/>
              </w:rPr>
              <w:t xml:space="preserve">TERCERA.- Respuesta de la aseguradora de fecha [fecha], por la que [deniega la cobertura / ofrece una indemnización insuficiente de (...) euros / no da respuesta alguna, pese al tiempo transcurrido] (Documento n.º 3).</w:t>
            </w:r>
          </w:p>
          <w:p>
            <w:pPr>
              <w:spacing w:after="160" w:line="300"/>
              <w:ind w:firstLine="400"/>
              <w:jc w:val="both"/>
            </w:pPr>
            <w:r>
              <w:rPr>
                <w:rFonts w:ascii="Archivo" w:cs="Archivo" w:eastAsia="Archivo" w:hAnsi="Archivo"/>
                <w:sz w:val="20"/>
                <w:szCs w:val="20"/>
              </w:rPr>
              <w:t xml:space="preserve">En consecuencia, se deja constancia de que la actividad negociadora previa exigida como requisito de procedibilidad se ha intentado de buena fe, sin haberse alcanzado acuerdo, lo que habilita el ejercicio de la acción judicial correspondiente conforme al art. 403.2 LEC.</w:t>
            </w:r>
          </w:p>
          <w:p>
            <w:pPr>
              <w:spacing w:after="160" w:line="300"/>
              <w:jc w:val="both"/>
            </w:pPr>
            <w:r>
              <w:rPr>
                <w:rFonts w:ascii="Archivo" w:cs="Archivo" w:eastAsia="Archivo" w:hAnsi="Archivo"/>
                <w:sz w:val="20"/>
                <w:szCs w:val="20"/>
              </w:rPr>
              <w:t xml:space="preserve">Alternativa (imposibilidad de negociación): </w:t>
            </w:r>
          </w:p>
          <w:p>
            <w:pPr>
              <w:spacing w:after="160" w:line="300"/>
              <w:ind w:firstLine="400"/>
              <w:jc w:val="both"/>
            </w:pPr>
            <w:r>
              <w:rPr>
                <w:rFonts w:ascii="Archivo" w:cs="Archivo" w:eastAsia="Archivo" w:hAnsi="Archivo"/>
                <w:sz w:val="20"/>
                <w:szCs w:val="20"/>
              </w:rPr>
              <w:t xml:space="preserve">Se hace constar, mediante declaración responsable, la imposibilidad de llevar a cabo la actividad negociadora previa por [desconocerse el domicilio de la aseguradora a efectos de requerimiento / concurrir riesgo de pérdida del derecho por el transcurso del plazo de prescripción sin margen para la negociación / otra causa justificada], conforme habilita el propio art. 264.4.º LEC.</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 o abogado/a con número de colegiado/a]</w:t>
            </w:r>
          </w:p>
        </w:tc>
      </w:tr>
    </w:tbl>
    <w:p>
      <w:pPr>
        <w:pStyle w:val="Heading2"/>
        <w:spacing w:after="160" w:before="400"/>
      </w:pPr>
      <w:r>
        <w:rPr>
          <w:rFonts w:ascii="Fraunces" w:cs="Fraunces" w:eastAsia="Fraunces" w:hAnsi="Fraunces"/>
          <w:b/>
          <w:bCs/>
          <w:color w:val="0A2540"/>
          <w:sz w:val="24"/>
          <w:szCs w:val="24"/>
        </w:rPr>
        <w:t xml:space="preserve">Modelo 3. Reclamación ante el Servicio de Atención al Cliente y el Defensor del Asegurado</w:t>
      </w:r>
    </w:p>
    <w:p>
      <w:pPr>
        <w:spacing w:after="180" w:line="300"/>
        <w:jc w:val="both"/>
      </w:pPr>
      <w:r>
        <w:rPr>
          <w:rFonts w:ascii="Archivo" w:cs="Archivo" w:eastAsia="Archivo" w:hAnsi="Archivo"/>
          <w:i/>
          <w:iCs/>
          <w:sz w:val="21"/>
          <w:szCs w:val="21"/>
        </w:rPr>
        <w:t xml:space="preserve">Escrito con el que se agota la vía interna de reclamación de la aseguradora (art. 30 LOSSEAR y normativa de protección del cliente financiero), requisito habitual antes de acceder a la vía de reclamación ante la DGSFP (Modelo 8 de este anexo) y elemento de prueba de la diligencia del reclamante (capítulo 23).</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EL SERVICIO DE ATENCIÓN AL CLIENTE / DEFENSOR DEL ASEGURADO</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es tomador/asegurado de la póliza arriba referenciada y que con fecha [fecha] sufrió el siniestro consistente en [descripción], comunicado a la compañía el [fecha].</w:t>
            </w:r>
          </w:p>
          <w:p>
            <w:pPr>
              <w:spacing w:after="160" w:line="300"/>
              <w:ind w:firstLine="400"/>
              <w:jc w:val="both"/>
            </w:pPr>
            <w:r>
              <w:rPr>
                <w:rFonts w:ascii="Archivo" w:cs="Archivo" w:eastAsia="Archivo" w:hAnsi="Archivo"/>
                <w:sz w:val="20"/>
                <w:szCs w:val="20"/>
              </w:rPr>
              <w:t xml:space="preserve">SEGUNDO.- Que no está conforme con [la denegación de cobertura / la valoración pericial practicada / el importe ofrecido / la demora en la resolución del expediente], por los motivos que se exponen a continuación: [desarrollo de los motivos de disconformidad, con referencia a las condiciones de la póliza y, en su caso, a la normativa aplicable].</w:t>
            </w:r>
          </w:p>
          <w:p>
            <w:pPr>
              <w:spacing w:after="160" w:line="300"/>
              <w:ind w:firstLine="400"/>
              <w:jc w:val="both"/>
            </w:pPr>
            <w:r>
              <w:rPr>
                <w:rFonts w:ascii="Archivo" w:cs="Archivo" w:eastAsia="Archivo" w:hAnsi="Archivo"/>
                <w:sz w:val="20"/>
                <w:szCs w:val="20"/>
              </w:rPr>
              <w:t xml:space="preserve">TERCERO.- Que se acompañan como documentos justificativos de la presente reclamación: (i) copia de la póliza y condiciones generales y particulares; (ii) parte de comunicación del siniestro; (iii) informe pericial de parte, en su caso; (iv) reclamación previa remitida a la aseguradora y, en su caso, respuesta recibida; (v) [otros documentos relevantes].</w:t>
            </w:r>
          </w:p>
          <w:p>
            <w:pPr>
              <w:spacing w:after="160" w:line="300"/>
              <w:ind w:firstLine="400"/>
              <w:jc w:val="both"/>
            </w:pPr>
            <w:r>
              <w:rPr>
                <w:rFonts w:ascii="Archivo" w:cs="Archivo" w:eastAsia="Archivo" w:hAnsi="Archivo"/>
                <w:sz w:val="20"/>
                <w:szCs w:val="20"/>
              </w:rPr>
              <w:t xml:space="preserve">SOLICITA que, teniendo por presentado este escrito, se admita a trámite la presente reclamación, se dicte resolución motivada en el plazo máximo legalmente establecido y se acuerde [el reconocimiento de la cobertura / el abono de la indemnización solicitada por importe de (...) euros / la revisión del dictamen pericial], con expresa mención de que, de no obtener respuesta o de resultar esta desestimatoria, se acudirá a la Dirección General de Seguros y Fondos de Pensiones y, en su caso, a la vía judicial.</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4. Designación de perito de parte e impugnación del dictamen pericial (art. 38 LCS)</w:t>
      </w:r>
    </w:p>
    <w:p>
      <w:pPr>
        <w:spacing w:after="180" w:line="300"/>
        <w:jc w:val="both"/>
      </w:pPr>
      <w:r>
        <w:rPr>
          <w:rFonts w:ascii="Archivo" w:cs="Archivo" w:eastAsia="Archivo" w:hAnsi="Archivo"/>
          <w:i/>
          <w:iCs/>
          <w:sz w:val="21"/>
          <w:szCs w:val="21"/>
        </w:rPr>
        <w:t xml:space="preserve">Escrito dirigido a la aseguradora para (a) designar perito de parte al inicio del procedimiento de peritación del art. 38 LCS, o (b) impugnar judicialmente el dictamen pericial contradictorio dentro de los plazos del propio art. 38 LCS (treinta días para el asegurador, ciento ochenta para el asegurado, desde la notificación del dictamen). Véase el desarrollo doctrinal y jurisprudencial en el capítulo 18.</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DESIGNACIÓN DE PERITO DE PARTE / IMPUGNACIÓN DEL DICTAMEN PERICIAL</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A) Designación de perito de parte</w:t>
            </w:r>
          </w:p>
          <w:p>
            <w:pPr>
              <w:spacing w:after="160" w:line="300"/>
              <w:ind w:firstLine="400"/>
              <w:jc w:val="both"/>
            </w:pPr>
            <w:r>
              <w:rPr>
                <w:rFonts w:ascii="Archivo" w:cs="Archivo" w:eastAsia="Archivo" w:hAnsi="Archivo"/>
                <w:sz w:val="20"/>
                <w:szCs w:val="20"/>
              </w:rPr>
              <w:t xml:space="preserve">De conformidad con el art. 38 LCS, y no habiéndose alcanzado acuerdo sobre el importe y la forma de la indemnización correspondiente al siniestro referenciado, comunico a esa aseguradora la designación como perito de parte de D./D.ª [nombre, titulación y colegiación del perito], con domicilio profesional en [dirección] y datos de contacto [teléfono / correo electrónico], a los efectos de la práctica de la peritación contradictoria prevista en dicho precepto, requiriendo a esa compañía para que, en el plazo de ocho días desde la recepción de este escrito, comunique la identidad de su propio perito, con la advertencia legal de que, de no hacerlo, se entenderá que acepta el dictamen que emita el perito designado por esta parte, quedando vinculada por el mismo.</w:t>
            </w:r>
          </w:p>
          <w:p>
            <w:pPr>
              <w:spacing w:after="160"/>
            </w:pPr>
          </w:p>
          <w:p>
            <w:pPr>
              <w:spacing w:after="160" w:line="300"/>
              <w:jc w:val="both"/>
            </w:pPr>
            <w:r>
              <w:rPr>
                <w:rFonts w:ascii="Archivo" w:cs="Archivo" w:eastAsia="Archivo" w:hAnsi="Archivo"/>
                <w:sz w:val="20"/>
                <w:szCs w:val="20"/>
              </w:rPr>
              <w:t xml:space="preserve">B) Impugnación del dictamen pericial</w:t>
            </w:r>
          </w:p>
          <w:p>
            <w:pPr>
              <w:spacing w:after="160" w:line="300"/>
              <w:ind w:firstLine="400"/>
              <w:jc w:val="both"/>
            </w:pPr>
            <w:r>
              <w:rPr>
                <w:rFonts w:ascii="Archivo" w:cs="Archivo" w:eastAsia="Archivo" w:hAnsi="Archivo"/>
                <w:sz w:val="20"/>
                <w:szCs w:val="20"/>
              </w:rPr>
              <w:t xml:space="preserve">Habiéndose notificado con fecha [fecha] el dictamen pericial emitido con [unanimidad / mayoría / por el tercer perito] en el expediente de referencia, y no estando conforme esta parte con su contenido por los motivos que se exponen [error en la valoración de los daños, causa del siniestro incorrectamente atribuida, aplicación indebida de la regla proporcional del art. 30 LCS, etc.], se comunica la impugnación del citado dictamen dentro del plazo legal establecido en el art. 38 LCS, quedando anunciado el ejercicio de las acciones judiciales correspondientes si no se alcanza acuerdo en el plazo de [plazo], sin perjuicio de la obligación de la aseguradora de abonar, entre tanto, el importe mínimo debido conforme al art. 18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5. Demanda de juicio verbal reclamando indemnización derivada de contrato de seguro de hogar</w:t>
      </w:r>
    </w:p>
    <w:p>
      <w:pPr>
        <w:spacing w:after="180" w:line="300"/>
        <w:jc w:val="both"/>
      </w:pPr>
      <w:r>
        <w:rPr>
          <w:rFonts w:ascii="Archivo" w:cs="Archivo" w:eastAsia="Archivo" w:hAnsi="Archivo"/>
          <w:i/>
          <w:iCs/>
          <w:sz w:val="21"/>
          <w:szCs w:val="21"/>
        </w:rPr>
        <w:t xml:space="preserve">Modelo de demanda por reclamación de cantidad frente a la aseguradora por incumplimiento del contrato de seguro (denegación de cobertura o indemnización insuficiente) por daños por agua, para cuantías que no excedan de 15.000 euros, tramitable por los cauces del juicio verbal (art. 250.2 LEC). Para cuantías superiores, el mismo esquema es trasladable al juicio ordinario (art. 249.2 LEC), sustituyendo las referencias de trámite. Véase el capítulo 24 sobre competencia, procedimiento y costas.</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DE [PARTIDO JUDICIAL] QUE POR TURNO CORRESPONDA</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D./D.ª [demandante], mayor de edad, con DNI n.º [ ] y domicilio a efectos de notificaciones en [dirección], representación que acredito mediante escritura de poder que acompaño como Documento n.º 1, y bajo la dirección letrada de D./D.ª [abogado/a], Colegiado/a n.º [ ] del Ilustre Colegio de la Abogacía de [ ], ante el Juzgado comparezco y, como mejor proceda en Derecho, DIGO:</w:t>
            </w:r>
          </w:p>
          <w:p>
            <w:pPr>
              <w:spacing w:after="160" w:line="300"/>
              <w:ind w:firstLine="400"/>
              <w:jc w:val="both"/>
            </w:pPr>
            <w:r>
              <w:rPr>
                <w:rFonts w:ascii="Archivo" w:cs="Archivo" w:eastAsia="Archivo" w:hAnsi="Archivo"/>
                <w:sz w:val="20"/>
                <w:szCs w:val="20"/>
              </w:rPr>
              <w:t xml:space="preserve">Que, por medio del presente escrito, formulo DEMANDA DE JUICIO VERBAL por reclamación de cantidad contra </w:t>
            </w:r>
            <w:r>
              <w:rPr>
                <w:rFonts w:ascii="Archivo" w:cs="Archivo" w:eastAsia="Archivo" w:hAnsi="Archivo"/>
                <w:b/>
                <w:bCs/>
                <w:sz w:val="21"/>
                <w:szCs w:val="21"/>
              </w:rPr>
              <w:t xml:space="preserve">[razón social de la aseguradora], </w:t>
            </w:r>
            <w:r>
              <w:rPr>
                <w:rFonts w:ascii="Archivo" w:cs="Archivo" w:eastAsia="Archivo" w:hAnsi="Archivo"/>
                <w:sz w:val="20"/>
                <w:szCs w:val="20"/>
              </w:rPr>
              <w:t xml:space="preserve">con NIF [ ] y domicilio social en [dirección], en su condición de aseguradora del contrato de seguro multirriesgo de hogar póliza n.º [ ],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Contrato de seguro. Mi mandante es tomador y asegurado de la póliza de seguro multirriesgo de hogar n.º [ ], suscrita con la demandada con efectos desde el [fecha], que cubre, entre otros riesgos, los daños por agua en la vivienda sita en [dirección], con una suma asegurada de continente de [ ] euros y de contenido de [ ] euros (Documento n.º 2: póliza, condiciones generales y particulares).</w:t>
            </w:r>
          </w:p>
          <w:p>
            <w:pPr>
              <w:spacing w:after="160" w:line="300"/>
              <w:ind w:firstLine="400"/>
              <w:jc w:val="both"/>
            </w:pPr>
            <w:r>
              <w:rPr>
                <w:rFonts w:ascii="Archivo" w:cs="Archivo" w:eastAsia="Archivo" w:hAnsi="Archivo"/>
                <w:sz w:val="20"/>
                <w:szCs w:val="20"/>
              </w:rPr>
              <w:t xml:space="preserve">SEGUNDO.- Siniestro. El día [fecha] se produjo en la vivienda asegurada un siniestro consistente en [descripción: rotura de la tubería de suministro de agua bajo el pavimento de la cocina, con filtración a la vivienda inferior y daños en solado, tabiquería y mobiliario], que fue comunicado a la demandada el día [fecha] (Documento n.º 3: parte de siniestro).</w:t>
            </w:r>
          </w:p>
          <w:p>
            <w:pPr>
              <w:spacing w:after="160" w:line="300"/>
              <w:ind w:firstLine="400"/>
              <w:jc w:val="both"/>
            </w:pPr>
            <w:r>
              <w:rPr>
                <w:rFonts w:ascii="Archivo" w:cs="Archivo" w:eastAsia="Archivo" w:hAnsi="Archivo"/>
                <w:sz w:val="20"/>
                <w:szCs w:val="20"/>
              </w:rPr>
              <w:t xml:space="preserve">TERCERO.- Peritación y valoración de los daños. Personado el perito designado por la demandada el día [fecha], se emitió informe pericial que cuantificó los daños en [ ] euros (Documento n.º 4). [En su caso: mi mandante encargó a su vez informe pericial de parte, que cuantifica los daños en (...) euros, Documento n.º 5].</w:t>
            </w:r>
          </w:p>
          <w:p>
            <w:pPr>
              <w:spacing w:after="160" w:line="300"/>
              <w:ind w:firstLine="400"/>
              <w:jc w:val="both"/>
            </w:pPr>
            <w:r>
              <w:rPr>
                <w:rFonts w:ascii="Archivo" w:cs="Archivo" w:eastAsia="Archivo" w:hAnsi="Archivo"/>
                <w:sz w:val="20"/>
                <w:szCs w:val="20"/>
              </w:rPr>
              <w:t xml:space="preserve">CUARTO.- Postura de la aseguradora. Con fecha [fecha], la demandada comunicó [la denegación de cobertura por (motivo) / el ofrecimiento de una indemnización de (...) euros, inferior a la debida], sin que hasta la fecha se haya abonado cantidad alguna [o: habiéndose abonado únicamente (...) euros] (Documento n.º 6).</w:t>
            </w:r>
          </w:p>
          <w:p>
            <w:pPr>
              <w:spacing w:after="160" w:line="300"/>
              <w:ind w:firstLine="400"/>
              <w:jc w:val="both"/>
            </w:pPr>
            <w:r>
              <w:rPr>
                <w:rFonts w:ascii="Archivo" w:cs="Archivo" w:eastAsia="Archivo" w:hAnsi="Archivo"/>
                <w:sz w:val="20"/>
                <w:szCs w:val="20"/>
              </w:rPr>
              <w:t xml:space="preserve">QUINTO.- Reclamación previa y actividad negociadora. Con fecha [fecha] se remitió a la demandada burofax de reclamación previa, sin que se haya obtenido respuesta satisfactoria, lo que constituye la actividad negociadora previa exigida como requisito de procedibilidad por el art. 264.4.º LEC (Documento n.º 7, y Modelo 2 de esta obra).</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Corresponde el conocimiento del presente asunto a los Juzgados de Primera Instancia del orden civil (arts. 9.2 y 45 LEC), siendo competente territorialmente el Juzgado de [domicilio del asegurado], por aplicación del fuero especial en materia de seguros del art. 52.2 LEC, que atribuye la competencia, a elección del demandante, al tribunal del domicilio del asegurado.</w:t>
            </w:r>
          </w:p>
          <w:p>
            <w:pPr>
              <w:spacing w:after="160" w:line="300"/>
              <w:ind w:firstLine="400"/>
              <w:jc w:val="both"/>
            </w:pPr>
            <w:r>
              <w:rPr>
                <w:rFonts w:ascii="Archivo" w:cs="Archivo" w:eastAsia="Archivo" w:hAnsi="Archivo"/>
                <w:sz w:val="20"/>
                <w:szCs w:val="20"/>
              </w:rPr>
              <w:t xml:space="preserve">II. Procedimiento. Al no exceder la cuantía litigiosa de 15.000 euros, procede la tramitación por los cauces del juicio verbal, conforme al art. 250.2 LEC.</w:t>
            </w:r>
          </w:p>
          <w:p>
            <w:pPr>
              <w:spacing w:after="160" w:line="300"/>
              <w:ind w:firstLine="400"/>
              <w:jc w:val="both"/>
            </w:pPr>
            <w:r>
              <w:rPr>
                <w:rFonts w:ascii="Archivo" w:cs="Archivo" w:eastAsia="Archivo" w:hAnsi="Archivo"/>
                <w:sz w:val="20"/>
                <w:szCs w:val="20"/>
              </w:rPr>
              <w:t xml:space="preserve">III. Legitimación. La activa corresponde a mi mandante en su condición de tomador y asegurado (art. 7 LCS); la pasiva, a la demandada en su condición de aseguradora (art. 1 LCS).</w:t>
            </w:r>
          </w:p>
          <w:p>
            <w:pPr>
              <w:spacing w:after="160" w:line="300"/>
              <w:ind w:firstLine="400"/>
              <w:jc w:val="both"/>
            </w:pPr>
            <w:r>
              <w:rPr>
                <w:rFonts w:ascii="Archivo" w:cs="Archivo" w:eastAsia="Archivo" w:hAnsi="Archivo"/>
                <w:sz w:val="20"/>
                <w:szCs w:val="20"/>
              </w:rPr>
              <w:t xml:space="preserve">IV. Fondo del asunto. El art. 1 LCS obliga a la aseguradora a indemnizar el daño producido al asegurado, dentro de los límites pactados, cuando se produce el riesgo objeto de cobertura. No constando causa de exclusión aplicable al siniestro [ni cláusula limitativa válidamente incorporada conforme al art. 3 LCS, a cuyo respecto se invoca la doctrina fijada por la STS (Pleno) núm. 853/2006, de 11 de septiembre, y reiterada, entre otras, por la STS de 3 de octubre de 2023 (ROJ: STS 3996/2023)], procede la condena de la demandada al pago de la indemnización reclamada.</w:t>
            </w:r>
          </w:p>
          <w:p>
            <w:pPr>
              <w:spacing w:after="160" w:line="300"/>
              <w:ind w:firstLine="400"/>
              <w:jc w:val="both"/>
            </w:pPr>
            <w:r>
              <w:rPr>
                <w:rFonts w:ascii="Archivo" w:cs="Archivo" w:eastAsia="Archivo" w:hAnsi="Archivo"/>
                <w:sz w:val="20"/>
                <w:szCs w:val="20"/>
              </w:rPr>
              <w:t xml:space="preserve">V. Intereses. Procede la condena al pago de los intereses del art. 20 LCS desde la fecha del siniestro, al no concurrir causa justificada que exonere a la aseguradora de la mora en que ha incurrido.</w:t>
            </w:r>
          </w:p>
          <w:p>
            <w:pPr>
              <w:spacing w:after="160" w:line="300"/>
              <w:ind w:firstLine="400"/>
              <w:jc w:val="both"/>
            </w:pPr>
            <w:r>
              <w:rPr>
                <w:rFonts w:ascii="Archivo" w:cs="Archivo" w:eastAsia="Archivo" w:hAnsi="Archivo"/>
                <w:sz w:val="20"/>
                <w:szCs w:val="20"/>
              </w:rPr>
              <w:t xml:space="preserve">VI. Costas. Procede la condena en costas a la demandada conforme al principio del vencimiento objetivo del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presentado este escrito con sus documentos y copias, se sirva admitirlo, tener por formulada DEMANDA DE JUICIO VERBAL contra [aseguradora demandada] y, previos los trámites legales oportunos, dicte Sentencia por la que:</w:t>
            </w:r>
          </w:p>
          <w:p>
            <w:pPr>
              <w:spacing w:after="160" w:line="300"/>
              <w:ind w:firstLine="400"/>
              <w:jc w:val="both"/>
            </w:pPr>
            <w:r>
              <w:rPr>
                <w:rFonts w:ascii="Archivo" w:cs="Archivo" w:eastAsia="Archivo" w:hAnsi="Archivo"/>
                <w:sz w:val="20"/>
                <w:szCs w:val="20"/>
              </w:rPr>
              <w:t xml:space="preserve">1.º Se condene a la demandada a abonar a mi mandante la cantidad de [ ] euros en concepto de indemnización derivada del contrato de seguro referenciado.</w:t>
            </w:r>
          </w:p>
          <w:p>
            <w:pPr>
              <w:spacing w:after="160" w:line="300"/>
              <w:ind w:firstLine="400"/>
              <w:jc w:val="both"/>
            </w:pPr>
            <w:r>
              <w:rPr>
                <w:rFonts w:ascii="Archivo" w:cs="Archivo" w:eastAsia="Archivo" w:hAnsi="Archivo"/>
                <w:sz w:val="20"/>
                <w:szCs w:val="20"/>
              </w:rPr>
              <w:t xml:space="preserve">2.º Se condene a la demandada al pago de los intereses del art. 20 LCS desde la fecha del siniestro hasta su completo pago.</w:t>
            </w:r>
          </w:p>
          <w:p>
            <w:pPr>
              <w:spacing w:after="160" w:line="300"/>
              <w:ind w:firstLine="400"/>
              <w:jc w:val="both"/>
            </w:pPr>
            <w:r>
              <w:rPr>
                <w:rFonts w:ascii="Archivo" w:cs="Archivo" w:eastAsia="Archivo" w:hAnsi="Archivo"/>
                <w:sz w:val="20"/>
                <w:szCs w:val="20"/>
              </w:rPr>
              <w:t xml:space="preserve">3.º Se condene a la demandada al pago de las costas procesales.</w:t>
            </w:r>
          </w:p>
          <w:p>
            <w:pPr>
              <w:spacing w:after="160" w:line="300"/>
              <w:ind w:firstLine="400"/>
              <w:jc w:val="both"/>
            </w:pPr>
            <w:r>
              <w:rPr>
                <w:rFonts w:ascii="Archivo" w:cs="Archivo" w:eastAsia="Archivo" w:hAnsi="Archivo"/>
                <w:sz w:val="20"/>
                <w:szCs w:val="20"/>
              </w:rPr>
              <w:t xml:space="preserve">OTROSÍ DIGO: Que, para el acto de la vista, se propone desde este momento la siguiente prueba: documental (la ya aportada, cuya autenticidad se dará por reconocida en su caso), interrogatorio de la parte demandada y pericial (ratificación del perito autor del Documento n.º 5), solicitando su admisión.</w:t>
            </w:r>
          </w:p>
          <w:p>
            <w:pPr>
              <w:spacing w:after="160" w:line="300"/>
              <w:ind w:firstLine="400"/>
              <w:jc w:val="both"/>
            </w:pPr>
            <w:r>
              <w:rPr>
                <w:rFonts w:ascii="Archivo" w:cs="Archivo" w:eastAsia="Archivo" w:hAnsi="Archivo"/>
                <w:sz w:val="20"/>
                <w:szCs w:val="20"/>
              </w:rPr>
              <w:t xml:space="preserve">SUPLICO AL JUZGADO que tenga por hecha la anterior manifestación a los efectos oportunos.</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6. Contestación a la demanda por exclusión de cobertura</w:t>
      </w:r>
    </w:p>
    <w:p>
      <w:pPr>
        <w:spacing w:after="180" w:line="300"/>
        <w:jc w:val="both"/>
      </w:pPr>
      <w:r>
        <w:rPr>
          <w:rFonts w:ascii="Archivo" w:cs="Archivo" w:eastAsia="Archivo" w:hAnsi="Archivo"/>
          <w:i/>
          <w:iCs/>
          <w:sz w:val="21"/>
          <w:szCs w:val="21"/>
        </w:rPr>
        <w:t xml:space="preserve">Modelo de contestación desde la perspectiva de la aseguradora demandada, articulada sobre una exclusión de cobertura debidamente incorporada y acreditada (falta de mantenimiento, capítulo 8) y sobre la ausencia de causa justificada para no haberla opuesto ya en vía extrajudicial. Se ofrece como herramienta de doble uso: para el profesional que defiende a la aseguradora, como esqueleto de contestación; para el profesional del asegurado, como mapa de los argumentos que debe anticipar y neutralizar en la demanda (capítulo 24).</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N.º [ ] DE [PARTIDO JUDICIAL]</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w:t>
            </w:r>
            <w:r>
              <w:rPr>
                <w:rFonts w:ascii="Archivo" w:cs="Archivo" w:eastAsia="Archivo" w:hAnsi="Archivo"/>
                <w:b/>
                <w:bCs/>
                <w:sz w:val="21"/>
                <w:szCs w:val="21"/>
              </w:rPr>
              <w:t xml:space="preserve">[aseguradora demandada], </w:t>
            </w:r>
            <w:r>
              <w:rPr>
                <w:rFonts w:ascii="Archivo" w:cs="Archivo" w:eastAsia="Archivo" w:hAnsi="Archivo"/>
                <w:sz w:val="20"/>
                <w:szCs w:val="20"/>
              </w:rPr>
              <w:t xml:space="preserve">según acredito mediante escritura de poder ya obrante en autos, bajo la dirección letrada de D./D.ª [abogado/a], Colegiado/a n.º [ ], en el juicio verbal n.º [ ], ante el Juzgado comparezco y, como mejor proceda en Derecho, DIGO:</w:t>
            </w:r>
          </w:p>
          <w:p>
            <w:pPr>
              <w:spacing w:after="160" w:line="300"/>
              <w:ind w:firstLine="400"/>
              <w:jc w:val="both"/>
            </w:pPr>
            <w:r>
              <w:rPr>
                <w:rFonts w:ascii="Archivo" w:cs="Archivo" w:eastAsia="Archivo" w:hAnsi="Archivo"/>
                <w:sz w:val="20"/>
                <w:szCs w:val="20"/>
              </w:rPr>
              <w:t xml:space="preserve">Que, dentro de plazo, formulo CONTESTACIÓN A LA DEMANDA interpuesta de contrario, oponiéndome a la misma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Se admite la existencia del contrato de seguro y su vigencia en la fecha del siniestro.</w:t>
            </w:r>
          </w:p>
          <w:p>
            <w:pPr>
              <w:spacing w:after="160" w:line="300"/>
              <w:ind w:firstLine="400"/>
              <w:jc w:val="both"/>
            </w:pPr>
            <w:r>
              <w:rPr>
                <w:rFonts w:ascii="Archivo" w:cs="Archivo" w:eastAsia="Archivo" w:hAnsi="Archivo"/>
                <w:sz w:val="20"/>
                <w:szCs w:val="20"/>
              </w:rPr>
              <w:t xml:space="preserve">SEGUNDO.- Se admite la producción material del siniestro descrito en el hecho segundo de la demanda, sin perjuicio de lo que se dirá sobre su causa.</w:t>
            </w:r>
          </w:p>
          <w:p>
            <w:pPr>
              <w:spacing w:after="160" w:line="300"/>
              <w:ind w:firstLine="400"/>
              <w:jc w:val="both"/>
            </w:pPr>
            <w:r>
              <w:rPr>
                <w:rFonts w:ascii="Archivo" w:cs="Archivo" w:eastAsia="Archivo" w:hAnsi="Archivo"/>
                <w:sz w:val="20"/>
                <w:szCs w:val="20"/>
              </w:rPr>
              <w:t xml:space="preserve">TERCERO.- Causa del siniestro. Se niega que el siniestro obedezca a una rotura súbita y accidental. El informe pericial de esta parte (Documento n.º 1), elaborado tras inspección de [fecha], concluye que el daño obedece a [falta de mantenimiento / desgaste / vicio propio de la instalación], circunstancia expresamente excluida de la cobertura conforme a la cláusula [ ] de las condiciones generales, debidamente destacada y no impugnada en su incorporación por la parte actora.</w:t>
            </w:r>
          </w:p>
          <w:p>
            <w:pPr>
              <w:spacing w:after="160" w:line="300"/>
              <w:ind w:firstLine="400"/>
              <w:jc w:val="both"/>
            </w:pPr>
            <w:r>
              <w:rPr>
                <w:rFonts w:ascii="Archivo" w:cs="Archivo" w:eastAsia="Archivo" w:hAnsi="Archivo"/>
                <w:sz w:val="20"/>
                <w:szCs w:val="20"/>
              </w:rPr>
              <w:t xml:space="preserve">CUARTO.- Tramitación del expediente. Esta parte procedió a la valoración pericial del siniestro dentro de los plazos legales, comunicando de forma motivada la denegación de cobertura con fecha [fecha] (Documento n.º 2), con expresión concreta de la causa de exclusión aplicada.</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No se formula objeción a la competencia del Juzgado.</w:t>
            </w:r>
          </w:p>
          <w:p>
            <w:pPr>
              <w:spacing w:after="160" w:line="300"/>
              <w:ind w:firstLine="400"/>
              <w:jc w:val="both"/>
            </w:pPr>
            <w:r>
              <w:rPr>
                <w:rFonts w:ascii="Archivo" w:cs="Archivo" w:eastAsia="Archivo" w:hAnsi="Archivo"/>
                <w:sz w:val="20"/>
                <w:szCs w:val="20"/>
              </w:rPr>
              <w:t xml:space="preserve">II. Sobre la exclusión de cobertura. La cláusula de exclusión aplicada tiene naturaleza delimitadora del riesgo, no limitativa de derechos, al concretar objetivamente el ámbito de la cobertura contratada, sin apartarse del contenido natural del ramo (capítulo 1), por lo que no le resulta de aplicación el régimen de aceptación específica del art. 3 LCS, conforme a la doctrina jurisprudencial que distingue ambas categorías (STS de 3 de octubre de 2023, ROJ: STS 3996/2023).</w:t>
            </w:r>
          </w:p>
          <w:p>
            <w:pPr>
              <w:spacing w:after="160" w:line="300"/>
              <w:ind w:firstLine="400"/>
              <w:jc w:val="both"/>
            </w:pPr>
            <w:r>
              <w:rPr>
                <w:rFonts w:ascii="Archivo" w:cs="Archivo" w:eastAsia="Archivo" w:hAnsi="Archivo"/>
                <w:sz w:val="20"/>
                <w:szCs w:val="20"/>
              </w:rPr>
              <w:t xml:space="preserve">III. Sobre la causa técnica del siniestro. La distinción entre rotura súbita cubierta y desgaste o falta de mantenimiento excluido exige, conforme a la metodología expuesta en el capítulo 8 de esta obra, una prueba pericial concluyente sobre la causa técnica del daño, cuya carga corresponde a esta parte por invocar la exclusión (art. 217 LEC), carga que se entiende cumplida con el informe pericial acompañado.</w:t>
            </w:r>
          </w:p>
          <w:p>
            <w:pPr>
              <w:spacing w:after="160" w:line="300"/>
              <w:ind w:firstLine="400"/>
              <w:jc w:val="both"/>
            </w:pPr>
            <w:r>
              <w:rPr>
                <w:rFonts w:ascii="Archivo" w:cs="Archivo" w:eastAsia="Archivo" w:hAnsi="Archivo"/>
                <w:sz w:val="20"/>
                <w:szCs w:val="20"/>
              </w:rPr>
              <w:t xml:space="preserve">IV. Sobre los intereses del art. 20 LCS. Subsidiariamente, para el caso de que se desestimara la excepción anterior, se opone la existencia de causa justificada para la falta de pago, dado que la determinación de la causa del siniestro exigía la práctica de la prueba pericial contradictoria del art. 38 LCS, sin que la mera discrepancia técnica entre peritos, resuelta de buena fe, equivalga a una resistencia injustificada al pago (capítulo 20).</w:t>
            </w:r>
          </w:p>
          <w:p>
            <w:pPr>
              <w:spacing w:after="160" w:line="300"/>
              <w:ind w:firstLine="400"/>
              <w:jc w:val="both"/>
            </w:pPr>
            <w:r>
              <w:rPr>
                <w:rFonts w:ascii="Archivo" w:cs="Archivo" w:eastAsia="Archivo" w:hAnsi="Archivo"/>
                <w:sz w:val="20"/>
                <w:szCs w:val="20"/>
              </w:rPr>
              <w:t xml:space="preserve">V. Costas. Para el caso de desestimación íntegra de la demanda, procede la condena en costas a la actora conforme al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presentada esta contestación con sus documentos, se sirva admitirla, y previos los trámites legales, dicte Sentencia por la que se desestime íntegramente la demanda, con expresa condena en costas a la parte actora.</w:t>
            </w:r>
          </w:p>
          <w:p>
            <w:pPr>
              <w:spacing w:after="160" w:line="300"/>
              <w:ind w:firstLine="400"/>
              <w:jc w:val="both"/>
            </w:pPr>
            <w:r>
              <w:rPr>
                <w:rFonts w:ascii="Archivo" w:cs="Archivo" w:eastAsia="Archivo" w:hAnsi="Archivo"/>
                <w:sz w:val="20"/>
                <w:szCs w:val="20"/>
              </w:rPr>
              <w:t xml:space="preserve">OTROSÍ DIGO: Que se propone como prueba para el acto de la vista la documental ya aportada y la pericial, con ratificación y sometimiento a contradicción del perito autor del Documento n.º 1, solicitando su admisión.</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7. Demanda reclamando intereses de demora del art. 20 LCS por mora del asegurador</w:t>
      </w:r>
    </w:p>
    <w:p>
      <w:pPr>
        <w:spacing w:after="180" w:line="300"/>
        <w:jc w:val="both"/>
      </w:pPr>
      <w:r>
        <w:rPr>
          <w:rFonts w:ascii="Archivo" w:cs="Archivo" w:eastAsia="Archivo" w:hAnsi="Archivo"/>
          <w:i/>
          <w:iCs/>
          <w:sz w:val="21"/>
          <w:szCs w:val="21"/>
        </w:rPr>
        <w:t xml:space="preserve">Modelo de fundamentación jurídica específica para los supuestos en que la aseguradora ha abonado la indemnización principal fuera de plazo o solo tras la interposición de la demanda, y se reclama exclusivamente —o de forma destacada— la condena a los intereses moratorios del art. 20 LCS. Se integra en el esquema de demanda del Modelo 5, sustituyendo el fundamento de derecho V y el suplico. Véase el capítulo 20.</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FUNDAMENTO DE DERECHO ESPECÍFICO SOBRE LA MORA DEL ASEGURADOR</w:t>
            </w:r>
          </w:p>
          <w:p>
            <w:pPr>
              <w:spacing w:after="160" w:line="300"/>
              <w:ind w:firstLine="400"/>
              <w:jc w:val="both"/>
            </w:pPr>
            <w:r>
              <w:rPr>
                <w:rFonts w:ascii="Archivo" w:cs="Archivo" w:eastAsia="Archivo" w:hAnsi="Archivo"/>
                <w:sz w:val="20"/>
                <w:szCs w:val="20"/>
              </w:rPr>
              <w:t xml:space="preserve">V. Intereses del artículo 20 LCS. Conforme al art. 20.3.º LCS, se entenderá que el asegurador incurre en mora cuando no hubiere cumplido su prestación en el plazo de tres meses desde la producción del siniestro, o no hubiere procedido al pago del importe mínimo de lo que pueda deber dentro de los cuarenta días desde la recepción de la declaración del siniestro. En el presente caso, [el siniestro se produjo el (fecha) y la demandada no ha abonado cantidad alguna hasta la fecha / la demandada abonó el importe de (...) euros el (fecha), transcurridos (...) meses desde el siniestro], sin que conste causa justificada de exoneración conforme al art. 20.8.º LCS.</w:t>
            </w:r>
          </w:p>
          <w:p>
            <w:pPr>
              <w:spacing w:after="160" w:line="300"/>
              <w:ind w:firstLine="400"/>
              <w:jc w:val="both"/>
            </w:pPr>
            <w:r>
              <w:rPr>
                <w:rFonts w:ascii="Archivo" w:cs="Archivo" w:eastAsia="Archivo" w:hAnsi="Archivo"/>
                <w:sz w:val="20"/>
                <w:szCs w:val="20"/>
              </w:rPr>
              <w:t xml:space="preserve">El interés de demora, conforme al art. 20.4.º LCS, será el legal del dinero vigente incrementado en el 50 por 100 durante los dos primeros años desde la fecha del siniestro (que será el término inicial del cómputo, art. 20.6.º LCS) y, transcurridos dos años sin haberse satisfecho la indemnización, no podrá ser inferior al 20 por 100 anual, devengándose día a día sin necesidad de reclamación judicial.</w:t>
            </w:r>
          </w:p>
          <w:p>
            <w:pPr>
              <w:spacing w:after="160" w:line="300"/>
              <w:ind w:firstLine="400"/>
              <w:jc w:val="both"/>
            </w:pPr>
            <w:r>
              <w:rPr>
                <w:rFonts w:ascii="Archivo" w:cs="Archivo" w:eastAsia="Archivo" w:hAnsi="Archivo"/>
                <w:sz w:val="20"/>
                <w:szCs w:val="20"/>
              </w:rPr>
              <w:t xml:space="preserve">Procede recordar que, conforme a reiterada doctrina jurisprudencial, la aplicación de estos intereses es prácticamente automática y de imposición de oficio por el órgano judicial (art. 20.4.º LCS), correspondiendo a la aseguradora la carga de acreditar la concurrencia de una causa justificada que excluya la mora, sin que constituya causa justificada per se la mera existencia de un proceso judicial ni la discrepancia sobre la cuantía de la indemnización cuando la obligación de pago del importe mínimo resulta indiscutida.</w:t>
            </w:r>
          </w:p>
          <w:p>
            <w:pPr>
              <w:spacing w:after="160"/>
              <w:jc w:val="center"/>
            </w:pPr>
            <w:r>
              <w:rPr>
                <w:rFonts w:ascii="Archivo" w:cs="Archivo" w:eastAsia="Archivo" w:hAnsi="Archivo"/>
                <w:b/>
                <w:bCs/>
                <w:caps w:val="false"/>
                <w:sz w:val="21"/>
                <w:szCs w:val="21"/>
              </w:rPr>
              <w:t xml:space="preserve">SUPLICO (variante)</w:t>
            </w:r>
          </w:p>
          <w:p>
            <w:pPr>
              <w:spacing w:after="160" w:line="300"/>
              <w:ind w:firstLine="400"/>
              <w:jc w:val="both"/>
            </w:pPr>
            <w:r>
              <w:rPr>
                <w:rFonts w:ascii="Archivo" w:cs="Archivo" w:eastAsia="Archivo" w:hAnsi="Archivo"/>
                <w:sz w:val="20"/>
                <w:szCs w:val="20"/>
              </w:rPr>
              <w:t xml:space="preserve">Que se condene a la demandada a abonar a mi mandante, además de la indemnización principal de [ ] euros [o, en su caso, dejando constancia del abono extraprocesal de dicha suma a los solos efectos de la condena en costas], los intereses del art. 20 LCS devengados desde la fecha del siniestro [(fecha)] hasta su completo pago, calculados conforme a las reglas legales expuestas, con expresa condena en costas a la demandada.</w:t>
            </w:r>
          </w:p>
        </w:tc>
      </w:tr>
    </w:tbl>
    <w:p>
      <w:pPr>
        <w:pStyle w:val="Heading2"/>
        <w:spacing w:after="160" w:before="400"/>
      </w:pPr>
      <w:r>
        <w:rPr>
          <w:rFonts w:ascii="Fraunces" w:cs="Fraunces" w:eastAsia="Fraunces" w:hAnsi="Fraunces"/>
          <w:b/>
          <w:bCs/>
          <w:color w:val="0A2540"/>
          <w:sz w:val="24"/>
          <w:szCs w:val="24"/>
        </w:rPr>
        <w:t xml:space="preserve">Modelo 8. Reclamación ante la Dirección General de Seguros y Fondos de Pensiones (DGSFP)</w:t>
      </w:r>
    </w:p>
    <w:p>
      <w:pPr>
        <w:spacing w:after="180" w:line="300"/>
        <w:jc w:val="both"/>
      </w:pPr>
      <w:r>
        <w:rPr>
          <w:rFonts w:ascii="Archivo" w:cs="Archivo" w:eastAsia="Archivo" w:hAnsi="Archivo"/>
          <w:i/>
          <w:iCs/>
          <w:sz w:val="21"/>
          <w:szCs w:val="21"/>
        </w:rPr>
        <w:t xml:space="preserve">Escrito de reclamación en vía administrativa de supervisión, procedente una vez agotada o transcurrido el plazo de resolución de la reclamación ante el Servicio de Atención al Cliente o el Defensor del Asegurado de la entidad (Modelo 3), conforme al régimen de protección del cliente de servicios financieros y a la normativa de ordenación y supervisión de los seguros privados (capítulo 23).</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LA DIRECCIÓN GENERAL DE SEGUROS Y FONDOS DE PENSIONES</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reclamada: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con fecha [fecha] presentó reclamación ante el Servicio de Atención al Cliente / Defensor del Asegurado de la entidad [aseguradora], sin haber obtenido respuesta en el plazo legalmente establecido / habiendo recibido respuesta desestimatoria de fecha [fecha] (se acompaña como Documento n.º 1).</w:t>
            </w:r>
          </w:p>
          <w:p>
            <w:pPr>
              <w:spacing w:after="160" w:line="300"/>
              <w:ind w:firstLine="400"/>
              <w:jc w:val="both"/>
            </w:pPr>
            <w:r>
              <w:rPr>
                <w:rFonts w:ascii="Archivo" w:cs="Archivo" w:eastAsia="Archivo" w:hAnsi="Archivo"/>
                <w:sz w:val="20"/>
                <w:szCs w:val="20"/>
              </w:rPr>
              <w:t xml:space="preserve">SEGUNDO.- Que los hechos objeto de la reclamación son los siguientes: [resumen de los hechos: contrato, siniestro, postura de la aseguradora y motivos de disconformidad, con remisión a la documentación aportada].</w:t>
            </w:r>
          </w:p>
          <w:p>
            <w:pPr>
              <w:spacing w:after="160" w:line="300"/>
              <w:ind w:firstLine="400"/>
              <w:jc w:val="both"/>
            </w:pPr>
            <w:r>
              <w:rPr>
                <w:rFonts w:ascii="Archivo" w:cs="Archivo" w:eastAsia="Archivo" w:hAnsi="Archivo"/>
                <w:sz w:val="20"/>
                <w:szCs w:val="20"/>
              </w:rPr>
              <w:t xml:space="preserve">TERCERO.- Que se considera que la actuación de la entidad reclamada resulta contraria a las buenas prácticas y usos financieros y, en particular, [a lo dispuesto en los arts. 1, 3 y 20 de la Ley 50/1980, de Contrato de Seguro / a las condiciones de la póliza suscrita], por los motivos ya expuestos ante el Servicio de Atención al Cliente.</w:t>
            </w:r>
          </w:p>
          <w:p>
            <w:pPr>
              <w:spacing w:after="160" w:line="300"/>
              <w:ind w:firstLine="400"/>
              <w:jc w:val="both"/>
            </w:pPr>
            <w:r>
              <w:rPr>
                <w:rFonts w:ascii="Archivo" w:cs="Archivo" w:eastAsia="Archivo" w:hAnsi="Archivo"/>
                <w:sz w:val="20"/>
                <w:szCs w:val="20"/>
              </w:rPr>
              <w:t xml:space="preserve">SOLICITA que, teniendo por presentado este escrito con la documentación que se acompaña, se admita a trámite la presente reclamación, se dé traslado de la misma a la entidad reclamada y se emita el informe correspondiente sobre el ajuste de su actuación a la normativa de ordenación y supervisión de los seguros privados y a las buenas prácticas del sector, dejando constancia de que el presente escrito no suspende ni sustituye el plazo de prescripción de las acciones civiles que puedan corresponder al reclamante, ni impide el ejercicio de la acción judicial conforme al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1"/>
        <w:pageBreakBefore/>
        <w:spacing w:after="300"/>
      </w:pPr>
      <w:r>
        <w:rPr>
          <w:rFonts w:ascii="Fraunces" w:cs="Fraunces" w:eastAsia="Fraunces" w:hAnsi="Fraunces"/>
          <w:b/>
          <w:bCs/>
          <w:color w:val="0A2540"/>
          <w:sz w:val="30"/>
          <w:szCs w:val="30"/>
        </w:rPr>
        <w:t xml:space="preserve">Anexo V. Tabla resumen de plazos</w:t>
      </w:r>
    </w:p>
    <w:p>
      <w:pPr>
        <w:spacing w:after="180" w:line="300"/>
        <w:jc w:val="both"/>
      </w:pPr>
      <w:r>
        <w:rPr>
          <w:rFonts w:ascii="Archivo" w:cs="Archivo" w:eastAsia="Archivo" w:hAnsi="Archivo"/>
          <w:sz w:val="21"/>
          <w:szCs w:val="21"/>
        </w:rPr>
        <w:t xml:space="preserve">Se recogen, ordenados de menor a mayor duración, todos los plazos legales relevantes para la gestión de un siniestro de hogar mencionados a lo largo de la obra. La tabla tiene finalidad de consulta rápida; su fundamento jurídico completo, con las matizaciones y excepciones aplicables, se encuentra en el capítulo indicado.</w:t>
      </w:r>
    </w:p>
    <w:p>
      <w:pPr>
        <w:spacing w:after="200"/>
      </w:pP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800"/>
        <w:gridCol w:w="4700"/>
        <w:gridCol w:w="2200"/>
        <w:gridCol w:w="1300"/>
      </w:tblGrid>
      <w:tr>
        <w:trPr>
          <w:tblHeader/>
        </w:trPr>
        <w:tc>
          <w:tcPr>
            <w:tcW w:type="pct" w:w="18%"/>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Plazo</w:t>
            </w:r>
          </w:p>
        </w:tc>
        <w:tc>
          <w:tcPr>
            <w:tcW w:type="pct" w:w="47%"/>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Concepto</w:t>
            </w:r>
          </w:p>
        </w:tc>
        <w:tc>
          <w:tcPr>
            <w:tcW w:type="pct" w:w="22%"/>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Fundamento</w:t>
            </w:r>
          </w:p>
        </w:tc>
        <w:tc>
          <w:tcPr>
            <w:tcW w:type="pct" w:w="13%"/>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Cap.</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7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comunicar el siniestro al asegurador desde que se tuvo conocimiento (ampliable por póliza, no reducible).</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16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17</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8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para designar perito de parte tras el requerimiento de la otra parte en el procedimiento del art. 38 LCS.</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habitual (contractual/práctica) concedido en el burofax de reclamación previa para el pago.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Práctica / Anexo IV</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23</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15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manifestar disconformidad ante la comunicación de desplazamiento del objeto asegurado.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47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7</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30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impugnar judicialmente el dictamen pericial desde su notificación.</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40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el pago del importe mínimo desde la recepción de la declaración del siniestro.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rescindir el contrato desde que conoce la reserva o inexactitud en la declaración del riesgo.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10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tomador para reclamar la subsanación de divergencias entre la proposición y la póliza.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Preaviso mínimo del tomador para oponerse a la prórroga anual de la póliza.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22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Suspensión de la cobertura tras el impago de una prima sucesiva (transcurrido desde el vencimiento).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15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3 meses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satisfacer la indemnización antes de que el asegurador incurra en mora.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20.3.º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meses</w:t>
            </w:r>
          </w:p>
        </w:tc>
        <w:tc>
          <w:tcPr>
            <w:tcW w:type="pct" w:w="47%"/>
            <w:tcMar>
              <w:top w:type="dxa" w:w="120"/>
              <w:left w:type="dxa" w:w="140"/>
              <w:bottom w:type="dxa" w:w="120"/>
              <w:right w:type="dxa" w:w="140"/>
            </w:tcMar>
          </w:tcPr>
          <w:p>
            <w:r>
              <w:rPr>
                <w:rFonts w:ascii="Archivo" w:cs="Archivo" w:eastAsia="Archivo" w:hAnsi="Archivo"/>
                <w:sz w:val="19"/>
                <w:szCs w:val="19"/>
              </w:rPr>
              <w:t xml:space="preserve">Preaviso mínimo del asegurador para oponerse a la prórroga o para comunicar modificaciones del contrato.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22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6 meses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reclamar la prima impagada antes de que el contrato se entienda extinguido.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15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180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 para impugnar judicialmente el dictamen pericial desde su notificación.</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años</w:t>
            </w:r>
          </w:p>
        </w:tc>
        <w:tc>
          <w:tcPr>
            <w:tcW w:type="pct" w:w="47%"/>
            <w:tcMar>
              <w:top w:type="dxa" w:w="120"/>
              <w:left w:type="dxa" w:w="140"/>
              <w:bottom w:type="dxa" w:w="120"/>
              <w:right w:type="dxa" w:w="140"/>
            </w:tcMar>
          </w:tcPr>
          <w:p>
            <w:r>
              <w:rPr>
                <w:rFonts w:ascii="Archivo" w:cs="Archivo" w:eastAsia="Archivo" w:hAnsi="Archivo"/>
                <w:sz w:val="19"/>
                <w:szCs w:val="19"/>
              </w:rPr>
              <w:t xml:space="preserve">Prescripción de la acción derivada del contrato de seguro de daños (continente, contenido, responsabilidad civil).</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23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22</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años</w:t>
            </w:r>
          </w:p>
        </w:tc>
        <w:tc>
          <w:tcPr>
            <w:tcW w:type="pct" w:w="47%"/>
            <w:tcMar>
              <w:top w:type="dxa" w:w="120"/>
              <w:left w:type="dxa" w:w="140"/>
              <w:bottom w:type="dxa" w:w="120"/>
              <w:right w:type="dxa" w:w="140"/>
            </w:tcMar>
          </w:tcPr>
          <w:p>
            <w:r>
              <w:rPr>
                <w:rFonts w:ascii="Archivo" w:cs="Archivo" w:eastAsia="Archivo" w:hAnsi="Archivo"/>
                <w:sz w:val="19"/>
                <w:szCs w:val="19"/>
              </w:rPr>
              <w:t xml:space="preserve">Tramo inicial de aplicación del interés moratorio del legal del dinero incrementado en un 50 %.</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20.4.º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5 años</w:t>
            </w:r>
          </w:p>
        </w:tc>
        <w:tc>
          <w:tcPr>
            <w:tcW w:type="pct" w:w="47%"/>
            <w:tcMar>
              <w:top w:type="dxa" w:w="120"/>
              <w:left w:type="dxa" w:w="140"/>
              <w:bottom w:type="dxa" w:w="120"/>
              <w:right w:type="dxa" w:w="140"/>
            </w:tcMar>
          </w:tcPr>
          <w:p>
            <w:r>
              <w:rPr>
                <w:rFonts w:ascii="Archivo" w:cs="Archivo" w:eastAsia="Archivo" w:hAnsi="Archivo"/>
                <w:sz w:val="19"/>
                <w:szCs w:val="19"/>
              </w:rPr>
              <w:t xml:space="preserve">Prescripción de la acción derivada del seguro de personas (referencia comparativa; no aplicable al seguro de hogar en sentido estricto).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23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22</w:t>
            </w:r>
          </w:p>
        </w:tc>
      </w:tr>
    </w:tbl>
    <w:p>
      <w:pPr>
        <w:spacing w:after="240"/>
      </w:pPr>
    </w:p>
    <w:p>
      <w:pPr>
        <w:pStyle w:val="Heading2"/>
        <w:spacing w:after="160" w:before="400"/>
      </w:pPr>
      <w:r>
        <w:rPr>
          <w:rFonts w:ascii="Fraunces" w:cs="Fraunces" w:eastAsia="Fraunces" w:hAnsi="Fraunces"/>
          <w:b/>
          <w:bCs/>
          <w:color w:val="0A2540"/>
          <w:sz w:val="24"/>
          <w:szCs w:val="24"/>
        </w:rPr>
        <w:t xml:space="preserve">Cuantías relevantes en la vía judicial</w:t>
      </w:r>
    </w:p>
    <w:p>
      <w:pPr>
        <w:spacing w:after="180" w:line="300"/>
        <w:jc w:val="both"/>
      </w:pPr>
      <w:r>
        <w:rPr>
          <w:rFonts w:ascii="Archivo" w:cs="Archivo" w:eastAsia="Archivo" w:hAnsi="Archivo"/>
          <w:sz w:val="21"/>
          <w:szCs w:val="21"/>
        </w:rPr>
        <w:t xml:space="preserve">Junto a los plazos, conviene tener presente el umbral cuantitativo que determina el cauce procesal aplicable a una reclamación derivada del seguro de hogar: las demandas de cuantía no superior a 15.000 euros se tramitan por el juicio verbal (art. 250.2 LEC); las de cuantía superior a 15.000 euros, o de cuantía indeterminable, por el juicio ordinario (art. 249.2 LEC). El interés de demora del art. 20 LCS no podrá ser, transcurridos dos años desde el siniestro sin pago, inferior al 20 % anual (capítulo 20).</w:t>
      </w:r>
    </w:p>
    <w:p>
      <w:pPr>
        <w:pStyle w:val="Heading1"/>
        <w:pageBreakBefore/>
        <w:spacing w:after="300"/>
      </w:pPr>
      <w:r>
        <w:rPr>
          <w:rFonts w:ascii="Fraunces" w:cs="Fraunces" w:eastAsia="Fraunces" w:hAnsi="Fraunces"/>
          <w:b/>
          <w:bCs/>
          <w:color w:val="0A2540"/>
          <w:sz w:val="30"/>
          <w:szCs w:val="30"/>
        </w:rPr>
        <w:t xml:space="preserve">Anexo VI. Bibliografía general</w:t>
      </w:r>
    </w:p>
    <w:p>
      <w:pPr>
        <w:spacing w:after="180" w:line="300"/>
        <w:jc w:val="both"/>
      </w:pPr>
      <w:r>
        <w:rPr>
          <w:rFonts w:ascii="Archivo" w:cs="Archivo" w:eastAsia="Archivo" w:hAnsi="Archivo"/>
          <w:sz w:val="21"/>
          <w:szCs w:val="21"/>
        </w:rPr>
        <w:t xml:space="preserve">Se recoge, ordenada alfabéticamente por autor, la bibliografía doctrinal citada a lo largo de la obra: tratados y comentarios de referencia sobre el contrato de seguro, y artículos de revista y tesis doctorales que abordan monográficamente algunas de las cuestiones más discutidas del seguro de hogar. Los tratados y comentarios se citan, conforme a la práctica habitual en este tipo de obras, por su estructura de comentario «ad artículo», sin pretensión de indicar una paginación o edición concretas; los artículos de revista y la tesis doctoral, verificados de forma independiente a través de su repertorio bibliográfico de origen (Dialnet, y en su caso el Boletín del Ministerio de Justicia), se citan con su referencia completa.</w:t>
      </w:r>
    </w:p>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Advertencia metodológica</w:t>
            </w:r>
          </w:p>
          <w:p>
            <w:pPr>
              <w:spacing w:after="180" w:line="300"/>
              <w:jc w:val="both"/>
            </w:pPr>
            <w:r>
              <w:rPr>
                <w:rFonts w:ascii="Archivo" w:cs="Archivo" w:eastAsia="Archivo" w:hAnsi="Archivo"/>
                <w:sz w:val="21"/>
                <w:szCs w:val="21"/>
              </w:rPr>
              <w:t xml:space="preserve">Todas las citas legales y jurisprudenciales de esta obra han sido verificadas contra fuente oficial (BOE consolidado y CENDOJ, respectivamente). Las citas doctrinales de tratados y comentarios generales se ofrecen por autor, título y editorial, verificables como obras reales y de referencia en la materia, pero sin pinpoint de página por no disponer de una base de datos bibliográfica que permita verificar la edición exacta manejada. Los artículos de revista y la tesis doctoral que se añaden en esta edición sí han sido localizados y verificados de forma independiente, con indicación de su referencia completa (autor, título, revista, número y año, o universidad y director en el caso de la tesis).</w:t>
            </w:r>
          </w:p>
        </w:tc>
      </w:tr>
    </w:tbl>
    <w:p>
      <w:pPr>
        <w:spacing w:after="240"/>
      </w:pPr>
    </w:p>
    <w:p>
      <w:pPr>
        <w:pStyle w:val="Heading2"/>
        <w:spacing w:after="160" w:before="400"/>
      </w:pPr>
      <w:r>
        <w:rPr>
          <w:rFonts w:ascii="Fraunces" w:cs="Fraunces" w:eastAsia="Fraunces" w:hAnsi="Fraunces"/>
          <w:b/>
          <w:bCs/>
          <w:color w:val="0A2540"/>
          <w:sz w:val="24"/>
          <w:szCs w:val="24"/>
        </w:rPr>
        <w:t xml:space="preserve">Tratados, manuales y comentarios</w:t>
      </w:r>
    </w:p>
    <w:p>
      <w:pPr>
        <w:spacing w:after="160" w:line="300"/>
        <w:ind w:left="400" w:hanging="4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60" w:line="300"/>
        <w:ind w:left="400" w:hanging="400"/>
        <w:jc w:val="both"/>
      </w:pPr>
      <w:r>
        <w:rPr>
          <w:rFonts w:ascii="Archivo" w:cs="Archivo" w:eastAsia="Archivo" w:hAnsi="Archivo"/>
          <w:sz w:val="21"/>
          <w:szCs w:val="21"/>
        </w:rPr>
        <w:t xml:space="preserve">GARRIGUES, J., Contrato de seguro terrestre, Marcial Pons, Madrid, 1973 (2.ª ed., 1983).</w:t>
      </w:r>
    </w:p>
    <w:p>
      <w:pPr>
        <w:spacing w:after="160" w:line="300"/>
        <w:ind w:left="400" w:hanging="400"/>
        <w:jc w:val="both"/>
      </w:pPr>
      <w:r>
        <w:rPr>
          <w:rFonts w:ascii="Archivo" w:cs="Archivo" w:eastAsia="Archivo" w:hAnsi="Archivo"/>
          <w:sz w:val="21"/>
          <w:szCs w:val="21"/>
        </w:rPr>
        <w:t xml:space="preserve">GIRGADO PERANDONES, P., El principio indemnizatorio en los seguros de daños: una aproximación a su significado, Comares, Granada, 2005.</w:t>
      </w:r>
    </w:p>
    <w:p>
      <w:pPr>
        <w:spacing w:after="160" w:line="300"/>
        <w:ind w:left="400" w:hanging="400"/>
        <w:jc w:val="both"/>
      </w:pPr>
      <w:r>
        <w:rPr>
          <w:rFonts w:ascii="Archivo" w:cs="Archivo" w:eastAsia="Archivo" w:hAnsi="Archivo"/>
          <w:sz w:val="21"/>
          <w:szCs w:val="21"/>
        </w:rPr>
        <w:t xml:space="preserve">GUISASOLA PAREDES, A., Cláusulas limitativas de derechos y delimitadoras del riesgo en el contrato de seguro, Editoriales de Derecho Reunidas, Madrid, 2000.</w:t>
      </w:r>
    </w:p>
    <w:p>
      <w:pPr>
        <w:spacing w:after="160" w:line="300"/>
        <w:ind w:left="400" w:hanging="400"/>
        <w:jc w:val="both"/>
      </w:pPr>
      <w:r>
        <w:rPr>
          <w:rFonts w:ascii="Archivo" w:cs="Archivo" w:eastAsia="Archivo" w:hAnsi="Archivo"/>
          <w:sz w:val="21"/>
          <w:szCs w:val="21"/>
        </w:rPr>
        <w:t xml:space="preserve">OLMOS PILDÁIN, A., El seguro de defensa jurídica, Aranzadi, Cizur Menor, 1997.</w:t>
      </w:r>
    </w:p>
    <w:p>
      <w:pPr>
        <w:spacing w:after="160" w:line="300"/>
        <w:ind w:left="400" w:hanging="4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60" w:line="300"/>
        <w:ind w:left="400" w:hanging="400"/>
        <w:jc w:val="both"/>
      </w:pPr>
      <w:r>
        <w:rPr>
          <w:rFonts w:ascii="Archivo" w:cs="Archivo" w:eastAsia="Archivo" w:hAnsi="Archivo"/>
          <w:sz w:val="21"/>
          <w:szCs w:val="21"/>
        </w:rPr>
        <w:t xml:space="preserve">SÁNCHEZ CALERO, F.; SÁNCHEZ-CALERO GUILARTE, J., Instituciones de Derecho Mercantil, vol. II, Aranzadi-Thomson Reuters, Cizur Menor.</w:t>
      </w:r>
    </w:p>
    <w:p>
      <w:pPr>
        <w:spacing w:after="160" w:line="300"/>
        <w:ind w:left="400" w:hanging="400"/>
        <w:jc w:val="both"/>
      </w:pPr>
      <w:r>
        <w:rPr>
          <w:rFonts w:ascii="Archivo" w:cs="Archivo" w:eastAsia="Archivo" w:hAnsi="Archivo"/>
          <w:sz w:val="21"/>
          <w:szCs w:val="21"/>
        </w:rPr>
        <w:t xml:space="preserve">TAPIA HERMIDA, A. J., Guía del Contrato de Seguro, 2.ª ed., Colección Monografías Aranzadi, Aranzadi, Cizur Menor, 2022.</w:t>
      </w:r>
    </w:p>
    <w:p>
      <w:pPr>
        <w:spacing w:after="160" w:line="300"/>
        <w:ind w:left="400" w:hanging="4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60" w:line="300"/>
        <w:ind w:left="400" w:hanging="400"/>
        <w:jc w:val="both"/>
      </w:pPr>
      <w:r>
        <w:rPr>
          <w:rFonts w:ascii="Archivo" w:cs="Archivo" w:eastAsia="Archivo" w:hAnsi="Archivo"/>
          <w:sz w:val="21"/>
          <w:szCs w:val="21"/>
        </w:rPr>
        <w:t xml:space="preserve">VEIGA COPO, A. B., Tratado del Contrato de Seguro, Civitas-Thomson Reuters, Cizur Menor.</w:t>
      </w:r>
    </w:p>
    <w:p>
      <w:pPr>
        <w:spacing w:after="160" w:line="300"/>
        <w:ind w:left="400" w:hanging="4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60"/>
      </w:pPr>
    </w:p>
    <w:p>
      <w:pPr>
        <w:pStyle w:val="Heading2"/>
        <w:spacing w:after="160" w:before="400"/>
      </w:pPr>
      <w:r>
        <w:rPr>
          <w:rFonts w:ascii="Fraunces" w:cs="Fraunces" w:eastAsia="Fraunces" w:hAnsi="Fraunces"/>
          <w:b/>
          <w:bCs/>
          <w:color w:val="0A2540"/>
          <w:sz w:val="24"/>
          <w:szCs w:val="24"/>
        </w:rPr>
        <w:t xml:space="preserve">Tesis doctorales</w:t>
      </w:r>
    </w:p>
    <w:p>
      <w:pPr>
        <w:spacing w:after="160" w:line="300"/>
        <w:ind w:left="400" w:hanging="400"/>
        <w:jc w:val="both"/>
      </w:pPr>
      <w:r>
        <w:rPr>
          <w:rFonts w:ascii="Archivo" w:cs="Archivo" w:eastAsia="Archivo" w:hAnsi="Archivo"/>
          <w:sz w:val="21"/>
          <w:szCs w:val="21"/>
        </w:rPr>
        <w:t xml:space="preserve">LARRAYA RUIZ, L. J., Las cláusulas limitativas de los derechos de los asegurados: (artículo 3.1 de la Ley 50/1980, de contrato de seguro), tesis doctoral dirigida por V. San Julián Puig, Universidad de Navarra, Pamplona, 2001.</w:t>
      </w:r>
    </w:p>
    <w:p>
      <w:pPr>
        <w:spacing w:after="160"/>
      </w:pPr>
    </w:p>
    <w:p>
      <w:pPr>
        <w:pStyle w:val="Heading2"/>
        <w:spacing w:after="160" w:before="400"/>
      </w:pPr>
      <w:r>
        <w:rPr>
          <w:rFonts w:ascii="Fraunces" w:cs="Fraunces" w:eastAsia="Fraunces" w:hAnsi="Fraunces"/>
          <w:b/>
          <w:bCs/>
          <w:color w:val="0A2540"/>
          <w:sz w:val="24"/>
          <w:szCs w:val="24"/>
        </w:rPr>
        <w:t xml:space="preserve">Artículos de revista</w:t>
      </w:r>
    </w:p>
    <w:p>
      <w:pPr>
        <w:spacing w:after="160" w:line="300"/>
        <w:ind w:left="400" w:hanging="4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spacing w:after="160" w:line="300"/>
        <w:ind w:left="400" w:hanging="400"/>
        <w:jc w:val="both"/>
      </w:pPr>
      <w:r>
        <w:rPr>
          <w:rFonts w:ascii="Archivo" w:cs="Archivo" w:eastAsia="Archivo" w:hAnsi="Archivo"/>
          <w:sz w:val="21"/>
          <w:szCs w:val="21"/>
        </w:rPr>
        <w:t xml:space="preserve">DACHS, M., «El seguro de defensa jurídica: cuestiones suscitadas en la praxis aseguradora en el ámbito del automóvil», Revista de Responsabilidad Civil y Seguro, INESE.</w:t>
      </w:r>
    </w:p>
    <w:p>
      <w:pPr>
        <w:spacing w:after="160" w:line="300"/>
        <w:ind w:left="400" w:hanging="400"/>
        <w:jc w:val="both"/>
      </w:pPr>
      <w:r>
        <w:rPr>
          <w:rFonts w:ascii="Archivo" w:cs="Archivo" w:eastAsia="Archivo" w:hAnsi="Archivo"/>
          <w:sz w:val="21"/>
          <w:szCs w:val="21"/>
        </w:rPr>
        <w:t xml:space="preserve">GARCÍA PALACIOS, N., «La concurrencia de seguros en los ramos de multirriesgos», Revista de la Asociación Española de Abogados Especializados en Responsabilidad Civil y Seguro, núm. 43, 2012.</w:t>
      </w:r>
    </w:p>
    <w:p>
      <w:pPr>
        <w:spacing w:after="160" w:line="300"/>
        <w:ind w:left="400" w:hanging="400"/>
        <w:jc w:val="both"/>
      </w:pPr>
      <w:r>
        <w:rPr>
          <w:rFonts w:ascii="Archivo" w:cs="Archivo" w:eastAsia="Archivo" w:hAnsi="Archivo"/>
          <w:sz w:val="21"/>
          <w:szCs w:val="21"/>
        </w:rPr>
        <w:t xml:space="preserve">JIMÉNEZ BAUTISTA, S., «Los intereses de mora de las aseguradoras, artículo 20 de la Ley del Contrato de Seguro: examen especial de la consignación», Boletín del Ministerio de Justicia, vol. 57, núm. 1942, 2003, pp. 1773-1800.</w:t>
      </w:r>
    </w:p>
    <w:p>
      <w:pPr>
        <w:spacing w:after="160" w:line="300"/>
        <w:ind w:left="400" w:hanging="4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spacing w:after="160" w:line="300"/>
        <w:ind w:left="400" w:hanging="400"/>
        <w:jc w:val="both"/>
      </w:pPr>
      <w:r>
        <w:rPr>
          <w:rFonts w:ascii="Archivo" w:cs="Archivo" w:eastAsia="Archivo" w:hAnsi="Archivo"/>
          <w:sz w:val="21"/>
          <w:szCs w:val="21"/>
        </w:rPr>
        <w:t xml:space="preserve">MIRANDA SERRANO, L. M., «Cláusulas limitativas y sorprendentes en contratos de seguro: protección de las expectativas y el consentimiento de los asegurados», Revista Crítica de Derecho Inmobiliario, núm. 761, 2017.</w:t>
      </w:r>
    </w:p>
    <w:p>
      <w:pPr>
        <w:spacing w:after="160" w:line="300"/>
        <w:ind w:left="400" w:hanging="400"/>
        <w:jc w:val="both"/>
      </w:pPr>
      <w:r>
        <w:rPr>
          <w:rFonts w:ascii="Archivo" w:cs="Archivo" w:eastAsia="Archivo" w:hAnsi="Archivo"/>
          <w:sz w:val="21"/>
          <w:szCs w:val="21"/>
        </w:rPr>
        <w:t xml:space="preserve">MIRANDA SERRANO, L. M., «La protección del asegurado en la ley de contrato de seguro: el art. 3 LCS cuarenta años después», Revista Española de Seguros, núm. 189-190, 2022 (ejemplar monográfico del IV Congreso Nacional de SEAIDA, «El contrato de seguro: digitalización, transparencia y protección del asegurado»).</w:t>
      </w:r>
    </w:p>
    <w:p>
      <w:pPr>
        <w:spacing w:after="160" w:line="300"/>
        <w:ind w:left="400" w:hanging="400"/>
        <w:jc w:val="both"/>
      </w:pPr>
      <w:r>
        <w:rPr>
          <w:rFonts w:ascii="Archivo" w:cs="Archivo" w:eastAsia="Archivo" w:hAnsi="Archivo"/>
          <w:sz w:val="21"/>
          <w:szCs w:val="21"/>
        </w:rPr>
        <w:t xml:space="preserve">TAPIA HERMIDA, A. J., «Los seguros de daños de las comunidades de propietarios y las acciones subrogatorias de las aseguradoras: jurisprudencia reciente», Revista de Responsabilidad Civil y Seguro, núm. 84, INESE, 2022.</w:t>
      </w:r>
    </w:p>
    <w:p>
      <w:pPr>
        <w:spacing w:after="160" w:line="300"/>
        <w:ind w:left="400" w:hanging="400"/>
        <w:jc w:val="both"/>
      </w:pPr>
      <w:r>
        <w:rPr>
          <w:rFonts w:ascii="Archivo" w:cs="Archivo" w:eastAsia="Archivo" w:hAnsi="Archivo"/>
          <w:sz w:val="21"/>
          <w:szCs w:val="21"/>
        </w:rPr>
        <w:t xml:space="preserve">«Contrato de seguro: la doctrina del TS en materia de cláusulas delimitadoras del riesgo», Revista Crítica de Derecho Inmobiliario, núm. 807, 2025, pp. 475-496 (sección de reseña jurisprudencial de obligaciones y contratos; DOI 10.36151/rcdi.2025.807.11).</w:t>
      </w:r>
    </w:p>
    <w:p>
      <w:pPr>
        <w:spacing w:after="160"/>
      </w:pPr>
    </w:p>
    <w:p>
      <w:pPr>
        <w:pStyle w:val="Heading2"/>
        <w:spacing w:after="160" w:before="400"/>
      </w:pPr>
      <w:r>
        <w:rPr>
          <w:rFonts w:ascii="Fraunces" w:cs="Fraunces" w:eastAsia="Fraunces" w:hAnsi="Fraunces"/>
          <w:b/>
          <w:bCs/>
          <w:color w:val="0A2540"/>
          <w:sz w:val="24"/>
          <w:szCs w:val="24"/>
        </w:rPr>
        <w:t xml:space="preserve">Referencias identificadas y no incorporadas</w:t>
      </w:r>
    </w:p>
    <w:p>
      <w:pPr>
        <w:spacing w:after="180" w:line="300"/>
        <w:jc w:val="both"/>
      </w:pPr>
      <w:r>
        <w:rPr>
          <w:rFonts w:ascii="Archivo" w:cs="Archivo" w:eastAsia="Archivo" w:hAnsi="Archivo"/>
          <w:sz w:val="21"/>
          <w:szCs w:val="21"/>
        </w:rPr>
        <w:t xml:space="preserve">Se dejan constancia, para una eventual edición ampliada, de las siguientes referencias localizadas durante la preparación de esta edición pero no incorporadas al texto por no haberse podido verificar con el mismo grado de detalle que las anteriores (autoría, número de revista o paginación exacta): BALLESTER GARRIDO, J. A., sobre cláusulas lesivas, limitativas y delimitadoras y expectativas razonables del asegurado, Revista de Derecho Mercantil; LA CASA GARCÍA, R., sobre cláusulas limitativas y delimitadoras y mora del asegurador en el seguro de responsabilidad civil, Revista de Derecho Mercantil; SÁENZ DE JUBERA HIGUERO, B., sobre cláusulas limitativas y cláusulas claim made, Revista Crítica de Derecho Inmobiliario, núm. 770, 2018; ORTIZ DEL VALLE, M. C., sobre la distinción entre cláusulas limitativas y delimitadoras, Revista Lex Mercatoria; OTAZU SERRANO, M. J., sobre doble transparencia y protección de consumidores, Revista Española de Seguros, núm. 171-172, 2017; MANCHÓN GONZÁLEZ-ESTÉFANI, R., sobre duplicidad y solapamiento de coberturas en seguros multirriesgo, Actuarios, núm. 36, 2015; BECH SERRAT, J. M., comentario a la STS de 26 de junio de 2003, Cuadernos Civitas de Jurisprudencia Civil, núm. 66, 2004; VEIGA COPO, A. B. (dir.), La protección del cliente en el mercado asegurador, obra colectiva; y los estudios sobre riesgos extraordinarios publicados en la Revista Consorseguros a raíz de la DANA de octubre de 2024.</w:t>
      </w:r>
    </w:p>
    <w:p>
      <w:pPr>
        <w:spacing w:after="160"/>
      </w:pPr>
    </w:p>
    <w:p>
      <w:pPr>
        <w:pStyle w:val="Heading2"/>
        <w:spacing w:after="160" w:before="400"/>
      </w:pPr>
      <w:r>
        <w:rPr>
          <w:rFonts w:ascii="Fraunces" w:cs="Fraunces" w:eastAsia="Fraunces" w:hAnsi="Fraunces"/>
          <w:b/>
          <w:bCs/>
          <w:color w:val="0A2540"/>
          <w:sz w:val="24"/>
          <w:szCs w:val="24"/>
        </w:rPr>
        <w:t xml:space="preserve">Publicaciones periódicas</w:t>
      </w:r>
    </w:p>
    <w:p>
      <w:pPr>
        <w:spacing w:after="160" w:line="300"/>
        <w:ind w:left="400" w:hanging="4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spacing w:after="160" w:line="300"/>
        <w:ind w:left="400" w:hanging="400"/>
        <w:jc w:val="both"/>
      </w:pPr>
      <w:r>
        <w:rPr>
          <w:rFonts w:ascii="Archivo" w:cs="Archivo" w:eastAsia="Archivo" w:hAnsi="Archivo"/>
          <w:sz w:val="21"/>
          <w:szCs w:val="21"/>
        </w:rPr>
        <w:t xml:space="preserve">Revista de Responsabilidad Civil y Seguro, Asociación Española de Abogados Especializados en Responsabilidad Civil y Seguro / INESE, Madrid.</w:t>
      </w:r>
    </w:p>
    <w:p>
      <w:pPr>
        <w:spacing w:after="240"/>
      </w:pPr>
    </w:p>
    <w:p>
      <w:pPr>
        <w:pStyle w:val="Heading2"/>
        <w:spacing w:after="160" w:before="400"/>
      </w:pPr>
      <w:r>
        <w:rPr>
          <w:rFonts w:ascii="Fraunces" w:cs="Fraunces" w:eastAsia="Fraunces" w:hAnsi="Fraunces"/>
          <w:b/>
          <w:bCs/>
          <w:color w:val="0A2540"/>
          <w:sz w:val="24"/>
          <w:szCs w:val="24"/>
        </w:rPr>
        <w:t xml:space="preserve">Líneas de ampliación bibliográfica pendientes</w:t>
      </w:r>
    </w:p>
    <w:p>
      <w:pPr>
        <w:spacing w:after="180" w:line="300"/>
        <w:jc w:val="both"/>
      </w:pPr>
      <w:r>
        <w:rPr>
          <w:rFonts w:ascii="Archivo" w:cs="Archivo" w:eastAsia="Archivo" w:hAnsi="Archivo"/>
          <w:sz w:val="21"/>
          <w:szCs w:val="21"/>
        </w:rPr>
        <w:t xml:space="preserve">Para una eventual edición ampliada de esta obra, quedan identificadas como líneas de investigación bibliográfica adicional, no incorporadas en la presente edición por no haberse podido verificar con el mismo grado de detalle: la producción doctrinal específica sobre el seguro de robo y el umbral de la negligencia grave; la jurisprudencia menor —anterior a la generalización del ROJ y el ECLI en las bases de datos oficiales— citada por la doctrina especializada en defensa jurídica del ramo del automóvil (SSAP de Zaragoza, Jaén, Cáceres, Huesca, Lugo y otras, de finales de los años noventa y principios de los dos mil), que no ha podido verificarse de forma independiente contra CENDOJ y que, por ello, no se ha incorporado como cita directa en el capítulo 14; y la bibliografía comparada sobre la reasonable expectations doctrine anglosajona en su proyección sobre el derecho español de seguros, apuntada en el capítulo 1.</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MIRANDA SERRANO, L. M., «Cláusulas limitativas y sorprendentes en contratos de seguro: protección de las expectativas y el consentimiento de los asegurados», Revista Crítica de Derecho Inmobiliario, núm. 761, 2017, que sitúa la cláusula sorpresiva precisamente en la defraudación de esas expectativas legítimas; en la misma línea, del mismo autor, «La protección del asegurado en la ley de contrato de seguro: el art. 3 LCS cuarenta años después», Revista Española de Seguros, núm. 189-190, 2022. Sobre el fundamento histórico de la distinción, vid. LARRAYA RUIZ, L. J., Las cláusulas limitativas de los derechos de los asegurados: (artículo 3.1 de la Ley 50/1980, de contrato de seguro), tesis doctoral dirigida por V. San Julián Puig, Universidad de Navarra, 2001.</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8">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9">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0">
    <w:p>
      <w:r>
        <w:rPr>
          <w:rStyle w:val="FootnoteReference"/>
        </w:rPr>
        <w:footnoteRef/>
      </w:r>
      <w:r>
        <w:rPr>
          <w:rFonts w:ascii="Archivo" w:cs="Archivo" w:eastAsia="Archivo" w:hAnsi="Archivo"/>
          <w:sz w:val="17"/>
          <w:szCs w:val="17"/>
        </w:rPr>
        <w:t xml:space="preserve">La Ley 26/2006, de mediación de seguros y reaseguros privados, que rigió esta materia hasta 2020, ya había avanzado buena parte de este régimen; el RD-ley 3/2020 lo refuerza y lo alinea con el estándar comunitario, ampliando su ámbito subjetivo a la propia aseguradora cuando distribuye directamente sus productos, no solo a los mediadores independientes; cfr. VEIGA COPO, A. B., Tratado del Contrato de Seguro, op. cit., tomo dedicado a la distribución de seguros.</w:t>
      </w:r>
    </w:p>
  </w:footnote>
  <w:footnote w:id="11">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2">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3">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25 de esta obra.</w:t>
      </w:r>
    </w:p>
  </w:footnote>
  <w:footnote w:id="14">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 w:id="15">
    <w:p>
      <w:r>
        <w:rPr>
          <w:rStyle w:val="FootnoteReference"/>
        </w:rPr>
        <w:footnoteRef/>
      </w:r>
      <w:r>
        <w:rPr>
          <w:rFonts w:ascii="Archivo" w:cs="Archivo" w:eastAsia="Archivo" w:hAnsi="Archivo"/>
          <w:sz w:val="17"/>
          <w:szCs w:val="17"/>
        </w:rPr>
        <w:t xml:space="preserve">Estas dos últimas reglas complementarias —el criterio del «abigarramiento» como indicio de falta de destacado real, y la admisión de la aceptación por remisión a documento aparte firmado— proceden, según la propia STS 3754/2015, de una línea de precedentes reiterada de la Sala Primera; se citan aquí por su valor sistemático tal y como aparecen compendiadas en dicha sentencia, sin verificación independiente de cada uno de los precedentes originarios más allá de la propia STS 3754/2015.</w:t>
      </w:r>
    </w:p>
  </w:footnote>
  <w:footnote w:id="16">
    <w:p>
      <w:r>
        <w:rPr>
          <w:rStyle w:val="FootnoteReference"/>
        </w:rPr>
        <w:footnoteRef/>
      </w:r>
      <w:r>
        <w:rPr>
          <w:rFonts w:ascii="Archivo" w:cs="Archivo" w:eastAsia="Archivo" w:hAnsi="Archivo"/>
          <w:sz w:val="17"/>
          <w:szCs w:val="17"/>
        </w:rPr>
        <w:t xml:space="preserve">La distinción entre «interpretación» (fijación del sentido de una declaración de voluntad) y «calificación» (subsunción de esa declaración ya interpretada en una categoría jurídica, como delimitadora o limitativa) es una distinción metodológica clásica que conviene no perder de vista: los cánones de este capítulo operan lógicamente antes de la calificación estudiada en los capítulos 1 y 5; cfr. SÁNCHEZ CALERO, F. (dir.), op. cit., epígrafe introductorio a la interpretación del contrato de seguro.</w:t>
      </w:r>
    </w:p>
  </w:footnote>
  <w:footnote w:id="17">
    <w:p>
      <w:r>
        <w:rPr>
          <w:rStyle w:val="FootnoteReference"/>
        </w:rPr>
        <w:footnoteRef/>
      </w:r>
      <w:r>
        <w:rPr>
          <w:rFonts w:ascii="Archivo" w:cs="Archivo" w:eastAsia="Archivo" w:hAnsi="Archivo"/>
          <w:sz w:val="17"/>
          <w:szCs w:val="17"/>
        </w:rPr>
        <w:t xml:space="preserve">El principio de conservación del contrato (favor contractus), del que el art. 1284 CC es una manifestación particular, opera como límite a las interpretaciones extensivas de las exclusiones que, de aceptarse, convertirían la cobertura contratada en ilusoria; sobre su aplicación al contrato de seguro, cfr. VEIGA COPO, A. B., Condiciones generales y particulares en el contrato de seguro, op. cit., capítulo dedicado a la interpretación.</w:t>
      </w:r>
    </w:p>
  </w:footnote>
  <w:footnote w:id="18">
    <w:p>
      <w:r>
        <w:rPr>
          <w:rStyle w:val="FootnoteReference"/>
        </w:rPr>
        <w:footnoteRef/>
      </w:r>
      <w:r>
        <w:rPr>
          <w:rFonts w:ascii="Archivo" w:cs="Archivo" w:eastAsia="Archivo" w:hAnsi="Archivo"/>
          <w:sz w:val="17"/>
          <w:szCs w:val="17"/>
        </w:rPr>
        <w:t xml:space="preserve">La aplicación supletoria de las disposiciones específicas del seguro de incendio (arts. 45-49 LCS) al seguro multirriesgo, en la parte relativa a esta garantía, es doctrina y práctica pacífica; cfr. SÁNCHEZ CALERO, F. (dir.), op. cit., ad art. 45, sobre la naturaleza de estas normas como «núcleo mínimo» irrenunciable del seguro de incendio cualquiera que sea el producto en que se integre.</w:t>
      </w:r>
    </w:p>
  </w:footnote>
  <w:footnote w:id="19">
    <w:p>
      <w:r>
        <w:rPr>
          <w:rStyle w:val="FootnoteReference"/>
        </w:rPr>
        <w:footnoteRef/>
      </w:r>
      <w:r>
        <w:rPr>
          <w:rFonts w:ascii="Archivo" w:cs="Archivo" w:eastAsia="Archivo" w:hAnsi="Archivo"/>
          <w:sz w:val="17"/>
          <w:szCs w:val="17"/>
        </w:rPr>
        <w:t xml:space="preserve">La amplitud de la cobertura del art. 48 LCS a favor del asegurado, cubriendo incluso su propia negligencia leve, es una de las notas que distinguen históricamente al seguro de incendio de otras modalidades de seguro de daños, heredada de la tradición aseguradora continental; cfr. VEIGA COPO, A. B., Tratado del Contrato de Seguro, op. cit., tomo dedicado a los seguros de daños patrimoniales, capítulo sobre el seguro de incendio.</w:t>
      </w:r>
    </w:p>
  </w:footnote>
  <w:footnote w:id="20">
    <w:p>
      <w:r>
        <w:rPr>
          <w:rStyle w:val="FootnoteReference"/>
        </w:rPr>
        <w:footnoteRef/>
      </w:r>
      <w:r>
        <w:rPr>
          <w:rFonts w:ascii="Archivo" w:cs="Archivo" w:eastAsia="Archivo" w:hAnsi="Archivo"/>
          <w:sz w:val="17"/>
          <w:szCs w:val="17"/>
        </w:rPr>
        <w:t xml:space="preserve">La ausencia de régimen legal específico obliga a proyectar sobre esta garantía, con mayor intensidad que sobre otras, el régimen general de los arts. 1 a 44 LCS (disposiciones generales del seguro contra daños) y, muy especialmente, el art. 3 LCS sobre condiciones generales y limitativas, estudiado en los capítulos 1 y 5; cfr. BATALLER GRAU, J. et al., op. cit., epígrafe introductorio al comentario de las coberturas atípicas del seguro multirriesgo.</w:t>
      </w:r>
    </w:p>
  </w:footnote>
  <w:footnote w:id="21">
    <w:p>
      <w:r>
        <w:rPr>
          <w:rStyle w:val="FootnoteReference"/>
        </w:rPr>
        <w:footnoteRef/>
      </w:r>
      <w:r>
        <w:rPr>
          <w:rFonts w:ascii="Archivo" w:cs="Archivo" w:eastAsia="Archivo" w:hAnsi="Archivo"/>
          <w:sz w:val="17"/>
          <w:szCs w:val="17"/>
        </w:rPr>
        <w:t xml:space="preserve">La distinción entre falta de mantenimiento (excluida) y vicio o defecto constructivo de origen (que puede dar lugar, además, a la responsabilidad de los agentes de la edificación conforme a la LOE, ajena al contrato de seguro) exige, en la práctica, una prueba pericial que se remonte al origen técnico del defecto, no solo a su manifestación externa; cfr. BATALLER GRAU, J. et al., op. cit., ad art. 3, epígrafe sobre exclusiones por deterioro.</w:t>
      </w:r>
    </w:p>
  </w:footnote>
  <w:footnote w:id="22">
    <w:p>
      <w:r>
        <w:rPr>
          <w:rStyle w:val="FootnoteReference"/>
        </w:rPr>
        <w:footnoteRef/>
      </w:r>
      <w:r>
        <w:rPr>
          <w:rFonts w:ascii="Archivo" w:cs="Archivo" w:eastAsia="Archivo" w:hAnsi="Archivo"/>
          <w:sz w:val="17"/>
          <w:szCs w:val="17"/>
        </w:rPr>
        <w:t xml:space="preserve">Sobre la distinción entre daño continuado (que no cierra el plazo de prescripción hasta la consolidación del resultado definitivo) y daño permanente de producción instantánea (cuyo plazo corre desde el conocimiento inicial), con abundante cita de precedentes, vid. la reseña doctrinal de esta distinción en Revista Española de Seguros, op. cit.</w:t>
      </w:r>
    </w:p>
  </w:footnote>
  <w:footnote w:id="23">
    <w:p>
      <w:r>
        <w:rPr>
          <w:rStyle w:val="FootnoteReference"/>
        </w:rPr>
        <w:footnoteRef/>
      </w:r>
      <w:r>
        <w:rPr>
          <w:rFonts w:ascii="Archivo" w:cs="Archivo" w:eastAsia="Archivo" w:hAnsi="Archivo"/>
          <w:sz w:val="17"/>
          <w:szCs w:val="17"/>
        </w:rPr>
        <w:t xml:space="preserve">Sobre la problemática específica de la concurrencia de seguros en los ramos multirriesgo y su tratamiento por la práctica aseguradora española, vid. GARCÍA PALACIOS, N., «La concurrencia de seguros en los ramos de multirriesgos», Revista de la Asociación Española de Abogados Especializados en Responsabilidad Civil y Seguro, núm. 43, 2012.</w:t>
      </w:r>
    </w:p>
  </w:footnote>
  <w:footnote w:id="24">
    <w:p>
      <w:r>
        <w:rPr>
          <w:rStyle w:val="FootnoteReference"/>
        </w:rPr>
        <w:footnoteRef/>
      </w:r>
      <w:r>
        <w:rPr>
          <w:rFonts w:ascii="Archivo" w:cs="Archivo" w:eastAsia="Archivo" w:hAnsi="Archivo"/>
          <w:sz w:val="17"/>
          <w:szCs w:val="17"/>
        </w:rPr>
        <w:t xml:space="preserve">El art. 50 LCS emplea la expresión «sustracción ilegítima» y remite a «cualquiera de sus formas» de comisión del delito, lo que en la práctica aseguradora se interpreta en sentido amplio, comprensivo tanto del robo con fuerza o violencia como, cuando así se pacte, del hurto y de la apropiación indebida; sobre esta amplitud conceptual, cfr. SÁNCHEZ CALERO, F. (dir.), op. cit., ad art. 50.</w:t>
      </w:r>
    </w:p>
  </w:footnote>
  <w:footnote w:id="25">
    <w:p>
      <w:r>
        <w:rPr>
          <w:rStyle w:val="FootnoteReference"/>
        </w:rPr>
        <w:footnoteRef/>
      </w:r>
      <w:r>
        <w:rPr>
          <w:rFonts w:ascii="Archivo" w:cs="Archivo" w:eastAsia="Archivo" w:hAnsi="Archivo"/>
          <w:sz w:val="17"/>
          <w:szCs w:val="17"/>
        </w:rPr>
        <w:t xml:space="preserve">El sistema dual español —aseguramiento privado de riesgos ordinarios y cobertura pública complementaria de riesgos catastróficos mediante recargo obligatorio— es una de las señas de identidad del ordenamiento asegurador español, sin equivalente exacto en otros ordenamientos de nuestro entorno; sobre su fundamento y funcionamiento, vid. VEIGA COPO, A. B., Tratado del Contrato de Seguro, op. cit., tomo dedicado al Consorcio de Compensación de Seguros.</w:t>
      </w:r>
    </w:p>
  </w:footnote>
  <w:footnote w:id="26">
    <w:p>
      <w:r>
        <w:rPr>
          <w:rStyle w:val="FootnoteReference"/>
        </w:rPr>
        <w:footnoteRef/>
      </w:r>
      <w:r>
        <w:rPr>
          <w:rFonts w:ascii="Archivo" w:cs="Archivo" w:eastAsia="Archivo" w:hAnsi="Archivo"/>
          <w:sz w:val="17"/>
          <w:szCs w:val="17"/>
        </w:rPr>
        <w:t xml:space="preserve">La frontera no se traza, como suele creerse, por la intensidad pluviométrica del episodio, sino por el mecanismo físico del daño: el Consorcio cubre el anegamiento del terreno —incluido el causado por la acción directa del agua de lluvia sobre él— y el desbordamiento de cauces naturales, mientras que la lluvia que penetra por la cubierta, la azotea, la red de desagüe o los patios del propio inmueble queda expresamente fuera de su ámbito y se reconduce, si existe cobertura, al clausulado privado. De ahí que un mismo episodio meteorológico pueda generar simultáneamente daños a cargo del Consorcio y daños a cargo de la aseguradora privada en un mismo edificio.</w:t>
      </w:r>
    </w:p>
  </w:footnote>
  <w:footnote w:id="27">
    <w:p>
      <w:r>
        <w:rPr>
          <w:rStyle w:val="FootnoteReference"/>
        </w:rPr>
        <w:footnoteRef/>
      </w:r>
      <w:r>
        <w:rPr>
          <w:rFonts w:ascii="Archivo" w:cs="Archivo" w:eastAsia="Archivo" w:hAnsi="Archivo"/>
          <w:sz w:val="17"/>
          <w:szCs w:val="17"/>
        </w:rPr>
        <w:t xml:space="preserve">La sustitución normativa no priva de vigencia a la doctrina sobre el control judicial del concepto jurídico indeterminado, que es una doctrina de alcance general sobre la relación entre ley y reglamento y sobre los límites de la interpretación administrativa, y no una regla dependiente del concreto texto reglamentario aplicado. Sí obliga, en cambio, a construir hoy el argumento sobre la definición vigente del art. 2.1.c) del RD 300/2004, sensiblemente más detallada que la de 1986, y a no reproducir sin más los pasajes de la sentencia referidos al texto derogado.</w:t>
      </w:r>
    </w:p>
  </w:footnote>
  <w:footnote w:id="28">
    <w:p>
      <w:r>
        <w:rPr>
          <w:rStyle w:val="FootnoteReference"/>
        </w:rPr>
        <w:footnoteRef/>
      </w:r>
      <w:r>
        <w:rPr>
          <w:rFonts w:ascii="Archivo" w:cs="Archivo" w:eastAsia="Archivo" w:hAnsi="Archivo"/>
          <w:sz w:val="17"/>
          <w:szCs w:val="17"/>
        </w:rPr>
        <w:t xml:space="preserve">El caso ilustra con particular nitidez la utilidad del criterio del «contenido natural del contrato» y de las «expectativas razonables» del asegurado, ya estudiados en el capítulo 1: la cobertura de daños por lluvia constituye prestación natural de una póliza multirriesgo de hogar que la anuncia en sus condiciones particulares, de modo que la restricción preestablecida que la vacía de contenido efectivo exige la garantía adicional de conocimiento propia del régimen de las cláusulas limitativas. Es también un ejemplo de cómo una misma cifra —los 40 litros por metro cuadrado y hora— cumple una función legítima en la norma reglamentaria que delimita la competencia del Consorcio y una función abusiva cuando se traslada, sin advertencia destacada, al clausulado de una garantía privada.</w:t>
      </w:r>
    </w:p>
  </w:footnote>
  <w:footnote w:id="29">
    <w:p>
      <w:r>
        <w:rPr>
          <w:rStyle w:val="FootnoteReference"/>
        </w:rPr>
        <w:footnoteRef/>
      </w:r>
      <w:r>
        <w:rPr>
          <w:rFonts w:ascii="Archivo" w:cs="Archivo" w:eastAsia="Archivo" w:hAnsi="Archivo"/>
          <w:sz w:val="17"/>
          <w:szCs w:val="17"/>
        </w:rPr>
        <w:t xml:space="preserve">La ausencia de régimen legal específico para esta garantía —al igual que para la de daños por agua— exige proyectar sobre ella, con toda su intensidad, el régimen general de los arts. 1 a 44 LCS y, muy especialmente, el art. 3 LCS sobre condiciones generales y limitativas; cfr. capítulo 8, epígrafe 8.1, cuyo razonamiento es plenamente trasladable a esta garantía.</w:t>
      </w:r>
    </w:p>
  </w:footnote>
  <w:footnote w:id="30">
    <w:p>
      <w:r>
        <w:rPr>
          <w:rStyle w:val="FootnoteReference"/>
        </w:rPr>
        <w:footnoteRef/>
      </w:r>
      <w:r>
        <w:rPr>
          <w:rFonts w:ascii="Archivo" w:cs="Archivo" w:eastAsia="Archivo" w:hAnsi="Archivo"/>
          <w:sz w:val="17"/>
          <w:szCs w:val="17"/>
        </w:rPr>
        <w:t xml:space="preserve">El reconocimiento del daño estético como partida autónoma en el ámbito de los daños materiales a inmuebles —a diferencia del daño estético en su acepción más conocida de responsabilidad civil por lesiones corporales— es una construcción jurisprudencial de raíz eminentemente práctica, fundada en la insatisfacción real del perjudicado que recibe una reparación materialmente correcta pero estéticamente desigual; cfr. la reseña de esta línea jurisprudencial en Revista Española de Seguros, op. cit.</w:t>
      </w:r>
    </w:p>
  </w:footnote>
  <w:footnote w:id="31">
    <w:p>
      <w:r>
        <w:rPr>
          <w:rStyle w:val="FootnoteReference"/>
        </w:rPr>
        <w:footnoteRef/>
      </w:r>
      <w:r>
        <w:rPr>
          <w:rFonts w:ascii="Archivo" w:cs="Archivo" w:eastAsia="Archivo" w:hAnsi="Archivo"/>
          <w:sz w:val="17"/>
          <w:szCs w:val="17"/>
        </w:rPr>
        <w:t xml:space="preserve">La inserción de una garantía de responsabilidad civil dentro de una póliza multirriesgo no altera su naturaleza jurídica: sigue rigiéndose por el régimen especial de los arts. 73 y siguientes LCS, y no por el régimen general del seguro de daños propios; cfr. SÁNCHEZ CALERO, F. (dir.), op. cit., ad art. 73.</w:t>
      </w:r>
    </w:p>
  </w:footnote>
  <w:footnote w:id="32">
    <w:p>
      <w:r>
        <w:rPr>
          <w:rStyle w:val="FootnoteReference"/>
        </w:rPr>
        <w:footnoteRef/>
      </w:r>
      <w:r>
        <w:rPr>
          <w:rFonts w:ascii="Archivo" w:cs="Archivo" w:eastAsia="Archivo" w:hAnsi="Archivo"/>
          <w:sz w:val="17"/>
          <w:szCs w:val="17"/>
        </w:rPr>
        <w:t xml:space="preserve">La acción directa del art. 76 LCS es una de las manifestaciones más características del carácter tuitivo del seguro de responsabilidad civil hacia el tercero perjudicado, ajeno por completo a la relación contractual entre tomador y asegurador; sobre su naturaleza jurídica (¿acción propia iure proprio o subrogación legal?), cfr. VEIGA COPO, A. B., Tratado del Contrato de Seguro, op. cit., tomo dedicado al seguro de responsabilidad civil.</w:t>
      </w:r>
    </w:p>
  </w:footnote>
  <w:footnote w:id="33">
    <w:p>
      <w:r>
        <w:rPr>
          <w:rStyle w:val="FootnoteReference"/>
        </w:rPr>
        <w:footnoteRef/>
      </w:r>
      <w:r>
        <w:rPr>
          <w:rFonts w:ascii="Archivo" w:cs="Archivo" w:eastAsia="Archivo" w:hAnsi="Archivo"/>
          <w:sz w:val="17"/>
          <w:szCs w:val="17"/>
        </w:rPr>
        <w:t xml:space="preserve">Sobre el alcance de la responsabilidad civil de los padres, tutores y guardadores por hechos de menores conforme al art. 1903 CC y al art. 61.3 de la Ley Orgánica 5/2000, reguladora de la responsabilidad penal de los menores —de carácter objetivo y solidario entre ambos progenitores, con independencia de con cuál de ellos conviva habitualmente el menor—, y su cobertura por el seguro de responsabilidad civil del hogar, vid. MAGRO SERVET, V., «Alcance de la responsabilidad por daños del seguro de hogar ante perjudicados por delitos dolosos del asegurado», Diario LA LEY, núm. 9327, 2018.</w:t>
      </w:r>
    </w:p>
  </w:footnote>
  <w:footnote w:id="34">
    <w:p>
      <w:r>
        <w:rPr>
          <w:rStyle w:val="FootnoteReference"/>
        </w:rPr>
        <w:footnoteRef/>
      </w:r>
      <w:r>
        <w:rPr>
          <w:rFonts w:ascii="Archivo" w:cs="Archivo" w:eastAsia="Archivo" w:hAnsi="Archivo"/>
          <w:sz w:val="17"/>
          <w:szCs w:val="17"/>
        </w:rPr>
        <w:t xml:space="preserve">La autonomía del seguro de defensa jurídica frente al de responsabilidad civil, pese a su frecuente coexistencia en una misma póliza y a su origen normativo común en la transposición de la Directiva 87/344/CEE, es un rasgo estructural destacado unánimemente por la doctrina; cfr. BATALLER GRAU, J. et al., op. cit., ad arts. 76.a) a 76.g). La doctrina especializada en el ramo del automóvil —donde la litigiosidad de esta garantía es históricamente más abundante, pero cuyas conclusiones son extrapolables al hogar por regularse en idénticos preceptos— ha señalado la persistente dificultad práctica de distinguir con nitidez, ante una misma reclamación, la cobertura de defensa jurídica en sentido propio (art. 76.a) LCS) de la simple dirección jurídica accesoria a la responsabilidad civil (art. 74 LCS), así como los problemas de calificación de la cláusula de límite cuantitativo ya tratados en el epígrafe 14.3; vid. DACHS, M., «El seguro de defensa jurídica: cuestiones suscitadas en la praxis aseguradora en el ámbito del automóvil», Revista de Responsabilidad Civil y Seguro, INESE; OLMOS PILDÁIN, A., El seguro de defensa jurídica, Aranzadi, Cizur Menor, 1997, obra de referencia sobre la naturaleza de la cláusula de límite cuantitativo como delimitadora de cobertura y no como restricción encubierta del derecho de libre elección.</w:t>
      </w:r>
    </w:p>
  </w:footnote>
  <w:footnote w:id="35">
    <w:p>
      <w:r>
        <w:rPr>
          <w:rStyle w:val="FootnoteReference"/>
        </w:rPr>
        <w:footnoteRef/>
      </w:r>
      <w:r>
        <w:rPr>
          <w:rFonts w:ascii="Archivo" w:cs="Archivo" w:eastAsia="Archivo" w:hAnsi="Archivo"/>
          <w:sz w:val="17"/>
          <w:szCs w:val="17"/>
        </w:rPr>
        <w:t xml:space="preserve">El derecho de libre elección de abogado y procurador constituye, según ha destacado la doctrina, el núcleo mismo de la protección que el legislador comunitario quiso otorgar al asegurado de defensa jurídica frente al riesgo de que el asegurador, al controlar la elección del profesional, subordinase la calidad de la defensa a sus propios intereses económicos como pagador; cfr. VEIGA COPO, A. B., Tratado del Contrato de Seguro, op. cit., tomo dedicado al seguro de defensa jurídica.</w:t>
      </w:r>
    </w:p>
  </w:footnote>
  <w:footnote w:id="36">
    <w:p>
      <w:r>
        <w:rPr>
          <w:rStyle w:val="FootnoteReference"/>
        </w:rPr>
        <w:footnoteRef/>
      </w:r>
      <w:r>
        <w:rPr>
          <w:rFonts w:ascii="Archivo" w:cs="Archivo" w:eastAsia="Archivo" w:hAnsi="Archivo"/>
          <w:sz w:val="17"/>
          <w:szCs w:val="17"/>
        </w:rPr>
        <w:t xml:space="preserve">La frontera entre el sublímite como mera concreción cuantitativa del riesgo (delimitador) y el sublímite como vaciamiento encubierto de la cobertura general (limitativo o lesivo) es una de las cuestiones más debatidas en la doctrina reciente sobre el art. 3 LCS aplicado a coberturas especiales; cfr. VEIGA COPO, A. B., Condiciones generales y particulares en el contrato de seguro, op. cit.</w:t>
      </w:r>
    </w:p>
  </w:footnote>
  <w:footnote w:id="37">
    <w:p>
      <w:r>
        <w:rPr>
          <w:rStyle w:val="FootnoteReference"/>
        </w:rPr>
        <w:footnoteRef/>
      </w:r>
      <w:r>
        <w:rPr>
          <w:rFonts w:ascii="Archivo" w:cs="Archivo" w:eastAsia="Archivo" w:hAnsi="Archivo"/>
          <w:sz w:val="17"/>
          <w:szCs w:val="17"/>
        </w:rPr>
        <w:t xml:space="preserve">La ausencia de una obligación legal general de aseguramiento de la comunidad contrasta con la extendidísima práctica de suscribirlo, impulsada tanto por la prudencia de las juntas de propietarios como, en ocasiones, por su previsión expresa en los estatutos de la comunidad; cfr. BATALLER GRAU, J. et al., op. cit., epígrafe sobre seguros en la propiedad horizontal.</w:t>
      </w:r>
    </w:p>
  </w:footnote>
  <w:footnote w:id="38">
    <w:p>
      <w:r>
        <w:rPr>
          <w:rStyle w:val="FootnoteReference"/>
        </w:rPr>
        <w:footnoteRef/>
      </w:r>
      <w:r>
        <w:rPr>
          <w:rFonts w:ascii="Archivo" w:cs="Archivo" w:eastAsia="Archivo" w:hAnsi="Archivo"/>
          <w:sz w:val="17"/>
          <w:szCs w:val="17"/>
        </w:rPr>
        <w:t xml:space="preserve">Sobre la caracterización del seguro de comunidad como póliza de naturaleza mixta o combinada —seguro de cosas y, a la vez, seguro de deudas—, con un análisis detallado de sus elementos objetivos y subjetivos (asegurador, tomador, asegurado, beneficiario y tercero perjudicado), vid. TAPIA HERMIDA, A. J., «Los seguros de daños de las comunidades de propietarios y las acciones subrogatorias de las aseguradoras: jurisprudencia reciente», Revista de Responsabilidad Civil y Seguro, núm. 84, INESE, 2022; del mismo autor, Guía del Contrato de Seguro, 2.ª ed., Colección Monografías Aranzadi, Aranzadi, Cizur Menor, 2022. Sobre los seguros de daños en las cosas y los seguros de deudas en general, vid. SÁNCHEZ CALERO, F.; SÁNCHEZ-CALERO GUILARTE, J., Instituciones de Derecho Mercantil, vol. II, últimas ediciones.</w:t>
      </w:r>
    </w:p>
  </w:footnote>
  <w:footnote w:id="39">
    <w:p>
      <w:r>
        <w:rPr>
          <w:rStyle w:val="FootnoteReference"/>
        </w:rPr>
        <w:footnoteRef/>
      </w:r>
      <w:r>
        <w:rPr>
          <w:rFonts w:ascii="Archivo" w:cs="Archivo" w:eastAsia="Archivo" w:hAnsi="Archivo"/>
          <w:sz w:val="17"/>
          <w:szCs w:val="17"/>
        </w:rPr>
        <w:t xml:space="preserve">La complejidad de esta cuestión, se ha señalado, exige combinar un criterio subjetivo (los distintos roles que juegan comunidad y comuneros según sean tomadores, asegurados o terceros) con un criterio objetivo (el contenido exacto de la cobertura contratada en la póliza litigiosa, que puede o no extender la condición de asegurado a los elementos privativos o a la responsabilidad civil individual de cada comunero); cfr. TAPIA HERMIDA, A. J., «Los seguros de daños de las comunidades de propietarios...», op. cit., epígrafe de conclusiones.</w:t>
      </w:r>
    </w:p>
  </w:footnote>
  <w:footnote w:id="40">
    <w:p>
      <w:r>
        <w:rPr>
          <w:rStyle w:val="FootnoteReference"/>
        </w:rPr>
        <w:footnoteRef/>
      </w:r>
      <w:r>
        <w:rPr>
          <w:rFonts w:ascii="Archivo" w:cs="Archivo" w:eastAsia="Archivo" w:hAnsi="Archivo"/>
          <w:sz w:val="17"/>
          <w:szCs w:val="17"/>
        </w:rPr>
        <w:t xml:space="preserve">El requisito de la alteridad —que el sujeto contra quien se dirige la acción subrogatoria sea realmente distinto del asegurado indemnizado— constituye, junto con el pago previo de la indemnización, uno de los presupuestos normativos clásicos de la acción del art. 43 LCS, sistematizados con detalle por la jurisprudencia con cita de la STS 699/2013, de 19 de noviembre; vid. TAPIA HERMIDA, A. J., op. cit.</w:t>
      </w:r>
    </w:p>
  </w:footnote>
  <w:footnote w:id="41">
    <w:p>
      <w:r>
        <w:rPr>
          <w:rStyle w:val="FootnoteReference"/>
        </w:rPr>
        <w:footnoteRef/>
      </w:r>
      <w:r>
        <w:rPr>
          <w:rFonts w:ascii="Archivo" w:cs="Archivo" w:eastAsia="Archivo" w:hAnsi="Archivo"/>
          <w:sz w:val="17"/>
          <w:szCs w:val="17"/>
        </w:rPr>
        <w:t xml:space="preserve">La brecha entre la evolución técnica del riesgo doméstico y la actualización del clausulado estándar es un fenómeno señalado con frecuencia por la doctrina más reciente en seguros de consumo; ante la falta de previsión expresa, el criterio interpretativo aplicable sigue siendo el de la expectativa razonable del asegurado medio y el contenido natural del ramo, ya estudiados en el capítulo 1.</w:t>
      </w:r>
    </w:p>
  </w:footnote>
  <w:footnote w:id="42">
    <w:p>
      <w:r>
        <w:rPr>
          <w:rStyle w:val="FootnoteReference"/>
        </w:rPr>
        <w:footnoteRef/>
      </w:r>
      <w:r>
        <w:rPr>
          <w:rFonts w:ascii="Archivo" w:cs="Archivo" w:eastAsia="Archivo" w:hAnsi="Archivo"/>
          <w:sz w:val="17"/>
          <w:szCs w:val="17"/>
        </w:rPr>
        <w:t xml:space="preserve">La distinción entre exclusiones legales imperativas y exclusiones convencionales sujetas al art. 3 LCS, aunque conceptualmente sencilla, exige un ejercicio constante de calificación en la práctica, dado que muchas condiciones generales reproducen o parafrasean exclusiones legales sin indicar su origen normativo; cfr. SÁNCHEZ CALERO, F. (dir.), op. cit., epígrafe introductorio al régimen de exclusiones del seguro de daños.</w:t>
      </w:r>
    </w:p>
  </w:footnote>
  <w:footnote w:id="43">
    <w:p>
      <w:r>
        <w:rPr>
          <w:rStyle w:val="FootnoteReference"/>
        </w:rPr>
        <w:footnoteRef/>
      </w:r>
      <w:r>
        <w:rPr>
          <w:rFonts w:ascii="Archivo" w:cs="Archivo" w:eastAsia="Archivo" w:hAnsi="Archivo"/>
          <w:sz w:val="17"/>
          <w:szCs w:val="17"/>
        </w:rPr>
        <w:t xml:space="preserve">La exclusión por desocupación prolongada guarda una relación funcional con el deber de comunicación de la agravación del riesgo del art. 11 LCS estudiado en el capítulo 4, en la medida en que un cambio duradero en el patrón de ocupación de la vivienda puede constituir, en sí mismo, una circunstancia agravante sujeta a dicho deber si fue objeto de pregunta en el cuestionario inicial; cfr. capítulo 4, epígrafe 4.3.1.</w:t>
      </w:r>
    </w:p>
  </w:footnote>
  <w:footnote w:id="44">
    <w:p>
      <w:r>
        <w:rPr>
          <w:rStyle w:val="FootnoteReference"/>
        </w:rPr>
        <w:footnoteRef/>
      </w:r>
      <w:r>
        <w:rPr>
          <w:rFonts w:ascii="Archivo" w:cs="Archivo" w:eastAsia="Archivo" w:hAnsi="Archivo"/>
          <w:sz w:val="17"/>
          <w:szCs w:val="17"/>
        </w:rPr>
        <w:t xml:space="preserve">El distinto rigor de ambos deberes —precontractual y de comunicación del siniestro— obedece a su distinta función: el primero protege la correcta tarificación del riesgo ex ante, mientras que el segundo persigue únicamente permitir al asegurador una gestión diligente del siniestro ya acaecido; cfr. SÁNCHEZ CALERO, F. (dir.), op. cit., ad art. 16.</w:t>
      </w:r>
    </w:p>
  </w:footnote>
  <w:footnote w:id="45">
    <w:p>
      <w:r>
        <w:rPr>
          <w:rStyle w:val="FootnoteReference"/>
        </w:rPr>
        <w:footnoteRef/>
      </w:r>
      <w:r>
        <w:rPr>
          <w:rFonts w:ascii="Archivo" w:cs="Archivo" w:eastAsia="Archivo" w:hAnsi="Archivo"/>
          <w:sz w:val="17"/>
          <w:szCs w:val="17"/>
        </w:rPr>
        <w:t xml:space="preserve">El procedimiento del art. 38 LCS es, en la caracterización de la propia jurisprudencia, un cauce extrajudicial de naturaleza pericial y liquidadora, no arbitral en sentido técnico, cuya función se agota en la fijación cuantitativa del daño cuando las partes discrepan sobre su importe; cfr. VEIGA COPO, A. B., Tratado del Contrato de Seguro, op. cit., tomo dedicado a la liquidación del siniestro.</w:t>
      </w:r>
    </w:p>
  </w:footnote>
  <w:footnote w:id="46">
    <w:p>
      <w:r>
        <w:rPr>
          <w:rStyle w:val="FootnoteReference"/>
        </w:rPr>
        <w:footnoteRef/>
      </w:r>
      <w:r>
        <w:rPr>
          <w:rFonts w:ascii="Archivo" w:cs="Archivo" w:eastAsia="Archivo" w:hAnsi="Archivo"/>
          <w:sz w:val="17"/>
          <w:szCs w:val="17"/>
        </w:rPr>
        <w:t xml:space="preserve">Esta distinción resuelve una tensión estructural del art. 38 LCS: si el dictamen fuera vinculante en toda cuestión, incluida la de si un determinado daño está o no cubierto por la póliza, se estaría desplazando a los peritos —técnicos en la valoración del daño, no en Derecho— una función jurisdiccional que la Constitución reserva a los tribunales; cfr. BATALLER GRAU, J. et al., op. cit., ad art. 38.</w:t>
      </w:r>
    </w:p>
  </w:footnote>
  <w:footnote w:id="47">
    <w:p>
      <w:r>
        <w:rPr>
          <w:rStyle w:val="FootnoteReference"/>
        </w:rPr>
        <w:footnoteRef/>
      </w:r>
      <w:r>
        <w:rPr>
          <w:rFonts w:ascii="Archivo" w:cs="Archivo" w:eastAsia="Archivo" w:hAnsi="Archivo"/>
          <w:sz w:val="17"/>
          <w:szCs w:val="17"/>
        </w:rPr>
        <w:t xml:space="preserve">La regla proporcional del infraseguro traduce en el plano indemnizatorio el mismo principio de equivalencia entre prima y riesgo que informa el deber precontractual de declaración (art. 10 LCS) y la agravación del riesgo (art. 11 LCS), estudiados en el capítulo 4: en los tres casos, la ley ajusta la prestación del asegurador a la prima efectivamente cobrada en relación con la que correspondería al riesgo real; cfr. VEIGA COPO, A. B., Tratado del Contrato de Seguro, op. cit., tomo dedicado a la suma asegurada y sus vicisitudes.</w:t>
      </w:r>
    </w:p>
  </w:footnote>
  <w:footnote w:id="48">
    <w:p>
      <w:r>
        <w:rPr>
          <w:rStyle w:val="FootnoteReference"/>
        </w:rPr>
        <w:footnoteRef/>
      </w:r>
      <w:r>
        <w:rPr>
          <w:rFonts w:ascii="Archivo" w:cs="Archivo" w:eastAsia="Archivo" w:hAnsi="Archivo"/>
          <w:sz w:val="17"/>
          <w:szCs w:val="17"/>
        </w:rPr>
        <w:t xml:space="preserve">El deber es de configuración legal y no meramente deontológica: el art. 172.1 del RD-ley 3/2020 exige que los distribuidores actúen «siempre con honestidad, equidad y profesionalidad en beneficio de los intereses de sus clientes», y el art. 175.1 concreta ese principio en un deber de determinación previa de las exigencias y necesidades del cliente. Sobre el régimen general de la distribución de seguros y sus deberes precontractuales, véase el capítulo 3 de esta obra.</w:t>
      </w:r>
    </w:p>
  </w:footnote>
  <w:footnote w:id="49">
    <w:p>
      <w:r>
        <w:rPr>
          <w:rStyle w:val="FootnoteReference"/>
        </w:rPr>
        <w:footnoteRef/>
      </w:r>
      <w:r>
        <w:rPr>
          <w:rFonts w:ascii="Archivo" w:cs="Archivo" w:eastAsia="Archivo" w:hAnsi="Archivo"/>
          <w:sz w:val="17"/>
          <w:szCs w:val="17"/>
        </w:rPr>
        <w:t xml:space="preserve">El contraste comparado refuerza esta acotación: Francia (art. L. 121-5 del Code des assurances) y Alemania (§ 75 VVG) conservan reglas proporcionales equivalentes a la del art. 30 LCS, de modo que un ataque frontal a la institución carece de recorrido. En cambio, la vía del deber de asesoramiento entronca directamente con la Directiva (UE) 2016/97, de distribución de seguros, cuya conexión con el infraseguro sigue siendo poco explorada en nuestros tribunales. Véase el capítulo 28 de esta obra.</w:t>
      </w:r>
    </w:p>
  </w:footnote>
  <w:footnote w:id="50">
    <w:p>
      <w:r>
        <w:rPr>
          <w:rStyle w:val="FootnoteReference"/>
        </w:rPr>
        <w:footnoteRef/>
      </w:r>
      <w:r>
        <w:rPr>
          <w:rFonts w:ascii="Archivo" w:cs="Archivo" w:eastAsia="Archivo" w:hAnsi="Archivo"/>
          <w:sz w:val="17"/>
          <w:szCs w:val="17"/>
        </w:rPr>
        <w:t xml:space="preserve">El carácter especial y excluyente del régimen de intereses del art. 20 LCS frente al régimen general de mora del Código Civil y de la Ley de Enjuiciamiento Civil responde a una opción deliberada del legislador de 1995, que quiso dotar al asegurado de un mecanismo disuasorio reforzado frente a la tentación de dilación sistemática por parte de las aseguradoras; cfr. SÁNCHEZ CALERO, F. (dir.), op. cit., ad art. 20, sobre los antecedentes de la reforma operada por la Ley 30/1995, y, con mayor detalle monográfico, JIMÉNEZ BAUTISTA, S., «Los intereses de mora de las aseguradoras, artículo 20 de la Ley del Contrato de Seguro: examen especial de la consignación», Boletín del Ministerio de Justicia, vol. 57, núm. 1942, 2003, pp. 1773-1800.</w:t>
      </w:r>
    </w:p>
  </w:footnote>
  <w:footnote w:id="51">
    <w:p>
      <w:r>
        <w:rPr>
          <w:rStyle w:val="FootnoteReference"/>
        </w:rPr>
        <w:footnoteRef/>
      </w:r>
      <w:r>
        <w:rPr>
          <w:rFonts w:ascii="Archivo" w:cs="Archivo" w:eastAsia="Archivo" w:hAnsi="Archivo"/>
          <w:sz w:val="17"/>
          <w:szCs w:val="17"/>
        </w:rPr>
        <w:t xml:space="preserve">La aparente disparidad terminológica entre «mala fe» y «dolo» a lo largo de la LCS ha sido objeto de estudio doctrinal detenido, concluyéndose mayoritariamente que ambas expresiones designan, en el contexto del art. 19 LCS, la provocación consciente y deliberada del siniestro por el propio asegurado, sin que quepa identificar la «mala fe» del art. 19 con la mera falta de lealtad contractual de menor intensidad; cfr. SÁNCHEZ CALERO, F. (dir.), op. cit., ad art. 19; TIRADO SUÁREZ, F. J., en URÍA, MENÉNDEZ y OLIVENCIA (dirs.), op. cit., epígrafe sobre causas de exclusión del riesgo.</w:t>
      </w:r>
    </w:p>
  </w:footnote>
  <w:footnote w:id="52">
    <w:p>
      <w:r>
        <w:rPr>
          <w:rStyle w:val="FootnoteReference"/>
        </w:rPr>
        <w:footnoteRef/>
      </w:r>
      <w:r>
        <w:rPr>
          <w:rFonts w:ascii="Archivo" w:cs="Archivo" w:eastAsia="Archivo" w:hAnsi="Archivo"/>
          <w:sz w:val="17"/>
          <w:szCs w:val="17"/>
        </w:rPr>
        <w:t xml:space="preserve">Sobre la proyección de esta doctrina a los supuestos, frecuentes en la práctica forense, de responsabilidad civil de los padres por hechos de sus hijos menores cubiertos por el seguro de hogar —incluidos los casos de hechos inicialmente dolosos del menor con resultado dañoso no querido—, vid. MAGRO SERVET, V., «Alcance de la responsabilidad por daños del seguro de hogar ante perjudicados por delitos dolosos del asegurado», Diario LA LEY, núm. 9327, 2018; véase también el capítulo 13 de esta obra.</w:t>
      </w:r>
    </w:p>
  </w:footnote>
  <w:footnote w:id="53">
    <w:p>
      <w:r>
        <w:rPr>
          <w:rStyle w:val="FootnoteReference"/>
        </w:rPr>
        <w:footnoteRef/>
      </w:r>
      <w:r>
        <w:rPr>
          <w:rFonts w:ascii="Archivo" w:cs="Archivo" w:eastAsia="Archivo" w:hAnsi="Archivo"/>
          <w:sz w:val="17"/>
          <w:szCs w:val="17"/>
        </w:rPr>
        <w:t xml:space="preserve">La brevedad relativa del plazo de prescripción del seguro de daños frente al plazo general de las acciones personales responde a la necesidad de certidumbre y liquidación ágil propia de la actividad aseguradora, que no puede mantener sus provisiones técnicas indefinidamente abiertas frente a reclamaciones potenciales; cfr. VEIGA COPO, A. B., Tratado del Contrato de Seguro, op. cit., tomo dedicado a la extinción del contrato de seguro.</w:t>
      </w:r>
    </w:p>
  </w:footnote>
  <w:footnote w:id="54">
    <w:p>
      <w:r>
        <w:rPr>
          <w:rStyle w:val="FootnoteReference"/>
        </w:rPr>
        <w:footnoteRef/>
      </w:r>
      <w:r>
        <w:rPr>
          <w:rFonts w:ascii="Archivo" w:cs="Archivo" w:eastAsia="Archivo" w:hAnsi="Archivo"/>
          <w:sz w:val="17"/>
          <w:szCs w:val="17"/>
        </w:rPr>
        <w:t xml:space="preserve">La articulación de un sistema de protección del cliente financiero en dos niveles —interno, a través del SAC/defensor de la propia entidad, y externo, a través del supervisor— sigue el modelo general de protección del cliente de servicios financieros en España, común a banca, seguros y valores; cfr. VEIGA COPO, A. B., Tratado del Contrato de Seguro, op. cit., tomo dedicado a la supervisión y protección del asegurado.</w:t>
      </w:r>
    </w:p>
  </w:footnote>
  <w:footnote w:id="55">
    <w:p>
      <w:r>
        <w:rPr>
          <w:rStyle w:val="FootnoteReference"/>
        </w:rPr>
        <w:footnoteRef/>
      </w:r>
      <w:r>
        <w:rPr>
          <w:rFonts w:ascii="Archivo" w:cs="Archivo" w:eastAsia="Archivo" w:hAnsi="Archivo"/>
          <w:sz w:val="17"/>
          <w:szCs w:val="17"/>
        </w:rPr>
        <w:t xml:space="preserve">La introducción de los MASC como requisito de procedibilidad, inspirada en experiencias comparadas de justicia negociada, persigue reducir la litigiosidad civil ordinaria y fomentar la resolución temprana de conflictos patrimoniales de cuantía moderada, categoría en la que encaja la inmensa mayoría de los siniestros de seguro de hogar; cfr. la explicación del propio preámbulo de la LO 1/2025.</w:t>
      </w:r>
    </w:p>
  </w:footnote>
  <w:footnote w:id="56">
    <w:p>
      <w:r>
        <w:rPr>
          <w:rStyle w:val="FootnoteReference"/>
        </w:rPr>
        <w:footnoteRef/>
      </w:r>
      <w:r>
        <w:rPr>
          <w:rFonts w:ascii="Archivo" w:cs="Archivo" w:eastAsia="Archivo" w:hAnsi="Archivo"/>
          <w:sz w:val="17"/>
          <w:szCs w:val="17"/>
        </w:rPr>
        <w:t xml:space="preserve">El fuero especial en materia de seguros responde a la misma lógica tuitiva del asegurado que informa el conjunto de la LCS, evitando que el asegurado se vea forzado a litigar en un partido judicial distante del propio, elegido unilateralmente por la aseguradora en sus condiciones generales; cfr. SÁNCHEZ CALERO, F. (dir.), op. cit., epígrafe sobre competencia judicial en el contrato de seguro.</w:t>
      </w:r>
    </w:p>
  </w:footnote>
  <w:footnote w:id="57">
    <w:p>
      <w:r>
        <w:rPr>
          <w:rStyle w:val="FootnoteReference"/>
        </w:rPr>
        <w:footnoteRef/>
      </w:r>
      <w:r>
        <w:rPr>
          <w:rFonts w:ascii="Archivo" w:cs="Archivo" w:eastAsia="Archivo" w:hAnsi="Archivo"/>
          <w:sz w:val="17"/>
          <w:szCs w:val="17"/>
        </w:rPr>
        <w:t xml:space="preserve">La condición de consumidor puede, no obstante, decaer cuando la vivienda asegurada se afecta significativamente a una actividad económica del tomador (por ejemplo, alquiler turístico profesionalizado o local con actividad económica dentro de la propia vivienda, cuestión ya apuntada en el capítulo 15 a propósito de los nuevos riesgos del hogar), lo que exige un análisis casuístico de cada contratación concreta.</w:t>
      </w:r>
    </w:p>
  </w:footnote>
  <w:footnote w:id="58">
    <w:p>
      <w:r>
        <w:rPr>
          <w:rStyle w:val="FootnoteReference"/>
        </w:rPr>
        <w:footnoteRef/>
      </w:r>
      <w:r>
        <w:rPr>
          <w:rFonts w:ascii="Archivo" w:cs="Archivo" w:eastAsia="Archivo" w:hAnsi="Archivo"/>
          <w:sz w:val="17"/>
          <w:szCs w:val="17"/>
        </w:rPr>
        <w:t xml:space="preserve">Ningún tribunal español aplicará de oficio una norma extranjera por el hecho de que se cite en un escrito: conforme al art. 281.2 de la Ley de Enjuiciamiento Civil, el derecho extranjero debe ser probado en su contenido y vigencia. En la práctica que aquí se propone, sin embargo, el derecho comparado no se invoca como derecho aplicable, sino como argumento interpretativo y de autoridad persuasiva sobre el sentido de una norma española, uso que no exige prueba pero sí exactitud. Antes de citar cualquiera de los preceptos extranjeros mencionados en este capítulo, verifíquese su versión vigente en la fuente oficial correspondiente.</w:t>
      </w:r>
    </w:p>
  </w:footnote>
  <w:footnote w:id="59">
    <w:p>
      <w:r>
        <w:rPr>
          <w:rStyle w:val="FootnoteReference"/>
        </w:rPr>
        <w:footnoteRef/>
      </w:r>
      <w:r>
        <w:rPr>
          <w:rFonts w:ascii="Archivo" w:cs="Archivo" w:eastAsia="Archivo" w:hAnsi="Archivo"/>
          <w:sz w:val="17"/>
          <w:szCs w:val="17"/>
        </w:rPr>
        <w:t xml:space="preserve">A ello se añade una exigencia formal complementaria, contenida en el art. L. 112-4 del propio Code des assurances, conforme a la cual las cláusulas de nulidad, caducidad o exclusión deben figurar impresas en caracteres muy aparentes («caractères très apparents»), previsión funcionalmente equivalente al requisito español de destacado especial del art. 3 LCS, pero desligada de cualquier debate previo sobre la naturaleza de la cláusula.</w:t>
      </w:r>
    </w:p>
  </w:footnote>
  <w:footnote w:id="60">
    <w:p>
      <w:r>
        <w:rPr>
          <w:rStyle w:val="FootnoteReference"/>
        </w:rPr>
        <w:footnoteRef/>
      </w:r>
      <w:r>
        <w:rPr>
          <w:rFonts w:ascii="Archivo" w:cs="Archivo" w:eastAsia="Archivo" w:hAnsi="Archivo"/>
          <w:sz w:val="17"/>
          <w:szCs w:val="17"/>
        </w:rPr>
        <w:t xml:space="preserve">La reforma británica de 2012 no fue fruto de una intuición legislativa aislada, sino de un largo trabajo previo de las comisiones de reforma legislativa inglesa y escocesa, y descansa en una constatación empírica difícilmente discutible: el consumidor medio no sabe qué información es «material» para un asegurador, de modo que hacerle soportar las consecuencias de no haberla ofrecido espontáneamente equivale a sancionarle por no ser experto en una técnica que no domina. El mismo razonamiento late en la exigencia jurisprudencial española de un cuestionario concreto y efectivamente sometido al tomador, aunque nuestra Sala Primera haya debido alcanzarlo sin apoyo legal expreso.</w:t>
      </w:r>
    </w:p>
  </w:footnote>
  <w:footnote w:id="61">
    <w:p>
      <w:r>
        <w:rPr>
          <w:rStyle w:val="FootnoteReference"/>
        </w:rPr>
        <w:footnoteRef/>
      </w:r>
      <w:r>
        <w:rPr>
          <w:rFonts w:ascii="Archivo" w:cs="Archivo" w:eastAsia="Archivo" w:hAnsi="Archivo"/>
          <w:sz w:val="17"/>
          <w:szCs w:val="17"/>
        </w:rPr>
        <w:t xml:space="preserve">La reforma británica entró en vigor el 4 de mayo de 2017 y ofrece, además, un matiz de interés para el debate español sobre la «causa justificada» del art. 20.8.º LCS estudiada en el capítulo 20: la norma británica prevé expresamente que el asegurador que tenga motivos razonables para discutir la reclamación no incumple el deber por el mero hecho de retrasar el pago mientras dura la discusión, si bien la forma en que haya conducido la tramitación se tendrá en cuenta. Es una solución de equilibrio próxima, en su resultado, a la doctrina restrictiva de nuestra Sala Primera.</w:t>
      </w:r>
    </w:p>
  </w:footnote>
  <w:footnote w:id="62">
    <w:p>
      <w:r>
        <w:rPr>
          <w:rStyle w:val="FootnoteReference"/>
        </w:rPr>
        <w:footnoteRef/>
      </w:r>
      <w:r>
        <w:rPr>
          <w:rFonts w:ascii="Archivo" w:cs="Archivo" w:eastAsia="Archivo" w:hAnsi="Archivo"/>
          <w:sz w:val="17"/>
          <w:szCs w:val="17"/>
        </w:rPr>
        <w:t xml:space="preserve">Esta es, probablemente, la conclusión de mayor rendimiento práctico de todo el capítulo, y merece ser subrayada: el control de transparencia material de matriz comunitaria permite alcanzar, respecto de un tomador consumidor, un resultado que la distinción interna entre cláusulas delimitadoras y limitativas no siempre permite obtener, porque no depende de la calificación previa de la cláusula sino de su comprensibilidad real. Véase, sobre el triple control de las condiciones generales cuando el tomador es consumidor, el capítulo 25 de esta obra.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2026-08-10T20:01:28.006Z</dcterms:created>
  <dcterms:modified xsi:type="dcterms:W3CDTF">2026-08-10T20:01:28.023Z</dcterms:modified>
</cp:coreProperties>
</file>

<file path=docProps/custom.xml><?xml version="1.0" encoding="utf-8"?>
<Properties xmlns="http://schemas.openxmlformats.org/officeDocument/2006/custom-properties" xmlns:vt="http://schemas.openxmlformats.org/officeDocument/2006/docPropsVTypes"/>
</file>