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Condiciones generales, particulares y especiales: profundización práctica</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conceptuales y normativas que sostienen todo lo que sigue.</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obligado es el artículo 1 de la Ley 50/1980, de 8 de octubre, de Contrato de Seguro (en adelante, LCS), que define la institución en términos que siguen plenamente vigentes: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profesional debe aprender a diferenciar en cada cláusula controvertida:</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la teoría, resulta enormemente controvertida en la práctica, y ha generado una jurisprudencia extensa y matizada. La sentencia de referencia —citada de forma constante por la Sala Primera hasta la actualidad— es la STS (Pleno) 853/2006, de 11 de septiembre, cuya doctrina resume con fidelidad la reciente STS 3996/2023, de 3 de octubre (ECLI:ES:TS:2023:3996, ponente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3996/2023, de 3 de octubre (ECLI:ES:TS:2023:3996)</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en la STS 1751/2025, de 21 de abril (ECLI:ES:TS:2025:1751),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aplicación práctica de esta doctrina al seguro de hogar puede ilustrarse con la STS 2233/2020, de 6 de julio (ECLI:ES:TS:2020:2233, ponente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2233/2020, de 6 de julio (ECLI:ES:TS:2020:2233)</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gran utilidad: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732/2017, de 2 de marzo (ECLI:ES:TS:2017:732, ponente Orduña Moreno), añade una capa adicional de análisis especialmente útil para el profesional que revisa una póliza controvertida: el «principio de transparencia», que subyace a todo el artículo 3 LCS y que «opera con especial intensidad respecto de las cláusulas introductorias o particulares».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2026-08-10T09:51:07.693Z</dcterms:created>
  <dcterms:modified xsi:type="dcterms:W3CDTF">2026-08-10T09:51:07.693Z</dcterms:modified>
</cp:coreProperties>
</file>

<file path=docProps/custom.xml><?xml version="1.0" encoding="utf-8"?>
<Properties xmlns="http://schemas.openxmlformats.org/officeDocument/2006/custom-properties" xmlns:vt="http://schemas.openxmlformats.org/officeDocument/2006/docPropsVTypes"/>
</file>