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Condiciones generales, particulares y especiales: profundización práctica</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Casos prácticos resueltos</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6"/>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2. </w:t>
      </w:r>
      <w:r>
        <w:rPr>
          <w:rFonts w:ascii="Fraunces" w:cs="Fraunces" w:eastAsia="Fraunces" w:hAnsi="Fraunces"/>
          <w:b/>
          <w:bCs/>
          <w:color w:val="0A2540"/>
          <w:sz w:val="30"/>
          <w:szCs w:val="30"/>
        </w:rPr>
        <w:t xml:space="preserve">Sujetos y objeto del contrato: tomador, asegurado, beneficiario, continente y contenido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 Las partes y los sujetos protegidos: tomador, asegurado y beneficiario (art. 7 LCS)</w:t>
            </w:r>
          </w:p>
          <w:p>
            <w:pPr>
              <w:spacing w:after="40" w:line="260"/>
            </w:pPr>
            <w:r>
              <w:rPr>
                <w:rFonts w:ascii="Archivo" w:cs="Archivo" w:eastAsia="Archivo" w:hAnsi="Archivo"/>
                <w:sz w:val="18"/>
                <w:szCs w:val="18"/>
              </w:rPr>
              <w:t xml:space="preserve">2.2. El seguro por cuenta ajena en la práctica del hogar</w:t>
            </w:r>
          </w:p>
          <w:p>
            <w:pPr>
              <w:spacing w:after="40" w:line="260"/>
            </w:pPr>
            <w:r>
              <w:rPr>
                <w:rFonts w:ascii="Archivo" w:cs="Archivo" w:eastAsia="Archivo" w:hAnsi="Archivo"/>
                <w:sz w:val="18"/>
                <w:szCs w:val="18"/>
              </w:rPr>
              <w:t xml:space="preserve">2.3. El objeto del contrato: el interés asegurable (art. 25 LCS)</w:t>
            </w:r>
          </w:p>
          <w:p>
            <w:pPr>
              <w:spacing w:after="40" w:line="260"/>
            </w:pPr>
            <w:r>
              <w:rPr>
                <w:rFonts w:ascii="Archivo" w:cs="Archivo" w:eastAsia="Archivo" w:hAnsi="Archivo"/>
                <w:sz w:val="18"/>
                <w:szCs w:val="18"/>
              </w:rPr>
              <w:t xml:space="preserve">2.4. El principio indemnizatorio y la prohibición de enriquecimiento injusto (art. 26 LCS)</w:t>
            </w:r>
          </w:p>
          <w:p>
            <w:pPr>
              <w:spacing w:after="40" w:line="260"/>
            </w:pPr>
            <w:r>
              <w:rPr>
                <w:rFonts w:ascii="Archivo" w:cs="Archivo" w:eastAsia="Archivo" w:hAnsi="Archivo"/>
                <w:sz w:val="18"/>
                <w:szCs w:val="18"/>
              </w:rPr>
              <w:t xml:space="preserve">2.5. Contenido documental de la póliza (art. 8 LCS)</w:t>
            </w:r>
          </w:p>
          <w:p>
            <w:pPr>
              <w:spacing w:after="40" w:line="260"/>
            </w:pPr>
            <w:r>
              <w:rPr>
                <w:rFonts w:ascii="Archivo" w:cs="Archivo" w:eastAsia="Archivo" w:hAnsi="Archivo"/>
                <w:sz w:val="18"/>
                <w:szCs w:val="18"/>
              </w:rPr>
              <w:t xml:space="preserve">2.6. Ficha para el profesional</w:t>
            </w:r>
          </w:p>
          <w:p>
            <w:pPr>
              <w:spacing w:after="40" w:line="260"/>
            </w:pPr>
            <w:r>
              <w:rPr>
                <w:rFonts w:ascii="Archivo" w:cs="Archivo" w:eastAsia="Archivo" w:hAnsi="Archivo"/>
                <w:sz w:val="18"/>
                <w:szCs w:val="18"/>
              </w:rPr>
              <w:t xml:space="preserve">2.7. Ficha para el asegurado</w:t>
            </w:r>
          </w:p>
          <w:p>
            <w:pPr>
              <w:spacing w:after="40" w:line="260"/>
            </w:pPr>
            <w:r>
              <w:rPr>
                <w:rFonts w:ascii="Archivo" w:cs="Archivo" w:eastAsia="Archivo" w:hAnsi="Archivo"/>
                <w:sz w:val="18"/>
                <w:szCs w:val="18"/>
              </w:rPr>
              <w:t xml:space="preserve">2.8. Checklist: quién es quién en la póliza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examina la estructura subjetiva del contrato de seguro de hogar —tomador, asegurado y beneficiario— y su objeto, centrado en la noción de interés asegurable del art. 25 LCS, cuya ausencia sobrevenida determina la nulidad del contrato. Se estudia, con apoyo en la jurisprudencia más reciente de la Sala Primera, la aplicación de estos conceptos a los supuestos característicos del ramo de hogar: propietarios no ocupantes, inquilinos, seguros vinculados a préstamo hipotecario y comunidades de propietarios.</w:t>
            </w:r>
          </w:p>
          <w:p>
            <w:pPr>
              <w:spacing w:after="160"/>
            </w:pPr>
            <w:r>
              <w:rPr>
                <w:rFonts w:ascii="Archivo" w:cs="Archivo" w:eastAsia="Archivo" w:hAnsi="Archivo"/>
                <w:b/>
                <w:bCs/>
                <w:sz w:val="17"/>
                <w:szCs w:val="17"/>
              </w:rPr>
              <w:t xml:space="preserve">Palabras clave: tomador del seguro, asegurado, beneficiario, interés asegurable, art. 25 LCS, principio indemnizatorio, seguro por cuenta ajena.</w:t>
            </w:r>
          </w:p>
          <w:p>
            <w:pPr>
              <w:spacing w:after="100"/>
              <w:jc w:val="both"/>
            </w:pPr>
            <w:r>
              <w:rPr>
                <w:rFonts w:ascii="Archivo" w:cs="Archivo" w:eastAsia="Archivo" w:hAnsi="Archivo"/>
                <w:i/>
                <w:iCs/>
                <w:sz w:val="18"/>
                <w:szCs w:val="18"/>
              </w:rPr>
              <w:t xml:space="preserve">This chapter examines the subjective structure of the homeowners' insurance contract —policyholder, insured and beneficiary— and its object, centred on the insurable interest requirement of Article 25 of the Spanish Insurance Contract Act, whose subsequent absence renders the contract void. Drawing on recent Supreme Court case law, it applies these concepts to typical cases in the home insurance line: non-occupying owners, tenants, mortgage-linked policies and homeowners' associations.</w:t>
            </w:r>
          </w:p>
          <w:p>
            <w:pPr>
              <w:spacing w:after="0"/>
            </w:pPr>
            <w:r>
              <w:rPr>
                <w:rFonts w:ascii="Archivo" w:cs="Archivo" w:eastAsia="Archivo" w:hAnsi="Archivo"/>
                <w:b/>
                <w:bCs/>
                <w:sz w:val="17"/>
                <w:szCs w:val="17"/>
              </w:rPr>
              <w:t xml:space="preserve">Keywords: policyholder, insured party, beneficiary, insurable interest, indemnity principle, insurance for another's account.</w:t>
            </w:r>
          </w:p>
        </w:tc>
      </w:tr>
    </w:tbl>
    <w:p>
      <w:pPr>
        <w:spacing w:after="200"/>
      </w:pPr>
    </w:p>
    <w:p>
      <w:pPr>
        <w:pStyle w:val="Heading2"/>
        <w:spacing w:after="160" w:before="400"/>
      </w:pPr>
      <w:r>
        <w:rPr>
          <w:rFonts w:ascii="Fraunces" w:cs="Fraunces" w:eastAsia="Fraunces" w:hAnsi="Fraunces"/>
          <w:b/>
          <w:bCs/>
          <w:color w:val="0A2540"/>
          <w:sz w:val="24"/>
          <w:szCs w:val="24"/>
        </w:rPr>
        <w:t xml:space="preserve">2.1. Las partes y los sujetos protegidos: tomador, asegurado y beneficiario</w:t>
      </w:r>
    </w:p>
    <w:p>
      <w:pPr>
        <w:spacing w:after="180" w:line="300"/>
        <w:jc w:val="both"/>
      </w:pPr>
      <w:r>
        <w:rPr>
          <w:rFonts w:ascii="Archivo" w:cs="Archivo" w:eastAsia="Archivo" w:hAnsi="Archivo"/>
          <w:sz w:val="21"/>
          <w:szCs w:val="21"/>
        </w:rPr>
        <w:t xml:space="preserve">El contrato de seguro de hogar puede llegar a implicar hasta tres posiciones jurídicas distintas, que conviene no confundir desde el primer momento</w:t>
      </w:r>
      <w:r>
        <w:rPr>
          <w:rStyle w:val="FootnoteReference"/>
        </w:rPr>
        <w:footnoteReference w:id="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(fundamentalmente, el pago de la prima y los deberes de declaración del riesgo y comunicación del siniestro).</w:t>
      </w:r>
    </w:p>
    <w:p>
      <w:pPr>
        <w:pStyle w:val="ListParagraph"/>
        <w:numPr>
          <w:ilvl w:val="0"/>
          <w:numId w:val="2"/>
        </w:numPr>
        <w:spacing w:after="100" w:line="290"/>
      </w:pPr>
      <w:r>
        <w:rPr>
          <w:rFonts w:ascii="Archivo" w:cs="Archivo" w:eastAsia="Archivo" w:hAnsi="Archivo"/>
          <w:b/>
          <w:bCs/>
          <w:sz w:val="21"/>
          <w:szCs w:val="21"/>
        </w:rPr>
        <w:t xml:space="preserve">Asegurado: </w:t>
      </w:r>
      <w:r>
        <w:rPr>
          <w:rFonts w:ascii="Archivo" w:cs="Archivo" w:eastAsia="Archivo" w:hAnsi="Archivo"/>
          <w:sz w:val="21"/>
          <w:szCs w:val="21"/>
        </w:rPr>
        <w:t xml:space="preserve">el titular del interés objeto de cobertura, a quien corresponden los derechos derivados del contrato.</w:t>
      </w:r>
    </w:p>
    <w:p>
      <w:pPr>
        <w:pStyle w:val="ListParagraph"/>
        <w:numPr>
          <w:ilvl w:val="0"/>
          <w:numId w:val="2"/>
        </w:numPr>
        <w:spacing w:after="100" w:line="290"/>
      </w:pPr>
      <w:r>
        <w:rPr>
          <w:rFonts w:ascii="Archivo" w:cs="Archivo" w:eastAsia="Archivo" w:hAnsi="Archivo"/>
          <w:b/>
          <w:bCs/>
          <w:sz w:val="21"/>
          <w:szCs w:val="21"/>
        </w:rPr>
        <w:t xml:space="preserve">Beneficiario: </w:t>
      </w:r>
      <w:r>
        <w:rPr>
          <w:rFonts w:ascii="Archivo" w:cs="Archivo" w:eastAsia="Archivo" w:hAnsi="Archivo"/>
          <w:sz w:val="21"/>
          <w:szCs w:val="21"/>
        </w:rPr>
        <w:t xml:space="preserve">la persona designada para percibir la indemnización, figura de mayor relevancia en el seguro de vida que en el de daños, donde el beneficiario coincide normalmente con el propio asegurado, salvo pacto de designación de un tercero (por ejemplo, la entidad acreedora hipotecaria hasta el importe del capital pendiente).</w:t>
      </w:r>
    </w:p>
    <w:p>
      <w:pPr>
        <w:spacing w:after="180" w:line="300"/>
        <w:jc w:val="both"/>
      </w:pPr>
      <w:r>
        <w:rPr>
          <w:rFonts w:ascii="Archivo" w:cs="Archivo" w:eastAsia="Archivo" w:hAnsi="Archivo"/>
          <w:sz w:val="21"/>
          <w:szCs w:val="21"/>
        </w:rPr>
        <w:t xml:space="preserve">El artículo 7 LCS regula esta posible disociación con una regla de reparto de cargas y derechos que resulta esencial para determinar, ante cualquier incidencia, a quién corresponde actuar: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LCS</w:t>
            </w:r>
          </w:p>
          <w:p>
            <w:pPr>
              <w:spacing w:after="0" w:line="280"/>
              <w:jc w:val="both"/>
            </w:pPr>
            <w:r>
              <w:rPr>
                <w:rFonts w:ascii="IBM Plex Mono" w:cs="IBM Plex Mono" w:eastAsia="IBM Plex Mono" w:hAnsi="IBM Plex Mono"/>
                <w:i/>
                <w:iCs/>
                <w:color w:val="0A2540"/>
                <w:sz w:val="18"/>
                <w:szCs w:val="18"/>
              </w:rPr>
              <w:t xml:space="preserve">El tomador del seguro puede contratar el seguro por cuenta propia o ajena. En caso de duda se presumirá que el tomador ha contratado por cuenta propia. [...] Si el tomador del seguro y el asegurado son personas distintas, las obligaciones y los deberes que derivan del contrato corresponden al tomador del seguro, salvo aquellos que por su naturaleza deban ser cumplidos por el asegurado. No obstante, el asegurador no podrá rechazar el cumplimiento por parte del asegurado de las obligaciones y deberes que correspondan al tomador del seguro. Los derechos que derivan del contrato corresponderán al asegurado o, en su caso, al beneficiario, salvo los especiales derechos del tomador en los seguros de vida.</w:t>
            </w:r>
          </w:p>
        </w:tc>
      </w:tr>
    </w:tbl>
    <w:p>
      <w:pPr>
        <w:spacing w:after="180" w:line="300"/>
        <w:jc w:val="both"/>
      </w:pPr>
      <w:r>
        <w:rPr>
          <w:rFonts w:ascii="Archivo" w:cs="Archivo" w:eastAsia="Archivo" w:hAnsi="Archivo"/>
          <w:sz w:val="21"/>
          <w:szCs w:val="21"/>
        </w:rPr>
        <w:t xml:space="preserve">La regla, trasladada a la práctica del hogar, tiene una consecuencia procesal de primer orden: cuando el tomador (por ejemplo, el propietario que asegura una vivienda arrendada) y el asegurado no coinciden, es el asegurado —o, en su caso, quien acredite ostentar tal condición sobre el bien siniestrado— quien está legitimado activamente para reclamar la indemnización, sin perjuicio de que los deberes de comunicación del siniestro y de declaración del riesgo recaigan primariamente sobre el tomador.</w:t>
      </w:r>
    </w:p>
    <w:p>
      <w:pPr>
        <w:pStyle w:val="Heading2"/>
        <w:spacing w:after="160" w:before="400"/>
      </w:pPr>
      <w:r>
        <w:rPr>
          <w:rFonts w:ascii="Fraunces" w:cs="Fraunces" w:eastAsia="Fraunces" w:hAnsi="Fraunces"/>
          <w:b/>
          <w:bCs/>
          <w:color w:val="0A2540"/>
          <w:sz w:val="24"/>
          <w:szCs w:val="24"/>
        </w:rPr>
        <w:t xml:space="preserve">2.2. El seguro por cuenta ajena en la práctica del hogar</w:t>
      </w:r>
    </w:p>
    <w:p>
      <w:pPr>
        <w:spacing w:after="180" w:line="300"/>
        <w:jc w:val="both"/>
      </w:pPr>
      <w:r>
        <w:rPr>
          <w:rFonts w:ascii="Archivo" w:cs="Archivo" w:eastAsia="Archivo" w:hAnsi="Archivo"/>
          <w:sz w:val="21"/>
          <w:szCs w:val="21"/>
        </w:rPr>
        <w:t xml:space="preserve">El seguro por cuenta ajena, lejos de ser una hipótesis académica, es extraordinariamente frecuente en el ramo de hogar. Los supuestos más habituales que el profesional debe saber reconducir al artículo 7 LCS son los siguientes:</w:t>
      </w:r>
    </w:p>
    <w:p>
      <w:pPr>
        <w:pStyle w:val="ListParagraph"/>
        <w:numPr>
          <w:ilvl w:val="0"/>
          <w:numId w:val="2"/>
        </w:numPr>
        <w:spacing w:after="100" w:line="290"/>
      </w:pPr>
      <w:r>
        <w:rPr>
          <w:rFonts w:ascii="Archivo" w:cs="Archivo" w:eastAsia="Archivo" w:hAnsi="Archivo"/>
          <w:b/>
          <w:bCs/>
          <w:sz w:val="21"/>
          <w:szCs w:val="21"/>
        </w:rPr>
        <w:t xml:space="preserve">Seguro vinculado a préstamo hipotecario: </w:t>
      </w:r>
      <w:r>
        <w:rPr>
          <w:rFonts w:ascii="Archivo" w:cs="Archivo" w:eastAsia="Archivo" w:hAnsi="Archivo"/>
          <w:sz w:val="21"/>
          <w:szCs w:val="21"/>
        </w:rPr>
        <w:t xml:space="preserve">la entidad financiera exige la contratación de un seguro de hogar (o, más específicamente, de daños sobre el continente) como condición del préstamo, y en ocasiones se designa a la propia entidad como beneficiaria hasta el importe del capital pendiente de amortizar mediante cláusula de designación de beneficiario, cuya validez exige que se articule con la debida transparencia y sin desnaturalizar el derecho del asegurado a la reparación del daño en la parte excedente.</w:t>
      </w:r>
    </w:p>
    <w:p>
      <w:pPr>
        <w:pStyle w:val="ListParagraph"/>
        <w:numPr>
          <w:ilvl w:val="0"/>
          <w:numId w:val="2"/>
        </w:numPr>
        <w:spacing w:after="100" w:line="290"/>
      </w:pPr>
      <w:r>
        <w:rPr>
          <w:rFonts w:ascii="Archivo" w:cs="Archivo" w:eastAsia="Archivo" w:hAnsi="Archivo"/>
          <w:b/>
          <w:bCs/>
          <w:sz w:val="21"/>
          <w:szCs w:val="21"/>
        </w:rPr>
        <w:t xml:space="preserve">Vivienda arrendada: </w:t>
      </w:r>
      <w:r>
        <w:rPr>
          <w:rFonts w:ascii="Archivo" w:cs="Archivo" w:eastAsia="Archivo" w:hAnsi="Archivo"/>
          <w:sz w:val="21"/>
          <w:szCs w:val="21"/>
        </w:rPr>
        <w:t xml:space="preserve">es habitual que el propietario asegure el continente (y, en ocasiones, su responsabilidad civil como propietario) mientras que el inquilino contrata, de forma independiente, un seguro sobre el contenido y su propia responsabilidad civil como ocupante; ambas pólizas coexisten sin solaparse, salvo previsión expresa de concurrencia de seguros (art. 32 LCS).</w:t>
      </w:r>
    </w:p>
    <w:p>
      <w:pPr>
        <w:pStyle w:val="ListParagraph"/>
        <w:numPr>
          <w:ilvl w:val="0"/>
          <w:numId w:val="2"/>
        </w:numPr>
        <w:spacing w:after="100" w:line="290"/>
      </w:pPr>
      <w:r>
        <w:rPr>
          <w:rFonts w:ascii="Archivo" w:cs="Archivo" w:eastAsia="Archivo" w:hAnsi="Archivo"/>
          <w:b/>
          <w:bCs/>
          <w:sz w:val="21"/>
          <w:szCs w:val="21"/>
        </w:rPr>
        <w:t xml:space="preserve">Comunidades de propietarios: </w:t>
      </w:r>
      <w:r>
        <w:rPr>
          <w:rFonts w:ascii="Archivo" w:cs="Archivo" w:eastAsia="Archivo" w:hAnsi="Archivo"/>
          <w:sz w:val="21"/>
          <w:szCs w:val="21"/>
        </w:rPr>
        <w:t xml:space="preserve">el seguro de la comunidad (Ley 49/1960, de Propiedad Horizontal) cubre elementos comunes y, en ocasiones, por extensión pactada, ciertos elementos privativos; su articulación con el seguro individual de cada propietario plantea cuestiones de concurrencia de seguros que se estudian en el capítulo 11.</w:t>
      </w:r>
    </w:p>
    <w:p>
      <w:pPr>
        <w:pStyle w:val="Heading2"/>
        <w:spacing w:after="160" w:before="400"/>
      </w:pPr>
      <w:r>
        <w:rPr>
          <w:rFonts w:ascii="Fraunces" w:cs="Fraunces" w:eastAsia="Fraunces" w:hAnsi="Fraunces"/>
          <w:b/>
          <w:bCs/>
          <w:color w:val="0A2540"/>
          <w:sz w:val="24"/>
          <w:szCs w:val="24"/>
        </w:rPr>
        <w:t xml:space="preserve">2.3. El objeto del contrato: el interés asegurable</w:t>
      </w:r>
    </w:p>
    <w:p>
      <w:pPr>
        <w:spacing w:after="180" w:line="300"/>
        <w:jc w:val="both"/>
      </w:pPr>
      <w:r>
        <w:rPr>
          <w:rFonts w:ascii="Archivo" w:cs="Archivo" w:eastAsia="Archivo" w:hAnsi="Archivo"/>
          <w:sz w:val="21"/>
          <w:szCs w:val="21"/>
        </w:rPr>
        <w:t xml:space="preserve">El seguro de hogar es, en su vertiente de daños, un seguro de interés: no protege un bien en abstracto, sino la relación económica lícita que el asegurado mantiene con ese bien. El artículo 25 LCS erige esta relación en presupuesto de validez del contrato</w:t>
      </w:r>
      <w:r>
        <w:rPr>
          <w:rStyle w:val="FootnoteReference"/>
        </w:rPr>
        <w:footnoteReference w:id="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25 LCS</w:t>
            </w:r>
          </w:p>
          <w:p>
            <w:pPr>
              <w:spacing w:after="0" w:line="280"/>
              <w:jc w:val="both"/>
            </w:pPr>
            <w:r>
              <w:rPr>
                <w:rFonts w:ascii="IBM Plex Mono" w:cs="IBM Plex Mono" w:eastAsia="IBM Plex Mono" w:hAnsi="IBM Plex Mono"/>
                <w:i/>
                <w:iCs/>
                <w:color w:val="0A2540"/>
                <w:sz w:val="18"/>
                <w:szCs w:val="18"/>
              </w:rPr>
              <w:t xml:space="preserve">Sin perjuicio de lo establecido en el artículo cuarto, el contrato de seguro contra daños es nulo si en el momento de su conclusión no existe un interés del asegurado a la indemnización del daño.</w:t>
            </w:r>
          </w:p>
        </w:tc>
      </w:tr>
    </w:tbl>
    <w:p>
      <w:pPr>
        <w:spacing w:after="180" w:line="300"/>
        <w:jc w:val="both"/>
      </w:pPr>
      <w:r>
        <w:rPr>
          <w:rFonts w:ascii="Archivo" w:cs="Archivo" w:eastAsia="Archivo" w:hAnsi="Archivo"/>
          <w:sz w:val="21"/>
          <w:szCs w:val="21"/>
        </w:rPr>
        <w:t xml:space="preserve">La aplicación de este precepto al seguro de hogar ha sido recientemente clarificada por la STS, Sala de lo Civil, de 1 de marzo de 2023 (ROJ: STS 671/2023; ECLI:ES:TS:2023:671; MP: Seoane Spiegelberg), que distingue con precisión el interés asegurado (objeto del contrato) del riesgo cubierto (evento cuya producción activa la cobertura), y fija un criterio muy práctico para el profesional que defiende al asegurado frente a una aseguradora que invoca la falta de interés como causa de nulidad:</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 de marzo de 2023 (ROJ: STS 671/2023; ECLI:ES:TS:2023:671; MP: Seoane Spiegelberg)</w:t>
            </w:r>
          </w:p>
          <w:p>
            <w:pPr>
              <w:spacing w:after="0" w:line="280"/>
              <w:jc w:val="both"/>
            </w:pPr>
            <w:r>
              <w:rPr>
                <w:rFonts w:ascii="Archivo" w:cs="Archivo" w:eastAsia="Archivo" w:hAnsi="Archivo"/>
                <w:color w:val="0A2540"/>
                <w:sz w:val="19"/>
                <w:szCs w:val="19"/>
              </w:rPr>
              <w:t xml:space="preserve">«El interés deviene en elemento esencial del contrato de seguro, y no solo en el seguro contra daños sino también en los seguros de persona. De no ser así, el seguro se convertiría en una simple apuesta [...]. Al propietario que no se le solicita prueba de aseguramiento ni al contratar el seguro, ni al cobrar la prima, no puede alegarse cuando ocurre el siniestro la inexistencia de interés, teniendo en cuenta que es propietario de un bien, que contrata el seguro poniendo de manifiesto que otros van a usar el inmueble.»</w:t>
            </w:r>
          </w:p>
        </w:tc>
      </w:tr>
    </w:tbl>
    <w:p>
      <w:pPr>
        <w:spacing w:after="180" w:line="300"/>
        <w:jc w:val="both"/>
      </w:pPr>
      <w:r>
        <w:rPr>
          <w:rFonts w:ascii="Archivo" w:cs="Archivo" w:eastAsia="Archivo" w:hAnsi="Archivo"/>
          <w:sz w:val="21"/>
          <w:szCs w:val="21"/>
        </w:rPr>
        <w:t xml:space="preserve">De esta doctrina se extrae una regla de gran utilidad práctica: la mera titularidad dominical del bien asegurado es, por sí sola, prueba suficiente del interés asegurable, y corresponde a la aseguradora —que aceptó la prima sin exigir acreditación adicional al contratar— la carga de probar cumplidamente la inexistencia de interés si pretende invocar la nulidad del contrato ex art. 25 LCS, sin que baste para ello la mera existencia de dudas sobre las circunstancias periféricas del siniestro (por ejemplo, la fecha exacta de su producción).</w:t>
      </w:r>
    </w:p>
    <w:p>
      <w:pPr>
        <w:pStyle w:val="Heading2"/>
        <w:spacing w:after="160" w:before="400"/>
      </w:pPr>
      <w:r>
        <w:rPr>
          <w:rFonts w:ascii="Fraunces" w:cs="Fraunces" w:eastAsia="Fraunces" w:hAnsi="Fraunces"/>
          <w:b/>
          <w:bCs/>
          <w:color w:val="0A2540"/>
          <w:sz w:val="24"/>
          <w:szCs w:val="24"/>
        </w:rPr>
        <w:t xml:space="preserve">2.4. El principio indemnizatorio y la prohibición de enriquecimiento injusto</w:t>
      </w:r>
    </w:p>
    <w:p>
      <w:pPr>
        <w:spacing w:after="180" w:line="300"/>
        <w:jc w:val="both"/>
      </w:pPr>
      <w:r>
        <w:rPr>
          <w:rFonts w:ascii="Archivo" w:cs="Archivo" w:eastAsia="Archivo" w:hAnsi="Archivo"/>
          <w:sz w:val="21"/>
          <w:szCs w:val="21"/>
        </w:rPr>
        <w:t xml:space="preserve">Correlativo al interés asegurable es el principio indemnizatorio, que el artículo 26 LCS formula como prohibición de enriquecimiento injusto: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 LCS</w:t>
            </w:r>
          </w:p>
          <w:p>
            <w:pPr>
              <w:spacing w:after="0" w:line="280"/>
              <w:jc w:val="both"/>
            </w:pPr>
            <w:r>
              <w:rPr>
                <w:rFonts w:ascii="IBM Plex Mono" w:cs="IBM Plex Mono" w:eastAsia="IBM Plex Mono" w:hAnsi="IBM Plex Mono"/>
                <w:i/>
                <w:iCs/>
                <w:color w:val="0A2540"/>
                <w:sz w:val="18"/>
                <w:szCs w:val="18"/>
              </w:rPr>
              <w:t xml:space="preserve">El seguro no puede ser objeto de enriquecimiento injusto para el asegurado. Para la determinación del daño se atenderá al valor del interés asegurado en el momento inmediatamente anterior a la realización del siniestro.</w:t>
            </w:r>
          </w:p>
        </w:tc>
      </w:tr>
    </w:tbl>
    <w:p>
      <w:pPr>
        <w:pStyle w:val="ListParagraph"/>
        <w:numPr>
          <w:ilvl w:val="0"/>
          <w:numId w:val="2"/>
        </w:numPr>
        <w:spacing w:after="100" w:line="290"/>
      </w:pPr>
      <w:r>
        <w:rPr>
          <w:rFonts w:ascii="Archivo" w:cs="Archivo" w:eastAsia="Archivo" w:hAnsi="Archivo"/>
          <w:b/>
          <w:bCs/>
          <w:sz w:val="21"/>
          <w:szCs w:val="21"/>
        </w:rPr>
        <w:t xml:space="preserve">Consecuencia sobre la suma asegurada: </w:t>
      </w:r>
      <w:r>
        <w:rPr>
          <w:rFonts w:ascii="Archivo" w:cs="Archivo" w:eastAsia="Archivo" w:hAnsi="Archivo"/>
          <w:sz w:val="21"/>
          <w:szCs w:val="21"/>
        </w:rPr>
        <w:t xml:space="preserve">la suma asegurada no es más que el límite máximo de la indemnización pactado por las partes; el daño efectivamente indemnizable se mide, en todo caso, por el valor del interés en el momento inmediatamente anterior al siniestro, lo que constituye el fundamento último tanto de la regla proporcional del infraseguro (art. 30 LCS, capítulo 15) como de la eventual reducción cuando la suma asegurada excede el valor real del interés (sobreseguro, art. 27 LCS).</w:t>
      </w:r>
    </w:p>
    <w:p>
      <w:pPr>
        <w:pStyle w:val="ListParagraph"/>
        <w:numPr>
          <w:ilvl w:val="0"/>
          <w:numId w:val="2"/>
        </w:numPr>
        <w:spacing w:after="100" w:line="290"/>
      </w:pPr>
      <w:r>
        <w:rPr>
          <w:rFonts w:ascii="Archivo" w:cs="Archivo" w:eastAsia="Archivo" w:hAnsi="Archivo"/>
          <w:b/>
          <w:bCs/>
          <w:sz w:val="21"/>
          <w:szCs w:val="21"/>
        </w:rPr>
        <w:t xml:space="preserve">Consecuencia sobre la subrogación: </w:t>
      </w:r>
      <w:r>
        <w:rPr>
          <w:rFonts w:ascii="Archivo" w:cs="Archivo" w:eastAsia="Archivo" w:hAnsi="Archivo"/>
          <w:sz w:val="21"/>
          <w:szCs w:val="21"/>
        </w:rPr>
        <w:t xml:space="preserve">cuando el daño ha sido causado por un tercero (por ejemplo, el vecino cuya tubería provoca la filtración), el pago de la indemnización por la aseguradora no libera a dicho tercero de su responsabilidad, sino que determina la subrogación de la aseguradora en los derechos del asegurado frente a él, hasta el límite de lo indemnizado (art. 43 LCS), precisamente para evitar que el asegurado obtenga una doble reparación por el mismo daño.</w:t>
      </w:r>
    </w:p>
    <w:p>
      <w:pPr>
        <w:pStyle w:val="Heading2"/>
        <w:spacing w:after="160" w:before="400"/>
      </w:pPr>
      <w:r>
        <w:rPr>
          <w:rFonts w:ascii="Fraunces" w:cs="Fraunces" w:eastAsia="Fraunces" w:hAnsi="Fraunces"/>
          <w:b/>
          <w:bCs/>
          <w:color w:val="0A2540"/>
          <w:sz w:val="24"/>
          <w:szCs w:val="24"/>
        </w:rPr>
        <w:t xml:space="preserve">2.5. Contenido documental de la póliza</w:t>
      </w:r>
    </w:p>
    <w:p>
      <w:pPr>
        <w:spacing w:after="180" w:line="300"/>
        <w:jc w:val="both"/>
      </w:pPr>
      <w:r>
        <w:rPr>
          <w:rFonts w:ascii="Archivo" w:cs="Archivo" w:eastAsia="Archivo" w:hAnsi="Archivo"/>
          <w:sz w:val="21"/>
          <w:szCs w:val="21"/>
        </w:rPr>
        <w:t xml:space="preserve">El artículo 8 LCS enumera el contenido mínimo obligatorio de la póliza, cuya relevancia práctica desborda lo puramente formal: constituye, con frecuencia, el primer y principal elemento probatorio en cualquier disputa sobre el alcance de la cobertura contratada.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 LCS (extracto)</w:t>
            </w:r>
          </w:p>
          <w:p>
            <w:pPr>
              <w:spacing w:after="0" w:line="280"/>
              <w:jc w:val="both"/>
            </w:pPr>
            <w:r>
              <w:rPr>
                <w:rFonts w:ascii="IBM Plex Mono" w:cs="IBM Plex Mono" w:eastAsia="IBM Plex Mono" w:hAnsi="IBM Plex Mono"/>
                <w:i/>
                <w:iCs/>
                <w:color w:val="0A2540"/>
                <w:sz w:val="18"/>
                <w:szCs w:val="18"/>
              </w:rPr>
              <w:t xml:space="preserve">Contendrá, como mínimo, las indicaciones siguientes: 1. Nombre y apellidos o denominación social de las partes contratantes y su domicilio, así como la designación del asegurado y beneficiario, en su caso. 2. El concepto en el cual se asegura. 3. Naturaleza del riesgo cubierto, describiendo, de forma clara y comprensible, las garantías y coberturas otorgadas en el contrato, así como respecto a cada una de ellas, las exclusiones y limitaciones que les afecten destacadas tipográficamente. 4. Designación de los objetos asegurados y de su situación. 5. Suma asegurada o alcance de la cobertura. 6. Importe de la prima, recargos e impuestos. 7. Vencimiento de las primas, lugar y forma de pago. 8. Duración del contrato, con expresión del día y la hora en que comienzan y terminan sus efectos. 9. Si interviene un mediador en el contrato, el nombre y tipo de mediador.</w:t>
            </w:r>
          </w:p>
        </w:tc>
      </w:tr>
    </w:tbl>
    <w:p>
      <w:pPr>
        <w:spacing w:after="180" w:line="300"/>
        <w:jc w:val="both"/>
      </w:pPr>
      <w:r>
        <w:rPr>
          <w:rFonts w:ascii="Archivo" w:cs="Archivo" w:eastAsia="Archivo" w:hAnsi="Archivo"/>
          <w:sz w:val="21"/>
          <w:szCs w:val="21"/>
        </w:rPr>
        <w:t xml:space="preserve">El propio artículo 8 LCS prevé, además, un mecanismo correctivo de gran utilidad práctica y escasamente invocado: si el contenido de la póliza difiere de la proposición de seguro o de lo acordado, el tomador dispone de un mes desde la entrega de la póliza para reclamar la subsanación de la divergencia; transcurrido ese plazo sin reclamación, se estará al contenido de la póliza. El profesional que asesora a un asegurado inmediatamente después de la contratación debe, por tanto, cotejar sistemáticamente póliza y proposición dentro de ese plazo perentorio de un mes.</w:t>
      </w:r>
    </w:p>
    <w:p>
      <w:pPr>
        <w:pStyle w:val="Heading2"/>
        <w:spacing w:after="160" w:before="400"/>
      </w:pPr>
      <w:r>
        <w:rPr>
          <w:rFonts w:ascii="Fraunces" w:cs="Fraunces" w:eastAsia="Fraunces" w:hAnsi="Fraunces"/>
          <w:b/>
          <w:bCs/>
          <w:color w:val="0A2540"/>
          <w:sz w:val="24"/>
          <w:szCs w:val="24"/>
        </w:rPr>
        <w:t xml:space="preserve">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sujetos y objeto del contrato</w:t>
            </w:r>
          </w:p>
          <w:p>
            <w:pPr>
              <w:pStyle w:val="ListParagraph"/>
              <w:numPr>
                <w:ilvl w:val="0"/>
                <w:numId w:val="2"/>
              </w:numPr>
              <w:spacing w:after="80" w:line="280"/>
            </w:pPr>
            <w:r>
              <w:rPr>
                <w:rFonts w:ascii="Archivo" w:cs="Archivo" w:eastAsia="Archivo" w:hAnsi="Archivo"/>
                <w:sz w:val="19"/>
                <w:szCs w:val="19"/>
              </w:rPr>
              <w:t xml:space="preserve">Verificar quién ostenta la condición de tomador y quién la de asegurado: los deberes de declaración del riesgo y comunicación del siniestro recaen sobre el tomador; los derechos, sobre el asegurado (art. 7 LCS).</w:t>
            </w:r>
          </w:p>
          <w:p>
            <w:pPr>
              <w:pStyle w:val="ListParagraph"/>
              <w:numPr>
                <w:ilvl w:val="0"/>
                <w:numId w:val="2"/>
              </w:numPr>
              <w:spacing w:after="80" w:line="280"/>
            </w:pPr>
            <w:r>
              <w:rPr>
                <w:rFonts w:ascii="Archivo" w:cs="Archivo" w:eastAsia="Archivo" w:hAnsi="Archivo"/>
                <w:sz w:val="19"/>
                <w:szCs w:val="19"/>
              </w:rPr>
              <w:t xml:space="preserve">Ante una excepción de falta de interés asegurable (art. 25 LCS) opuesta por la aseguradora, invocar la doctrina de la STS 671/2023 (ROJ: STS 671/2023): la titularidad dominical acreditada desplaza la carga de la prueba a quien pretende la nulidad.</w:t>
            </w:r>
          </w:p>
          <w:p>
            <w:pPr>
              <w:pStyle w:val="ListParagraph"/>
              <w:numPr>
                <w:ilvl w:val="0"/>
                <w:numId w:val="2"/>
              </w:numPr>
              <w:spacing w:after="80" w:line="280"/>
            </w:pPr>
            <w:r>
              <w:rPr>
                <w:rFonts w:ascii="Archivo" w:cs="Archivo" w:eastAsia="Archivo" w:hAnsi="Archivo"/>
                <w:sz w:val="19"/>
                <w:szCs w:val="19"/>
              </w:rPr>
              <w:t xml:space="preserve">Distinguir siempre la suma asegurada (límite contractual) del daño indemnizable (medido por el valor del interés ex art. 26 LCS), especialmente al preparar la prueba pericial.</w:t>
            </w:r>
          </w:p>
          <w:p>
            <w:pPr>
              <w:pStyle w:val="ListParagraph"/>
              <w:numPr>
                <w:ilvl w:val="0"/>
                <w:numId w:val="2"/>
              </w:numPr>
              <w:spacing w:after="80" w:line="280"/>
            </w:pPr>
            <w:r>
              <w:rPr>
                <w:rFonts w:ascii="Archivo" w:cs="Archivo" w:eastAsia="Archivo" w:hAnsi="Archivo"/>
                <w:sz w:val="19"/>
                <w:szCs w:val="19"/>
              </w:rPr>
              <w:t xml:space="preserve">Cotejar póliza y proposición de seguro dentro del plazo de un mes del art. 8 LCS cuando se detecten divergencias entre lo pactado y lo documentado.</w:t>
            </w:r>
          </w:p>
        </w:tc>
      </w:tr>
    </w:tbl>
    <w:p>
      <w:pPr>
        <w:pStyle w:val="Heading2"/>
        <w:spacing w:after="160" w:before="400"/>
      </w:pPr>
      <w:r>
        <w:rPr>
          <w:rFonts w:ascii="Fraunces" w:cs="Fraunces" w:eastAsia="Fraunces" w:hAnsi="Fraunces"/>
          <w:b/>
          <w:bCs/>
          <w:color w:val="0A2540"/>
          <w:sz w:val="24"/>
          <w:szCs w:val="24"/>
        </w:rPr>
        <w:t xml:space="preserve">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verificar el asegurado sobre su posición contractual</w:t>
            </w:r>
          </w:p>
          <w:p>
            <w:pPr>
              <w:pStyle w:val="ListParagraph"/>
              <w:numPr>
                <w:ilvl w:val="0"/>
                <w:numId w:val="2"/>
              </w:numPr>
              <w:spacing w:after="80" w:line="280"/>
            </w:pPr>
            <w:r>
              <w:rPr>
                <w:rFonts w:ascii="Archivo" w:cs="Archivo" w:eastAsia="Archivo" w:hAnsi="Archivo"/>
                <w:sz w:val="19"/>
                <w:szCs w:val="19"/>
              </w:rPr>
              <w:t xml:space="preserve">Si usted no es quien firmó la póliza (por ejemplo, porque la contrató el banco o el propietario del piso que alquila), compruebe igualmente si figura como asegurado: solo esa condición le da derecho a reclamar la indemnización.</w:t>
            </w:r>
          </w:p>
          <w:p>
            <w:pPr>
              <w:pStyle w:val="ListParagraph"/>
              <w:numPr>
                <w:ilvl w:val="0"/>
                <w:numId w:val="2"/>
              </w:numPr>
              <w:spacing w:after="80" w:line="280"/>
            </w:pPr>
            <w:r>
              <w:rPr>
                <w:rFonts w:ascii="Archivo" w:cs="Archivo" w:eastAsia="Archivo" w:hAnsi="Archivo"/>
                <w:sz w:val="19"/>
                <w:szCs w:val="19"/>
              </w:rPr>
              <w:t xml:space="preserve">Si su vivienda tiene un préstamo hipotecario asociado, revise si la entidad financiera figura como beneficiaria de la indemnización hasta el capital pendiente: es una cláusula habitual y lícita, pero debe conocerla.</w:t>
            </w:r>
          </w:p>
          <w:p>
            <w:pPr>
              <w:pStyle w:val="ListParagraph"/>
              <w:numPr>
                <w:ilvl w:val="0"/>
                <w:numId w:val="2"/>
              </w:numPr>
              <w:spacing w:after="80" w:line="280"/>
            </w:pPr>
            <w:r>
              <w:rPr>
                <w:rFonts w:ascii="Archivo" w:cs="Archivo" w:eastAsia="Archivo" w:hAnsi="Archivo"/>
                <w:sz w:val="19"/>
                <w:szCs w:val="19"/>
              </w:rPr>
              <w:t xml:space="preserve">Conserve la proposición de seguro (oferta inicial) junto con la póliza definitiva: si detecta diferencias entre ambas, tiene un mes desde la entrega de la póliza para reclamar la subsanación (art. 8 LCS).</w:t>
            </w:r>
          </w:p>
        </w:tc>
      </w:tr>
    </w:tbl>
    <w:p>
      <w:pPr>
        <w:pStyle w:val="Heading2"/>
        <w:spacing w:after="160" w:before="400"/>
      </w:pPr>
      <w:r>
        <w:rPr>
          <w:rFonts w:ascii="Fraunces" w:cs="Fraunces" w:eastAsia="Fraunces" w:hAnsi="Fraunces"/>
          <w:b/>
          <w:bCs/>
          <w:color w:val="0A2540"/>
          <w:sz w:val="24"/>
          <w:szCs w:val="24"/>
        </w:rPr>
        <w:t xml:space="preserve">2.8. Checklist: quién es quién en la póliza de hogar</w:t>
      </w:r>
    </w:p>
    <w:p>
      <w:pPr>
        <w:pStyle w:val="ListParagraph"/>
        <w:numPr>
          <w:ilvl w:val="0"/>
          <w:numId w:val="2"/>
        </w:numPr>
        <w:spacing w:after="100" w:line="290"/>
      </w:pPr>
      <w:r>
        <w:rPr>
          <w:rFonts w:ascii="Archivo" w:cs="Archivo" w:eastAsia="Archivo" w:hAnsi="Archivo"/>
          <w:sz w:val="21"/>
          <w:szCs w:val="21"/>
        </w:rPr>
        <w:t xml:space="preserve">1. ¿Quién firma como tomador? ¿Coincide con el propietario, el inquilino o una entidad financiera?</w:t>
      </w:r>
    </w:p>
    <w:p>
      <w:pPr>
        <w:pStyle w:val="ListParagraph"/>
        <w:numPr>
          <w:ilvl w:val="0"/>
          <w:numId w:val="2"/>
        </w:numPr>
        <w:spacing w:after="100" w:line="290"/>
      </w:pPr>
      <w:r>
        <w:rPr>
          <w:rFonts w:ascii="Archivo" w:cs="Archivo" w:eastAsia="Archivo" w:hAnsi="Archivo"/>
          <w:sz w:val="21"/>
          <w:szCs w:val="21"/>
        </w:rPr>
        <w:t xml:space="preserve">2. ¿Quién figura como asegurado? ¿Es la misma persona que el tomador?</w:t>
      </w:r>
    </w:p>
    <w:p>
      <w:pPr>
        <w:pStyle w:val="ListParagraph"/>
        <w:numPr>
          <w:ilvl w:val="0"/>
          <w:numId w:val="2"/>
        </w:numPr>
        <w:spacing w:after="100" w:line="290"/>
      </w:pPr>
      <w:r>
        <w:rPr>
          <w:rFonts w:ascii="Archivo" w:cs="Archivo" w:eastAsia="Archivo" w:hAnsi="Archivo"/>
          <w:sz w:val="21"/>
          <w:szCs w:val="21"/>
        </w:rPr>
        <w:t xml:space="preserve">3. ¿Existe beneficiario designado distinto del asegurado (por ejemplo, entidad hipotecaria)?</w:t>
      </w:r>
    </w:p>
    <w:p>
      <w:pPr>
        <w:pStyle w:val="ListParagraph"/>
        <w:numPr>
          <w:ilvl w:val="0"/>
          <w:numId w:val="2"/>
        </w:numPr>
        <w:spacing w:after="100" w:line="290"/>
      </w:pPr>
      <w:r>
        <w:rPr>
          <w:rFonts w:ascii="Archivo" w:cs="Archivo" w:eastAsia="Archivo" w:hAnsi="Archivo"/>
          <w:sz w:val="21"/>
          <w:szCs w:val="21"/>
        </w:rPr>
        <w:t xml:space="preserve">4. ¿El interés asegurado se corresponde con la titularidad real sobre el inmueble (propiedad, usufructo, arrendamiento)?</w:t>
      </w:r>
    </w:p>
    <w:p>
      <w:pPr>
        <w:pStyle w:val="ListParagraph"/>
        <w:numPr>
          <w:ilvl w:val="0"/>
          <w:numId w:val="2"/>
        </w:numPr>
        <w:spacing w:after="100" w:line="290"/>
      </w:pPr>
      <w:r>
        <w:rPr>
          <w:rFonts w:ascii="Archivo" w:cs="Archivo" w:eastAsia="Archivo" w:hAnsi="Archivo"/>
          <w:sz w:val="21"/>
          <w:szCs w:val="21"/>
        </w:rPr>
        <w:t xml:space="preserve">5. ¿La suma asegurada de continente y de contenido se corresponde razonablemente con su valor real?</w:t>
      </w:r>
    </w:p>
    <w:p>
      <w:pPr>
        <w:pStyle w:val="ListParagraph"/>
        <w:numPr>
          <w:ilvl w:val="0"/>
          <w:numId w:val="2"/>
        </w:numPr>
        <w:spacing w:after="100" w:line="290"/>
      </w:pPr>
      <w:r>
        <w:rPr>
          <w:rFonts w:ascii="Archivo" w:cs="Archivo" w:eastAsia="Archivo" w:hAnsi="Archivo"/>
          <w:sz w:val="21"/>
          <w:szCs w:val="21"/>
        </w:rPr>
        <w:t xml:space="preserve">6. ¿Existe seguro de la comunidad de propietarios que pueda concurrir con la póliza individual?</w:t>
      </w:r>
    </w:p>
    <w:p>
      <w:pPr>
        <w:pStyle w:val="ListParagraph"/>
        <w:numPr>
          <w:ilvl w:val="0"/>
          <w:numId w:val="2"/>
        </w:numPr>
        <w:spacing w:after="100" w:line="290"/>
      </w:pPr>
      <w:r>
        <w:rPr>
          <w:rFonts w:ascii="Archivo" w:cs="Archivo" w:eastAsia="Archivo" w:hAnsi="Archivo"/>
          <w:sz w:val="21"/>
          <w:szCs w:val="21"/>
        </w:rPr>
        <w:t xml:space="preserve">7. ¿Se ha comprobado la proposición de seguro frente a la póliza definitiva dentro del plazo de un mes del art. 8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3. </w:t>
      </w:r>
      <w:r>
        <w:rPr>
          <w:rFonts w:ascii="Fraunces" w:cs="Fraunces" w:eastAsia="Fraunces" w:hAnsi="Fraunces"/>
          <w:b/>
          <w:bCs/>
          <w:color w:val="0A2540"/>
          <w:sz w:val="30"/>
          <w:szCs w:val="30"/>
        </w:rPr>
        <w:t xml:space="preserve">Formación del contrato y deber de declaración del riesgo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Fases de formación del contrato: solicitud, proposición y perfección (arts. 5 y 6 LCS)</w:t>
            </w:r>
          </w:p>
          <w:p>
            <w:pPr>
              <w:spacing w:after="40" w:line="260"/>
            </w:pPr>
            <w:r>
              <w:rPr>
                <w:rFonts w:ascii="Archivo" w:cs="Archivo" w:eastAsia="Archivo" w:hAnsi="Archivo"/>
                <w:sz w:val="18"/>
                <w:szCs w:val="18"/>
              </w:rPr>
              <w:t xml:space="preserve">3.2. El deber precontractual de declaración del riesgo (art. 10 LCS)</w:t>
            </w:r>
          </w:p>
          <w:p>
            <w:pPr>
              <w:spacing w:after="40" w:line="260"/>
            </w:pPr>
            <w:r>
              <w:rPr>
                <w:rFonts w:ascii="Archivo" w:cs="Archivo" w:eastAsia="Archivo" w:hAnsi="Archivo"/>
                <w:sz w:val="18"/>
                <w:szCs w:val="18"/>
              </w:rPr>
              <w:t xml:space="preserve">3.3. Consecuencias del incumplimiento del deber de declaración</w:t>
            </w:r>
          </w:p>
          <w:p>
            <w:pPr>
              <w:spacing w:after="40" w:line="260"/>
            </w:pPr>
            <w:r>
              <w:rPr>
                <w:rFonts w:ascii="Archivo" w:cs="Archivo" w:eastAsia="Archivo" w:hAnsi="Archivo"/>
                <w:sz w:val="18"/>
                <w:szCs w:val="18"/>
              </w:rPr>
              <w:t xml:space="preserve">3.4. La agravación del riesgo durante la vigencia del contrato (arts. 11 y 12 LCS)</w:t>
            </w:r>
          </w:p>
          <w:p>
            <w:pPr>
              <w:spacing w:after="40" w:line="260"/>
            </w:pPr>
            <w:r>
              <w:rPr>
                <w:rFonts w:ascii="Archivo" w:cs="Archivo" w:eastAsia="Archivo" w:hAnsi="Archivo"/>
                <w:sz w:val="18"/>
                <w:szCs w:val="18"/>
              </w:rPr>
              <w:t xml:space="preserve">3.5. El pago de la prima y sus consecuencias (art. 15 LCS)</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el cuestionario de riesgo en el seguro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iter contractual del seguro de hogar desde la solicitud hasta la perfección del contrato, con especial atención al deber precontractual de declaración del riesgo del art. 10 LCS —cuya reforma por el Real Decreto-ley 5/2023 reforzó la exigencia de cuestionario a cargo del asegurador— y a la agravación sobrevenida del riesgo del art. 11 LCS, dos de los mecanismos de control de la asimetría informativa entre tomador y asegurador más invocados en la litigación del ramo.</w:t>
            </w:r>
          </w:p>
          <w:p>
            <w:pPr>
              <w:spacing w:after="160"/>
            </w:pPr>
            <w:r>
              <w:rPr>
                <w:rFonts w:ascii="Archivo" w:cs="Archivo" w:eastAsia="Archivo" w:hAnsi="Archivo"/>
                <w:b/>
                <w:bCs/>
                <w:sz w:val="17"/>
                <w:szCs w:val="17"/>
              </w:rPr>
              <w:t xml:space="preserve">Palabras clave: formación del contrato de seguro, cuestionario de riesgo, art. 10 LCS, declaración del riesgo, agravación del riesgo, dolo, culpa grave.</w:t>
            </w:r>
          </w:p>
          <w:p>
            <w:pPr>
              <w:spacing w:after="100"/>
              <w:jc w:val="both"/>
            </w:pPr>
            <w:r>
              <w:rPr>
                <w:rFonts w:ascii="Archivo" w:cs="Archivo" w:eastAsia="Archivo" w:hAnsi="Archivo"/>
                <w:i/>
                <w:iCs/>
                <w:sz w:val="18"/>
                <w:szCs w:val="18"/>
              </w:rPr>
              <w:t xml:space="preserve">This chapter traces the formation of the homeowners' insurance contract, from application to perfection, focusing on the policyholder's pre-contractual duty to disclose risk-relevant circumstances under Article 10 of the Spanish Insurance Contract Act —reinforced by the 2023 reform requiring a insurer-drafted questionnaire— and on the aggravation-of-risk duty under Article 11, two of the principal mechanisms addressing information asymmetry in insurance litigation.</w:t>
            </w:r>
          </w:p>
          <w:p>
            <w:pPr>
              <w:spacing w:after="0"/>
            </w:pPr>
            <w:r>
              <w:rPr>
                <w:rFonts w:ascii="Archivo" w:cs="Archivo" w:eastAsia="Archivo" w:hAnsi="Archivo"/>
                <w:b/>
                <w:bCs/>
                <w:sz w:val="17"/>
                <w:szCs w:val="17"/>
              </w:rPr>
              <w:t xml:space="preserve">Keywords: contract formation, risk questionnaire, disclosure duty, risk aggravation, wilful misconduct, gross negligence.</w:t>
            </w:r>
          </w:p>
        </w:tc>
      </w:tr>
    </w:tbl>
    <w:p>
      <w:pPr>
        <w:spacing w:after="200"/>
      </w:pPr>
    </w:p>
    <w:p>
      <w:pPr>
        <w:pStyle w:val="Heading2"/>
        <w:spacing w:after="160" w:before="400"/>
      </w:pPr>
      <w:r>
        <w:rPr>
          <w:rFonts w:ascii="Fraunces" w:cs="Fraunces" w:eastAsia="Fraunces" w:hAnsi="Fraunces"/>
          <w:b/>
          <w:bCs/>
          <w:color w:val="0A2540"/>
          <w:sz w:val="24"/>
          <w:szCs w:val="24"/>
        </w:rPr>
        <w:t xml:space="preserve">3.1. Fases de formación del contrato: solicitud, proposición y perfección</w:t>
      </w:r>
    </w:p>
    <w:p>
      <w:pPr>
        <w:spacing w:after="180" w:line="300"/>
        <w:jc w:val="both"/>
      </w:pPr>
      <w:r>
        <w:rPr>
          <w:rFonts w:ascii="Archivo" w:cs="Archivo" w:eastAsia="Archivo" w:hAnsi="Archivo"/>
          <w:sz w:val="21"/>
          <w:szCs w:val="21"/>
        </w:rPr>
        <w:t xml:space="preserve">La LCS distingue con precisión tres momentos en el iter contractual, cuya correcta identificación resulta relevante para determinar, entre otras cosas, desde cuándo corre la cobertura provisional: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 LCS</w:t>
            </w:r>
          </w:p>
          <w:p>
            <w:pPr>
              <w:spacing w:after="0" w:line="280"/>
              <w:jc w:val="both"/>
            </w:pPr>
            <w:r>
              <w:rPr>
                <w:rFonts w:ascii="IBM Plex Mono" w:cs="IBM Plex Mono" w:eastAsia="IBM Plex Mono" w:hAnsi="IBM Plex Mono"/>
                <w:i/>
                <w:iCs/>
                <w:color w:val="0A2540"/>
                <w:sz w:val="18"/>
                <w:szCs w:val="18"/>
              </w:rPr>
              <w:t xml:space="preserve">La solicitud de seguro no vinculará al solicitante. La proposición de seguro por el asegurador vinculará al proponente durante un plazo de quince días. Por acuerdo de las partes, los efectos del seguro podrán retrotraerse al momento en que se presentó la solicitud o se formuló la proposición.</w:t>
            </w:r>
          </w:p>
        </w:tc>
      </w:tr>
    </w:tbl>
    <w:p>
      <w:pPr>
        <w:pStyle w:val="ListParagraph"/>
        <w:numPr>
          <w:ilvl w:val="0"/>
          <w:numId w:val="2"/>
        </w:numPr>
        <w:spacing w:after="100" w:line="290"/>
      </w:pPr>
      <w:r>
        <w:rPr>
          <w:rFonts w:ascii="Archivo" w:cs="Archivo" w:eastAsia="Archivo" w:hAnsi="Archivo"/>
          <w:b/>
          <w:bCs/>
          <w:sz w:val="21"/>
          <w:szCs w:val="21"/>
        </w:rPr>
        <w:t xml:space="preserve">Solicitud: </w:t>
      </w:r>
      <w:r>
        <w:rPr>
          <w:rFonts w:ascii="Archivo" w:cs="Archivo" w:eastAsia="Archivo" w:hAnsi="Archivo"/>
          <w:sz w:val="21"/>
          <w:szCs w:val="21"/>
        </w:rPr>
        <w:t xml:space="preserve">la petición inicial del futuro tomador, que no genera vínculo alguno; puede retirarse libremente.</w:t>
      </w:r>
    </w:p>
    <w:p>
      <w:pPr>
        <w:pStyle w:val="ListParagraph"/>
        <w:numPr>
          <w:ilvl w:val="0"/>
          <w:numId w:val="2"/>
        </w:numPr>
        <w:spacing w:after="100" w:line="290"/>
      </w:pPr>
      <w:r>
        <w:rPr>
          <w:rFonts w:ascii="Archivo" w:cs="Archivo" w:eastAsia="Archivo" w:hAnsi="Archivo"/>
          <w:b/>
          <w:bCs/>
          <w:sz w:val="21"/>
          <w:szCs w:val="21"/>
        </w:rPr>
        <w:t xml:space="preserve">Proposición de seguro: </w:t>
      </w:r>
      <w:r>
        <w:rPr>
          <w:rFonts w:ascii="Archivo" w:cs="Archivo" w:eastAsia="Archivo" w:hAnsi="Archivo"/>
          <w:sz w:val="21"/>
          <w:szCs w:val="21"/>
        </w:rPr>
        <w:t xml:space="preserve">la oferta formal del asegurador, que sí le vincula durante quince días. Es sobre este documento —cuando existe— sobre el que debe verificarse la coherencia posterior de la póliza, conforme al mecanismo de subsanación del art. 8 LCS estudiado en el capítulo 2.</w:t>
      </w:r>
    </w:p>
    <w:p>
      <w:pPr>
        <w:pStyle w:val="ListParagraph"/>
        <w:numPr>
          <w:ilvl w:val="0"/>
          <w:numId w:val="2"/>
        </w:numPr>
        <w:spacing w:after="100" w:line="290"/>
      </w:pPr>
      <w:r>
        <w:rPr>
          <w:rFonts w:ascii="Archivo" w:cs="Archivo" w:eastAsia="Archivo" w:hAnsi="Archivo"/>
          <w:b/>
          <w:bCs/>
          <w:sz w:val="21"/>
          <w:szCs w:val="21"/>
        </w:rPr>
        <w:t xml:space="preserve">Perfección y formalización: </w:t>
      </w:r>
      <w:r>
        <w:rPr>
          <w:rFonts w:ascii="Archivo" w:cs="Archivo" w:eastAsia="Archivo" w:hAnsi="Archivo"/>
          <w:sz w:val="21"/>
          <w:szCs w:val="21"/>
        </w:rPr>
        <w:t xml:space="preserve">el contrato de seguro es consensual, pero la LCS exige su formalización escrita como requisito de constancia y prueba, no de validez ad solemnitatem.</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 LCS</w:t>
            </w:r>
          </w:p>
          <w:p>
            <w:pPr>
              <w:spacing w:after="0" w:line="280"/>
              <w:jc w:val="both"/>
            </w:pPr>
            <w:r>
              <w:rPr>
                <w:rFonts w:ascii="IBM Plex Mono" w:cs="IBM Plex Mono" w:eastAsia="IBM Plex Mono" w:hAnsi="IBM Plex Mono"/>
                <w:i/>
                <w:iCs/>
                <w:color w:val="0A2540"/>
                <w:sz w:val="18"/>
                <w:szCs w:val="18"/>
              </w:rPr>
              <w:t xml:space="preserve">El contrato de seguro y sus modificaciones o adiciones deberán ser formalizadas por escrito. El asegurador está obligado a entregar al tomador del seguro la póliza o, al menos, el documento de cobertura provisional.</w:t>
            </w:r>
          </w:p>
        </w:tc>
      </w:tr>
    </w:tbl>
    <w:p>
      <w:pPr>
        <w:pStyle w:val="Heading2"/>
        <w:spacing w:after="160" w:before="400"/>
      </w:pPr>
      <w:r>
        <w:rPr>
          <w:rFonts w:ascii="Fraunces" w:cs="Fraunces" w:eastAsia="Fraunces" w:hAnsi="Fraunces"/>
          <w:b/>
          <w:bCs/>
          <w:color w:val="0A2540"/>
          <w:sz w:val="24"/>
          <w:szCs w:val="24"/>
        </w:rPr>
        <w:t xml:space="preserve">3.2. El deber precontractual de declaración del riesgo</w:t>
      </w:r>
    </w:p>
    <w:p>
      <w:pPr>
        <w:spacing w:after="180" w:line="300"/>
        <w:jc w:val="both"/>
      </w:pPr>
      <w:r>
        <w:rPr>
          <w:rFonts w:ascii="Archivo" w:cs="Archivo" w:eastAsia="Archivo" w:hAnsi="Archivo"/>
          <w:sz w:val="21"/>
          <w:szCs w:val="21"/>
        </w:rPr>
        <w:t xml:space="preserve">El artículo 10 LCS es, junto con el artículo 3, el precepto que con mayor frecuencia protagoniza la litigación sobre denegación de cobertura en el seguro de hogar. Su redacción vigente —resultante de la reforma operada por el Real Decreto-ley 5/2023, de 27 de junio— acentuó sustancialmente la posición del tomador frente a la práctica anterior, centrada en un modelo de "declaración espontánea" del riesgo</w:t>
      </w:r>
      <w:r>
        <w:rPr>
          <w:rStyle w:val="FootnoteReference"/>
        </w:rPr>
        <w:footnoteReference w:id="1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10 LCS</w:t>
            </w:r>
          </w:p>
          <w:p>
            <w:pPr>
              <w:spacing w:after="0" w:line="280"/>
              <w:jc w:val="both"/>
            </w:pPr>
            <w:r>
              <w:rPr>
                <w:rFonts w:ascii="IBM Plex Mono" w:cs="IBM Plex Mono" w:eastAsia="IBM Plex Mono" w:hAnsi="IBM Plex Mono"/>
                <w:i/>
                <w:iCs/>
                <w:color w:val="0A2540"/>
                <w:sz w:val="18"/>
                <w:szCs w:val="18"/>
              </w:rPr>
              <w:t xml:space="preserve">El tomador del seguro tiene el deber, antes de la conclusión del contrato, de declarar al asegurador, de acuerdo con el cuestionario que éste le someta, todas las circunstancias por él conocidas que puedan influir en la valoración del riesgo. Quedará exonerado de tal deber si el asegurador no le somete cuestionario o cuando, aun sometiéndoselo, se trate de circunstancias que puedan influir en la valoración del riesgo y que no estén comprendidas en él. [...] Si el siniestro sobreviene antes de que el asegurador haga la declaración [de rescisión por reserva o inexactitud], la prestación de éste se reducirá proporcionalmente a la diferencia entre la prima convenida y la que se hubiese aplicado de haberse conocido la verdadera entidad del riesgo. Si medió dolo o culpa grave del tomador del seguro quedará el asegurador liberado del pago de la prestación.</w:t>
            </w:r>
          </w:p>
        </w:tc>
      </w:tr>
    </w:tbl>
    <w:p>
      <w:pPr>
        <w:spacing w:after="180" w:line="300"/>
        <w:jc w:val="both"/>
      </w:pPr>
      <w:r>
        <w:rPr>
          <w:rFonts w:ascii="Archivo" w:cs="Archivo" w:eastAsia="Archivo" w:hAnsi="Archivo"/>
          <w:sz w:val="21"/>
          <w:szCs w:val="21"/>
        </w:rPr>
        <w:t xml:space="preserve">El modelo vigente es, por tanto, un modelo de declaración-cuestionario y no de declaración espontánea: el tomador únicamente está obligado a responder con veracidad a lo que se le pregunta expresamente. Si el asegurador no somete cuestionario alguno al tomador —por ejemplo, en una contratación telefónica o por internet en la que se limita a recabar los datos identificativos y la dirección del inmueble— el tomador queda enteramente exonerado del deber de declaración, con independencia de cuán relevante fuera la circunstancia omitida.</w:t>
      </w:r>
    </w:p>
    <w:p>
      <w:pPr>
        <w:spacing w:after="180" w:line="300"/>
        <w:jc w:val="both"/>
      </w:pPr>
      <w:r>
        <w:rPr>
          <w:rFonts w:ascii="Archivo" w:cs="Archivo" w:eastAsia="Archivo" w:hAnsi="Archivo"/>
          <w:sz w:val="21"/>
          <w:szCs w:val="21"/>
        </w:rPr>
        <w:t xml:space="preserve">La doctrina jurisprudencial insiste en la carga que este modelo hace pesar sobre la aseguradora: es esta quien debe acreditar la existencia de un cuestionario, su contenido concreto y la falta de veracidad o la reserva del tomador al responderlo</w:t>
      </w:r>
      <w:r>
        <w:rPr>
          <w:rStyle w:val="FootnoteReference"/>
        </w:rPr>
        <w:footnoteReference w:id="11"/>
      </w:r>
      <w:r>
        <w:rPr>
          <w:rFonts w:ascii="Archivo" w:cs="Archivo" w:eastAsia="Archivo" w:hAnsi="Archivo"/>
          <w:sz w:val="21"/>
          <w:szCs w:val="21"/>
        </w:rPr>
        <w:t xml:space="preserve">, correspondiendo al tomador únicamente acreditar, en su caso, que respondió con veracidad a lo efectivamente preguntado.</w:t>
      </w:r>
    </w:p>
    <w:p>
      <w:pPr>
        <w:pStyle w:val="Heading2"/>
        <w:spacing w:after="160" w:before="400"/>
      </w:pPr>
      <w:r>
        <w:rPr>
          <w:rFonts w:ascii="Fraunces" w:cs="Fraunces" w:eastAsia="Fraunces" w:hAnsi="Fraunces"/>
          <w:b/>
          <w:bCs/>
          <w:color w:val="0A2540"/>
          <w:sz w:val="24"/>
          <w:szCs w:val="24"/>
        </w:rPr>
        <w:t xml:space="preserve">3.3. Consecuencias del incumplimiento del deber de declaración</w:t>
      </w:r>
    </w:p>
    <w:p>
      <w:pPr>
        <w:spacing w:after="180" w:line="300"/>
        <w:jc w:val="both"/>
      </w:pPr>
      <w:r>
        <w:rPr>
          <w:rFonts w:ascii="Archivo" w:cs="Archivo" w:eastAsia="Archivo" w:hAnsi="Archivo"/>
          <w:sz w:val="21"/>
          <w:szCs w:val="21"/>
        </w:rPr>
        <w:t xml:space="preserve">El artículo 10 LCS anuda al incumplimiento del deber de declaración un régimen escalonado que distingue tres situaciones:</w:t>
      </w:r>
    </w:p>
    <w:p>
      <w:pPr>
        <w:pStyle w:val="ListParagraph"/>
        <w:numPr>
          <w:ilvl w:val="0"/>
          <w:numId w:val="2"/>
        </w:numPr>
        <w:spacing w:after="100" w:line="290"/>
      </w:pPr>
      <w:r>
        <w:rPr>
          <w:rFonts w:ascii="Archivo" w:cs="Archivo" w:eastAsia="Archivo" w:hAnsi="Archivo"/>
          <w:b/>
          <w:bCs/>
          <w:sz w:val="21"/>
          <w:szCs w:val="21"/>
        </w:rPr>
        <w:t xml:space="preserve">Descubrimiento antes del siniestro: </w:t>
      </w:r>
      <w:r>
        <w:rPr>
          <w:rFonts w:ascii="Archivo" w:cs="Archivo" w:eastAsia="Archivo" w:hAnsi="Archivo"/>
          <w:sz w:val="21"/>
          <w:szCs w:val="21"/>
        </w:rPr>
        <w:t xml:space="preserve">el asegurador dispone de un mes desde que conoce la reserva o inexactitud para rescindir el contrato, conservando las primas del período en curso salvo que medie dolo o culpa grave del propio asegurador.</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sin dolo ni culpa grave del tomador: </w:t>
      </w:r>
      <w:r>
        <w:rPr>
          <w:rFonts w:ascii="Archivo" w:cs="Archivo" w:eastAsia="Archivo" w:hAnsi="Archivo"/>
          <w:sz w:val="21"/>
          <w:szCs w:val="21"/>
        </w:rPr>
        <w:t xml:space="preserve">la prestación del asegurador se reduce proporcionalmente, en la misma proporción entre la prima realmente pagada y la que se hubiera fijado de haberse conocido el riesgo real (regla proporcional del art. 10, no confundir con la del infraseguro del art. 30, estudiada en el capítulo 15).</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con dolo o culpa grave del tomador: </w:t>
      </w:r>
      <w:r>
        <w:rPr>
          <w:rFonts w:ascii="Archivo" w:cs="Archivo" w:eastAsia="Archivo" w:hAnsi="Archivo"/>
          <w:sz w:val="21"/>
          <w:szCs w:val="21"/>
        </w:rPr>
        <w:t xml:space="preserve">el asegurador queda enteramente liberado del pago de la prestación.</w:t>
      </w:r>
    </w:p>
    <w:p>
      <w:pPr>
        <w:spacing w:after="180" w:line="300"/>
        <w:jc w:val="both"/>
      </w:pPr>
      <w:r>
        <w:rPr>
          <w:rFonts w:ascii="Archivo" w:cs="Archivo" w:eastAsia="Archivo" w:hAnsi="Archivo"/>
          <w:sz w:val="21"/>
          <w:szCs w:val="21"/>
        </w:rPr>
        <w:t xml:space="preserve">En la práctica del seguro de hogar, este último supuesto se plantea con frecuencia en relación con circunstancias del inmueble no declaradas al contratar —por ejemplo, un estado de conservación deficiente de las instalaciones, obras estructurales pendientes de licencia, o el uso efectivo de la vivienda como local de negocio o alquiler turístico cuando se contrató como vivienda habitual—, siempre que tales circunstancias hubieran sido objeto de pregunta expresa en el cuestionario.</w:t>
      </w:r>
    </w:p>
    <w:p>
      <w:pPr>
        <w:pStyle w:val="Heading3"/>
        <w:spacing w:after="120" w:before="280"/>
      </w:pPr>
      <w:r>
        <w:rPr>
          <w:rFonts w:ascii="Archivo" w:cs="Archivo" w:eastAsia="Archivo" w:hAnsi="Archivo"/>
          <w:b/>
          <w:bCs/>
          <w:color w:val="1B6DF0"/>
          <w:sz w:val="21"/>
          <w:szCs w:val="21"/>
        </w:rPr>
        <w:t xml:space="preserve">3.3.1. La agravación del riesgo durante la vigencia del contrato</w:t>
      </w:r>
    </w:p>
    <w:p>
      <w:pPr>
        <w:spacing w:after="180" w:line="300"/>
        <w:jc w:val="both"/>
      </w:pPr>
      <w:r>
        <w:rPr>
          <w:rFonts w:ascii="Archivo" w:cs="Archivo" w:eastAsia="Archivo" w:hAnsi="Archivo"/>
          <w:sz w:val="21"/>
          <w:szCs w:val="21"/>
        </w:rPr>
        <w:t xml:space="preserve">Distinto del deber precontractual de declaración es el deber, ya durante la vigencia del contrato, de comunicar las circunstancias sobrevenidas que agraven el riesgo asegurado: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11 LCS</w:t>
            </w:r>
          </w:p>
          <w:p>
            <w:pPr>
              <w:spacing w:after="0" w:line="280"/>
              <w:jc w:val="both"/>
            </w:pPr>
            <w:r>
              <w:rPr>
                <w:rFonts w:ascii="IBM Plex Mono" w:cs="IBM Plex Mono" w:eastAsia="IBM Plex Mono" w:hAnsi="IBM Plex Mono"/>
                <w:i/>
                <w:iCs/>
                <w:color w:val="0A2540"/>
                <w:sz w:val="18"/>
                <w:szCs w:val="18"/>
              </w:rPr>
              <w:t xml:space="preserve">El tomador del seguro o el asegurado deberán durante la vigencia del contrato comunicar al asegurador, tan pronto como le sea posible, la alteración de los factores y las circunstancias declaradas en el cuestionario previsto en el artículo anterior que agraven el riesgo y sean de tal naturaleza que si hubieran sido conocidas por éste en el momento de la perfección del contrato no lo habría celebrado o lo habría concluido en condiciones más gravosas.</w:t>
            </w:r>
          </w:p>
        </w:tc>
      </w:tr>
    </w:tbl>
    <w:p>
      <w:pPr>
        <w:spacing w:after="180" w:line="300"/>
        <w:jc w:val="both"/>
      </w:pPr>
      <w:r>
        <w:rPr>
          <w:rFonts w:ascii="Archivo" w:cs="Archivo" w:eastAsia="Archivo" w:hAnsi="Archivo"/>
          <w:sz w:val="21"/>
          <w:szCs w:val="21"/>
        </w:rPr>
        <w:t xml:space="preserve">El precepto se limita, tras la reforma de 2023, a las circunstancias que fueron objeto del cuestionario inicial: si una determinada circunstancia (por ejemplo, el número de ocupantes de la vivienda o la existencia de una alarma conectada) no fue objeto de pregunta al contratar, su alteración posterior no genera deber de comunicación alguno. El régimen de consecuencias del incumplimiento (art. 12 LCS) reproduce, mutatis mutandis, el esquema del art. 10 LCS: liberación del asegurador en caso de mala fe, reducción proporcional de la prestación en los demás casos.</w:t>
      </w:r>
    </w:p>
    <w:p>
      <w:pPr>
        <w:pStyle w:val="Heading2"/>
        <w:spacing w:after="160" w:before="400"/>
      </w:pPr>
      <w:r>
        <w:rPr>
          <w:rFonts w:ascii="Fraunces" w:cs="Fraunces" w:eastAsia="Fraunces" w:hAnsi="Fraunces"/>
          <w:b/>
          <w:bCs/>
          <w:color w:val="0A2540"/>
          <w:sz w:val="24"/>
          <w:szCs w:val="24"/>
        </w:rPr>
        <w:t xml:space="preserve">3.4. El pago de la prima y sus consecuencias</w:t>
      </w:r>
    </w:p>
    <w:p>
      <w:pPr>
        <w:spacing w:after="180" w:line="300"/>
        <w:jc w:val="both"/>
      </w:pPr>
      <w:r>
        <w:rPr>
          <w:rFonts w:ascii="Archivo" w:cs="Archivo" w:eastAsia="Archivo" w:hAnsi="Archivo"/>
          <w:sz w:val="21"/>
          <w:szCs w:val="21"/>
        </w:rPr>
        <w:t xml:space="preserve">El deber capital del tomador es, naturalmente, el pago de la prima. El artículo 15 LCS regula con detalle las consecuencias de su impago, distinción esencial para el profesional que defiende a un asegurado al que se deniega la cobertura por esta causa: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15 LCS</w:t>
            </w:r>
          </w:p>
          <w:p>
            <w:pPr>
              <w:spacing w:after="0" w:line="280"/>
              <w:jc w:val="both"/>
            </w:pPr>
            <w:r>
              <w:rPr>
                <w:rFonts w:ascii="IBM Plex Mono" w:cs="IBM Plex Mono" w:eastAsia="IBM Plex Mono" w:hAnsi="IBM Plex Mono"/>
                <w:i/>
                <w:iCs/>
                <w:color w:val="0A2540"/>
                <w:sz w:val="18"/>
                <w:szCs w:val="18"/>
              </w:rPr>
              <w:t xml:space="preserve">Si por culpa del tomador la primera prima no ha sido pagada, o la prima única no lo ha sido a su vencimiento, el asegurador tiene derecho a resolver el contrato o a exigir el pago de la prima debida en vía ejecutiva con base en la póliza. Salvo pacto en contrario, si la prima no ha sido pagada antes de que se produzca el siniestro, el asegurador quedará liberado de su obligación. En caso de falta de pago de una de las primas siguientes, la cobertura del asegurador queda suspendida un mes después del día de su vencimiento. Si el asegurador no reclama el pago dentro de los seis meses siguientes al vencimiento de la prima se entenderá que el contrato queda extinguido.</w:t>
            </w:r>
          </w:p>
        </w:tc>
      </w:tr>
    </w:tbl>
    <w:p>
      <w:pPr>
        <w:spacing w:after="180" w:line="300"/>
        <w:jc w:val="both"/>
      </w:pPr>
      <w:r>
        <w:rPr>
          <w:rFonts w:ascii="Archivo" w:cs="Archivo" w:eastAsia="Archivo" w:hAnsi="Archivo"/>
          <w:sz w:val="21"/>
          <w:szCs w:val="21"/>
        </w:rPr>
        <w:t xml:space="preserve">La distinción entre primera prima (o prima única) y primas sucesivas es determinante: el impago de la primera prima libera al asegurador de forma prácticamente automática si el siniestro ocurre antes del pago, mientras que el impago de una prima sucesiva únicamente suspende la cobertura transcurrido un mes desde su vencimiento —no de forma inmediata— y exige, además, que la aseguradora no haya dejado transcurrir seis meses sin reclamar el pago, pues en tal caso el contrato se entiende extinguido y no meramente suspendido.</w:t>
      </w:r>
    </w:p>
    <w:p>
      <w:pPr>
        <w:pStyle w:val="Heading2"/>
        <w:spacing w:after="160" w:before="400"/>
      </w:pPr>
      <w:r>
        <w:rPr>
          <w:rFonts w:ascii="Fraunces" w:cs="Fraunces" w:eastAsia="Fraunces" w:hAnsi="Fraunces"/>
          <w:b/>
          <w:bCs/>
          <w:color w:val="0A2540"/>
          <w:sz w:val="24"/>
          <w:szCs w:val="24"/>
        </w:rPr>
        <w:t xml:space="preserve">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de cobertura por el art. 10 LCS</w:t>
            </w:r>
          </w:p>
          <w:p>
            <w:pPr>
              <w:pStyle w:val="ListParagraph"/>
              <w:numPr>
                <w:ilvl w:val="0"/>
                <w:numId w:val="2"/>
              </w:numPr>
              <w:spacing w:after="80" w:line="280"/>
            </w:pPr>
            <w:r>
              <w:rPr>
                <w:rFonts w:ascii="Archivo" w:cs="Archivo" w:eastAsia="Archivo" w:hAnsi="Archivo"/>
                <w:sz w:val="19"/>
                <w:szCs w:val="19"/>
              </w:rPr>
              <w:t xml:space="preserve">Reclamar a la aseguradora la aportación del cuestionario efectivamente sometido al tomador: sin cuestionario documentado, no puede prosperar la excepción del art. 10 LCS.</w:t>
            </w:r>
          </w:p>
          <w:p>
            <w:pPr>
              <w:pStyle w:val="ListParagraph"/>
              <w:numPr>
                <w:ilvl w:val="0"/>
                <w:numId w:val="2"/>
              </w:numPr>
              <w:spacing w:after="80" w:line="280"/>
            </w:pPr>
            <w:r>
              <w:rPr>
                <w:rFonts w:ascii="Archivo" w:cs="Archivo" w:eastAsia="Archivo" w:hAnsi="Archivo"/>
                <w:sz w:val="19"/>
                <w:szCs w:val="19"/>
              </w:rPr>
              <w:t xml:space="preserve">Verificar que las preguntas del cuestionario fueran lo suficientemente concretas y específicas sobre la circunstancia que se dice omitida; las cláusulas de estilo genérico («declaro que el riesgo es normal») no equivalen a cuestionario en sentido del art. 10 LCS.</w:t>
            </w:r>
          </w:p>
          <w:p>
            <w:pPr>
              <w:pStyle w:val="ListParagraph"/>
              <w:numPr>
                <w:ilvl w:val="0"/>
                <w:numId w:val="2"/>
              </w:numPr>
              <w:spacing w:after="80" w:line="280"/>
            </w:pPr>
            <w:r>
              <w:rPr>
                <w:rFonts w:ascii="Archivo" w:cs="Archivo" w:eastAsia="Archivo" w:hAnsi="Archivo"/>
                <w:sz w:val="19"/>
                <w:szCs w:val="19"/>
              </w:rPr>
              <w:t xml:space="preserve">Distinguir con precisión el régimen de exoneración total (dolo o culpa grave) del de reducción proporcional (reserva o inexactitud sin dolo ni culpa grave): la carga de la prueba del dolo o la culpa grave corresponde a la aseguradora.</w:t>
            </w:r>
          </w:p>
          <w:p>
            <w:pPr>
              <w:pStyle w:val="ListParagraph"/>
              <w:numPr>
                <w:ilvl w:val="0"/>
                <w:numId w:val="2"/>
              </w:numPr>
              <w:spacing w:after="80" w:line="280"/>
            </w:pPr>
            <w:r>
              <w:rPr>
                <w:rFonts w:ascii="Archivo" w:cs="Archivo" w:eastAsia="Archivo" w:hAnsi="Archivo"/>
                <w:sz w:val="19"/>
                <w:szCs w:val="19"/>
              </w:rPr>
              <w:t xml:space="preserve">Ante la agravación sobrevenida del riesgo (art. 11 LCS), comprobar que la circunstancia alegada por la aseguradora hubiera sido objeto del cuestionario inicial: si no lo fue, no existe deber de comunicación posterior.</w:t>
            </w:r>
          </w:p>
          <w:p>
            <w:pPr>
              <w:pStyle w:val="ListParagraph"/>
              <w:numPr>
                <w:ilvl w:val="0"/>
                <w:numId w:val="2"/>
              </w:numPr>
              <w:spacing w:after="80" w:line="280"/>
            </w:pPr>
            <w:r>
              <w:rPr>
                <w:rFonts w:ascii="Archivo" w:cs="Archivo" w:eastAsia="Archivo" w:hAnsi="Archivo"/>
                <w:sz w:val="19"/>
                <w:szCs w:val="19"/>
              </w:rPr>
              <w:t xml:space="preserve">En materia de impago de primas, diferenciar primera prima (liberación cuasi automática del asegurador) de primas sucesivas (suspensión al mes, extinción a los seis meses de inactividad de la aseguradora).</w:t>
            </w:r>
          </w:p>
        </w:tc>
      </w:tr>
    </w:tbl>
    <w:p>
      <w:pPr>
        <w:pStyle w:val="Heading2"/>
        <w:spacing w:after="160" w:before="400"/>
      </w:pPr>
      <w:r>
        <w:rPr>
          <w:rFonts w:ascii="Fraunces" w:cs="Fraunces" w:eastAsia="Fraunces" w:hAnsi="Fraunces"/>
          <w:b/>
          <w:bCs/>
          <w:color w:val="0A2540"/>
          <w:sz w:val="24"/>
          <w:szCs w:val="24"/>
        </w:rPr>
        <w:t xml:space="preserve">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Recomendaciones al contratar y durante la vigencia de la póliza</w:t>
            </w:r>
          </w:p>
          <w:p>
            <w:pPr>
              <w:pStyle w:val="ListParagraph"/>
              <w:numPr>
                <w:ilvl w:val="0"/>
                <w:numId w:val="2"/>
              </w:numPr>
              <w:spacing w:after="80" w:line="280"/>
            </w:pPr>
            <w:r>
              <w:rPr>
                <w:rFonts w:ascii="Archivo" w:cs="Archivo" w:eastAsia="Archivo" w:hAnsi="Archivo"/>
                <w:sz w:val="19"/>
                <w:szCs w:val="19"/>
              </w:rPr>
              <w:t xml:space="preserve">Responda con veracidad a todas las preguntas del cuestionario de contratación, por muy irrelevantes que le parezcan: una respuesta inexacta puede dar lugar a la pérdida total de la indemnización si concurre mala fe.</w:t>
            </w:r>
          </w:p>
          <w:p>
            <w:pPr>
              <w:pStyle w:val="ListParagraph"/>
              <w:numPr>
                <w:ilvl w:val="0"/>
                <w:numId w:val="2"/>
              </w:numPr>
              <w:spacing w:after="80" w:line="280"/>
            </w:pPr>
            <w:r>
              <w:rPr>
                <w:rFonts w:ascii="Archivo" w:cs="Archivo" w:eastAsia="Archivo" w:hAnsi="Archivo"/>
                <w:sz w:val="19"/>
                <w:szCs w:val="19"/>
              </w:rPr>
              <w:t xml:space="preserve">Conserve una copia del cuestionario cumplimentado (o de la grabación, si la contratación fue telefónica) junto con la póliza.</w:t>
            </w:r>
          </w:p>
          <w:p>
            <w:pPr>
              <w:pStyle w:val="ListParagraph"/>
              <w:numPr>
                <w:ilvl w:val="0"/>
                <w:numId w:val="2"/>
              </w:numPr>
              <w:spacing w:after="80" w:line="280"/>
            </w:pPr>
            <w:r>
              <w:rPr>
                <w:rFonts w:ascii="Archivo" w:cs="Archivo" w:eastAsia="Archivo" w:hAnsi="Archivo"/>
                <w:sz w:val="19"/>
                <w:szCs w:val="19"/>
              </w:rPr>
              <w:t xml:space="preserve">Si durante la vigencia de la póliza cambian de forma relevante las circunstancias que le preguntaron al contratar (por ejemplo, realiza obras estructurales, cambia el uso de la vivienda o instala/retira sistemas de seguridad que se le preguntaron), comuníquelo a la aseguradora tan pronto como sea posible.</w:t>
            </w:r>
          </w:p>
          <w:p>
            <w:pPr>
              <w:pStyle w:val="ListParagraph"/>
              <w:numPr>
                <w:ilvl w:val="0"/>
                <w:numId w:val="2"/>
              </w:numPr>
              <w:spacing w:after="80" w:line="280"/>
            </w:pPr>
            <w:r>
              <w:rPr>
                <w:rFonts w:ascii="Archivo" w:cs="Archivo" w:eastAsia="Archivo" w:hAnsi="Archivo"/>
                <w:sz w:val="19"/>
                <w:szCs w:val="19"/>
              </w:rPr>
              <w:t xml:space="preserve">Domicilie el pago de la prima y revise que no se produzcan devoluciones bancarias: el impago, aunque sea involuntario, puede suspender o extinguir su cobertura conforme al art. 15 LCS.</w:t>
            </w:r>
          </w:p>
        </w:tc>
      </w:tr>
    </w:tbl>
    <w:p>
      <w:pPr>
        <w:pStyle w:val="Heading2"/>
        <w:spacing w:after="160" w:before="400"/>
      </w:pPr>
      <w:r>
        <w:rPr>
          <w:rFonts w:ascii="Fraunces" w:cs="Fraunces" w:eastAsia="Fraunces" w:hAnsi="Fraunces"/>
          <w:b/>
          <w:bCs/>
          <w:color w:val="0A2540"/>
          <w:sz w:val="24"/>
          <w:szCs w:val="24"/>
        </w:rPr>
        <w:t xml:space="preserve">3.7. Checklist: el cuestionario de riesgo en el seguro de hogar</w:t>
      </w:r>
    </w:p>
    <w:p>
      <w:pPr>
        <w:pStyle w:val="ListParagraph"/>
        <w:numPr>
          <w:ilvl w:val="0"/>
          <w:numId w:val="2"/>
        </w:numPr>
        <w:spacing w:after="100" w:line="290"/>
      </w:pPr>
      <w:r>
        <w:rPr>
          <w:rFonts w:ascii="Archivo" w:cs="Archivo" w:eastAsia="Archivo" w:hAnsi="Archivo"/>
          <w:sz w:val="21"/>
          <w:szCs w:val="21"/>
        </w:rPr>
        <w:t xml:space="preserve">1. ¿Existió cuestionario escrito o grabado, cumplimentado por o a instancia de la aseguradora?</w:t>
      </w:r>
    </w:p>
    <w:p>
      <w:pPr>
        <w:pStyle w:val="ListParagraph"/>
        <w:numPr>
          <w:ilvl w:val="0"/>
          <w:numId w:val="2"/>
        </w:numPr>
        <w:spacing w:after="100" w:line="290"/>
      </w:pPr>
      <w:r>
        <w:rPr>
          <w:rFonts w:ascii="Archivo" w:cs="Archivo" w:eastAsia="Archivo" w:hAnsi="Archivo"/>
          <w:sz w:val="21"/>
          <w:szCs w:val="21"/>
        </w:rPr>
        <w:t xml:space="preserve">2. ¿Las preguntas eran específicas y concretas sobre la circunstancia controvertida, o meramente genéricas?</w:t>
      </w:r>
    </w:p>
    <w:p>
      <w:pPr>
        <w:pStyle w:val="ListParagraph"/>
        <w:numPr>
          <w:ilvl w:val="0"/>
          <w:numId w:val="2"/>
        </w:numPr>
        <w:spacing w:after="100" w:line="290"/>
      </w:pPr>
      <w:r>
        <w:rPr>
          <w:rFonts w:ascii="Archivo" w:cs="Archivo" w:eastAsia="Archivo" w:hAnsi="Archivo"/>
          <w:sz w:val="21"/>
          <w:szCs w:val="21"/>
        </w:rPr>
        <w:t xml:space="preserve">3. ¿La circunstancia omitida era conocida efectivamente por el tomador en el momento de contratar?</w:t>
      </w:r>
    </w:p>
    <w:p>
      <w:pPr>
        <w:pStyle w:val="ListParagraph"/>
        <w:numPr>
          <w:ilvl w:val="0"/>
          <w:numId w:val="2"/>
        </w:numPr>
        <w:spacing w:after="100" w:line="290"/>
      </w:pPr>
      <w:r>
        <w:rPr>
          <w:rFonts w:ascii="Archivo" w:cs="Archivo" w:eastAsia="Archivo" w:hAnsi="Archivo"/>
          <w:sz w:val="21"/>
          <w:szCs w:val="21"/>
        </w:rPr>
        <w:t xml:space="preserve">4. ¿La aseguradora ejerció su facultad de rescisión en el plazo de un mes desde que conoció la reserva o inexactitud (art. 10 LCS)?</w:t>
      </w:r>
    </w:p>
    <w:p>
      <w:pPr>
        <w:pStyle w:val="ListParagraph"/>
        <w:numPr>
          <w:ilvl w:val="0"/>
          <w:numId w:val="2"/>
        </w:numPr>
        <w:spacing w:after="100" w:line="290"/>
      </w:pPr>
      <w:r>
        <w:rPr>
          <w:rFonts w:ascii="Archivo" w:cs="Archivo" w:eastAsia="Archivo" w:hAnsi="Archivo"/>
          <w:sz w:val="21"/>
          <w:szCs w:val="21"/>
        </w:rPr>
        <w:t xml:space="preserve">5. ¿Se invoca dolo o culpa grave? En tal caso, ¿qué prueba aporta la aseguradora?</w:t>
      </w:r>
    </w:p>
    <w:p>
      <w:pPr>
        <w:pStyle w:val="ListParagraph"/>
        <w:numPr>
          <w:ilvl w:val="0"/>
          <w:numId w:val="2"/>
        </w:numPr>
        <w:spacing w:after="100" w:line="290"/>
      </w:pPr>
      <w:r>
        <w:rPr>
          <w:rFonts w:ascii="Archivo" w:cs="Archivo" w:eastAsia="Archivo" w:hAnsi="Archivo"/>
          <w:sz w:val="21"/>
          <w:szCs w:val="21"/>
        </w:rPr>
        <w:t xml:space="preserve">6. En caso de agravación sobrevenida, ¿la circunstancia agravante había sido objeto del cuestionario inicial (art. 11 LCS)?</w:t>
      </w:r>
    </w:p>
    <w:p>
      <w:pPr>
        <w:pStyle w:val="ListParagraph"/>
        <w:numPr>
          <w:ilvl w:val="0"/>
          <w:numId w:val="2"/>
        </w:numPr>
        <w:spacing w:after="100" w:line="290"/>
      </w:pPr>
      <w:r>
        <w:rPr>
          <w:rFonts w:ascii="Archivo" w:cs="Archivo" w:eastAsia="Archivo" w:hAnsi="Archivo"/>
          <w:sz w:val="21"/>
          <w:szCs w:val="21"/>
        </w:rPr>
        <w:t xml:space="preserve">7. ¿Está la prima al corriente de pago? ¿Se trata de la primera prima o de una sucesiva?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4. </w:t>
      </w:r>
      <w:r>
        <w:rPr>
          <w:rFonts w:ascii="Fraunces" w:cs="Fraunces" w:eastAsia="Fraunces" w:hAnsi="Fraunces"/>
          <w:b/>
          <w:bCs/>
          <w:color w:val="0A2540"/>
          <w:sz w:val="30"/>
          <w:szCs w:val="30"/>
        </w:rPr>
        <w:t xml:space="preserve">Condiciones generales, particulares y especiales: profundización práctica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4.1. Jerarquía y articulación entre condiciones generales, particulares y especiales</w:t>
            </w:r>
          </w:p>
          <w:p>
            <w:pPr>
              <w:spacing w:after="40" w:line="260"/>
            </w:pPr>
            <w:r>
              <w:rPr>
                <w:rFonts w:ascii="Archivo" w:cs="Archivo" w:eastAsia="Archivo" w:hAnsi="Archivo"/>
                <w:sz w:val="18"/>
                <w:szCs w:val="18"/>
              </w:rPr>
              <w:t xml:space="preserve">4.2. El control de incorporación: entrega de la póliza y accesibilidad real de las condiciones</w:t>
            </w:r>
          </w:p>
          <w:p>
            <w:pPr>
              <w:spacing w:after="40" w:line="260"/>
            </w:pPr>
            <w:r>
              <w:rPr>
                <w:rFonts w:ascii="Archivo" w:cs="Archivo" w:eastAsia="Archivo" w:hAnsi="Archivo"/>
                <w:sz w:val="18"/>
                <w:szCs w:val="18"/>
              </w:rPr>
              <w:t xml:space="preserve">4.3. El control de interpretación: la regla contra proferentem (art. 1288 CC)</w:t>
            </w:r>
          </w:p>
          <w:p>
            <w:pPr>
              <w:spacing w:after="40" w:line="260"/>
            </w:pPr>
            <w:r>
              <w:rPr>
                <w:rFonts w:ascii="Archivo" w:cs="Archivo" w:eastAsia="Archivo" w:hAnsi="Archivo"/>
                <w:sz w:val="18"/>
                <w:szCs w:val="18"/>
              </w:rPr>
              <w:t xml:space="preserve">4.4. Casuística de cláusulas típicas en el seguro de hogar</w:t>
            </w:r>
          </w:p>
          <w:p>
            <w:pPr>
              <w:spacing w:after="40" w:line="260"/>
            </w:pPr>
            <w:r>
              <w:rPr>
                <w:rFonts w:ascii="Archivo" w:cs="Archivo" w:eastAsia="Archivo" w:hAnsi="Archivo"/>
                <w:sz w:val="18"/>
                <w:szCs w:val="18"/>
              </w:rPr>
              <w:t xml:space="preserve">4.5. El control de contenido cuando el tomador es consumidor: remisión</w:t>
            </w:r>
          </w:p>
          <w:p>
            <w:pPr>
              <w:spacing w:after="40" w:line="260"/>
            </w:pPr>
            <w:r>
              <w:rPr>
                <w:rFonts w:ascii="Archivo" w:cs="Archivo" w:eastAsia="Archivo" w:hAnsi="Archivo"/>
                <w:sz w:val="18"/>
                <w:szCs w:val="18"/>
              </w:rPr>
              <w:t xml:space="preserve">4.6. Ficha para el profesional</w:t>
            </w:r>
          </w:p>
          <w:p>
            <w:pPr>
              <w:spacing w:after="40" w:line="260"/>
            </w:pPr>
            <w:r>
              <w:rPr>
                <w:rFonts w:ascii="Archivo" w:cs="Archivo" w:eastAsia="Archivo" w:hAnsi="Archivo"/>
                <w:sz w:val="18"/>
                <w:szCs w:val="18"/>
              </w:rPr>
              <w:t xml:space="preserve">4.7. Ficha para el asegurado</w:t>
            </w:r>
          </w:p>
          <w:p>
            <w:pPr>
              <w:spacing w:after="40" w:line="260"/>
            </w:pPr>
            <w:r>
              <w:rPr>
                <w:rFonts w:ascii="Archivo" w:cs="Archivo" w:eastAsia="Archivo" w:hAnsi="Archivo"/>
                <w:sz w:val="18"/>
                <w:szCs w:val="18"/>
              </w:rPr>
              <w:t xml:space="preserve">4.8. Checklist: banderas rojas en la redacción de una póliza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completa el estudio iniciado en el Capítulo 1 sobre el artículo 3 LCS, añadiendo los dos controles adicionales a los que se somete el clausulado del seguro de hogar como contrato de adhesión: el control de incorporación (arts. 5 y 7 LCGC) y el control de interpretación, con particular atención a la regla contra proferentem del art. 1288 CC, aplicada de forma constante por la Sala Primera del Tribunal Supremo a favor del asegurado cuando la póliza no ha sido entregada o resulta oscura o contradictoria.</w:t>
            </w:r>
          </w:p>
          <w:p>
            <w:pPr>
              <w:spacing w:after="160"/>
            </w:pPr>
            <w:r>
              <w:rPr>
                <w:rFonts w:ascii="Archivo" w:cs="Archivo" w:eastAsia="Archivo" w:hAnsi="Archivo"/>
                <w:b/>
                <w:bCs/>
                <w:sz w:val="17"/>
                <w:szCs w:val="17"/>
              </w:rPr>
              <w:t xml:space="preserve">Palabras clave: condiciones generales, control de incorporación, control de interpretación, contra proferentem, art. 1288 CC, transparencia.</w:t>
            </w:r>
          </w:p>
          <w:p>
            <w:pPr>
              <w:spacing w:after="100"/>
              <w:jc w:val="both"/>
            </w:pPr>
            <w:r>
              <w:rPr>
                <w:rFonts w:ascii="Archivo" w:cs="Archivo" w:eastAsia="Archivo" w:hAnsi="Archivo"/>
                <w:i/>
                <w:iCs/>
                <w:sz w:val="18"/>
                <w:szCs w:val="18"/>
              </w:rPr>
              <w:t xml:space="preserve">This chapter completes the analysis begun in Chapter 1 of Article 3 of the Insurance Contract Act, adding the two further controls applicable to homeowners' insurance policies as adhesion contracts: the incorporation control under the General Terms Act and the interpretation control, focusing on the contra proferentem rule of Article 1288 of the Civil Code, consistently applied by the Supreme Court in favour of the insured when the policy was not delivered or is obscure or contradictory.</w:t>
            </w:r>
          </w:p>
          <w:p>
            <w:pPr>
              <w:spacing w:after="0"/>
            </w:pPr>
            <w:r>
              <w:rPr>
                <w:rFonts w:ascii="Archivo" w:cs="Archivo" w:eastAsia="Archivo" w:hAnsi="Archivo"/>
                <w:b/>
                <w:bCs/>
                <w:sz w:val="17"/>
                <w:szCs w:val="17"/>
              </w:rPr>
              <w:t xml:space="preserve">Keywords: general terms and conditions, incorporation control, interpretation control, contra proferentem rule, transparency.</w:t>
            </w:r>
          </w:p>
        </w:tc>
      </w:tr>
    </w:tbl>
    <w:p>
      <w:pPr>
        <w:spacing w:after="200"/>
      </w:pPr>
    </w:p>
    <w:p>
      <w:pPr>
        <w:pStyle w:val="Heading2"/>
        <w:spacing w:after="160" w:before="400"/>
      </w:pPr>
      <w:r>
        <w:rPr>
          <w:rFonts w:ascii="Fraunces" w:cs="Fraunces" w:eastAsia="Fraunces" w:hAnsi="Fraunces"/>
          <w:b/>
          <w:bCs/>
          <w:color w:val="0A2540"/>
          <w:sz w:val="24"/>
          <w:szCs w:val="24"/>
        </w:rPr>
        <w:t xml:space="preserve">4.1. Jerarquía y articulación entre condiciones generales, particulares y especiales</w:t>
      </w:r>
    </w:p>
    <w:p>
      <w:pPr>
        <w:spacing w:after="180" w:line="300"/>
        <w:jc w:val="both"/>
      </w:pPr>
      <w:r>
        <w:rPr>
          <w:rFonts w:ascii="Archivo" w:cs="Archivo" w:eastAsia="Archivo" w:hAnsi="Archivo"/>
          <w:sz w:val="21"/>
          <w:szCs w:val="21"/>
        </w:rPr>
        <w:t xml:space="preserve">La póliza de hogar se estructura habitualmente en tres capas normativas de origen contractual, cuya prelación conviene fijar desde el principio:</w:t>
      </w:r>
    </w:p>
    <w:p>
      <w:pPr>
        <w:pStyle w:val="ListParagraph"/>
        <w:numPr>
          <w:ilvl w:val="0"/>
          <w:numId w:val="2"/>
        </w:numPr>
        <w:spacing w:after="100" w:line="290"/>
      </w:pPr>
      <w:r>
        <w:rPr>
          <w:rFonts w:ascii="Archivo" w:cs="Archivo" w:eastAsia="Archivo" w:hAnsi="Archivo"/>
          <w:b/>
          <w:bCs/>
          <w:sz w:val="21"/>
          <w:szCs w:val="21"/>
        </w:rPr>
        <w:t xml:space="preserve">Condiciones generales: </w:t>
      </w:r>
      <w:r>
        <w:rPr>
          <w:rFonts w:ascii="Archivo" w:cs="Archivo" w:eastAsia="Archivo" w:hAnsi="Archivo"/>
          <w:sz w:val="21"/>
          <w:szCs w:val="21"/>
        </w:rPr>
        <w:t xml:space="preserve">el clausulado estándar, predispuesto por la aseguradora para la generalidad de los contratos de un determinado producto, con vocación de aplicarse a una pluralidad indeterminada de asegurados.</w:t>
      </w:r>
    </w:p>
    <w:p>
      <w:pPr>
        <w:pStyle w:val="ListParagraph"/>
        <w:numPr>
          <w:ilvl w:val="0"/>
          <w:numId w:val="2"/>
        </w:numPr>
        <w:spacing w:after="100" w:line="290"/>
      </w:pPr>
      <w:r>
        <w:rPr>
          <w:rFonts w:ascii="Archivo" w:cs="Archivo" w:eastAsia="Archivo" w:hAnsi="Archivo"/>
          <w:b/>
          <w:bCs/>
          <w:sz w:val="21"/>
          <w:szCs w:val="21"/>
        </w:rPr>
        <w:t xml:space="preserve">Condiciones particulares: </w:t>
      </w:r>
      <w:r>
        <w:rPr>
          <w:rFonts w:ascii="Archivo" w:cs="Archivo" w:eastAsia="Archivo" w:hAnsi="Archivo"/>
          <w:sz w:val="21"/>
          <w:szCs w:val="21"/>
        </w:rPr>
        <w:t xml:space="preserve">los datos y pactos específicos de cada contrato concreto (sumas aseguradas, franquicias elegidas, dirección del inmueble, sublímites contratados, garantías adicionales suscritas).</w:t>
      </w:r>
    </w:p>
    <w:p>
      <w:pPr>
        <w:pStyle w:val="ListParagraph"/>
        <w:numPr>
          <w:ilvl w:val="0"/>
          <w:numId w:val="2"/>
        </w:numPr>
        <w:spacing w:after="100" w:line="290"/>
      </w:pPr>
      <w:r>
        <w:rPr>
          <w:rFonts w:ascii="Archivo" w:cs="Archivo" w:eastAsia="Archivo" w:hAnsi="Archivo"/>
          <w:b/>
          <w:bCs/>
          <w:sz w:val="21"/>
          <w:szCs w:val="21"/>
        </w:rPr>
        <w:t xml:space="preserve">Condiciones especiales: </w:t>
      </w:r>
      <w:r>
        <w:rPr>
          <w:rFonts w:ascii="Archivo" w:cs="Archivo" w:eastAsia="Archivo" w:hAnsi="Archivo"/>
          <w:sz w:val="21"/>
          <w:szCs w:val="21"/>
        </w:rPr>
        <w:t xml:space="preserve">las que modulan, para un contrato concreto o para una modalidad particular de producto, alguna previsión de las condiciones generales (por ejemplo, la ampliación de una cobertura estándar de defensa jurídica o la inclusión de una garantía de asistencia informática).</w:t>
      </w:r>
    </w:p>
    <w:p>
      <w:pPr>
        <w:spacing w:after="180" w:line="300"/>
        <w:jc w:val="both"/>
      </w:pPr>
      <w:r>
        <w:rPr>
          <w:rFonts w:ascii="Archivo" w:cs="Archivo" w:eastAsia="Archivo" w:hAnsi="Archivo"/>
          <w:sz w:val="21"/>
          <w:szCs w:val="21"/>
        </w:rPr>
        <w:t xml:space="preserve">En caso de contradicción entre estos tres niveles, rige el criterio de especialidad: las condiciones particulares y especiales, por reflejar la voluntad negocial específica de las partes, prevalecen sobre las condiciones generales predispuestas. Este criterio, de raigambre en la teoría general del contrato, se combina en la práctica con la regla contra proferentem cuando la contradicción, además de existir, genera oscuridad sobre el alcance real de la cobertura, como se desarrolla en el epígrafe 4.3.</w:t>
      </w:r>
    </w:p>
    <w:p>
      <w:pPr>
        <w:pStyle w:val="Heading2"/>
        <w:spacing w:after="160" w:before="400"/>
      </w:pPr>
      <w:r>
        <w:rPr>
          <w:rFonts w:ascii="Fraunces" w:cs="Fraunces" w:eastAsia="Fraunces" w:hAnsi="Fraunces"/>
          <w:b/>
          <w:bCs/>
          <w:color w:val="0A2540"/>
          <w:sz w:val="24"/>
          <w:szCs w:val="24"/>
        </w:rPr>
        <w:t xml:space="preserve">4.2. El control de incorporación: entrega de la póliza y accesibilidad real de las condiciones</w:t>
      </w:r>
    </w:p>
    <w:p>
      <w:pPr>
        <w:spacing w:after="180" w:line="300"/>
        <w:jc w:val="both"/>
      </w:pPr>
      <w:r>
        <w:rPr>
          <w:rFonts w:ascii="Archivo" w:cs="Archivo" w:eastAsia="Archivo" w:hAnsi="Archivo"/>
          <w:sz w:val="21"/>
          <w:szCs w:val="21"/>
        </w:rPr>
        <w:t xml:space="preserve">Antes de discutir qué dice una cláusula, es necesario comprobar si esa cláusula llegó siquiera a formar parte del contrato. Es lo que la doctrina denomina control de incorporación, regulado, para el tomador que actúa como adherente, por la Ley 7/1998, de Condiciones Generales de la Contratación (LCGC)</w:t>
      </w:r>
      <w:r>
        <w:rPr>
          <w:rStyle w:val="FootnoteReference"/>
        </w:rPr>
        <w:footnoteReference w:id="1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LCGC</w:t>
            </w:r>
          </w:p>
          <w:p>
            <w:pPr>
              <w:spacing w:after="0" w:line="280"/>
              <w:jc w:val="both"/>
            </w:pPr>
            <w:r>
              <w:rPr>
                <w:rFonts w:ascii="IBM Plex Mono" w:cs="IBM Plex Mono" w:eastAsia="IBM Plex Mono" w:hAnsi="IBM Plex Mono"/>
                <w:i/>
                <w:iCs/>
                <w:color w:val="0A2540"/>
                <w:sz w:val="18"/>
                <w:szCs w:val="18"/>
              </w:rPr>
              <w:t xml:space="preserve">No quedarán incorporadas al contrato las siguientes condiciones generales: a) Las que el adherente no haya tenido oportunidad real de conocer de manera completa al tiempo de la celebración del contrato o cuando no hayan sido firmadas, cuando sea necesario, en los términos resultantes del artículo 5. b) Las que sean ilegibles, ambiguas, oscuras e incomprensibles, salvo, en cuanto a estas últimas, que hubieren sido expresamente aceptadas por escrito por el adherente y se ajusten a la normativa específica que discipline en su ámbito la necesaria transparencia de las cláusulas contenidas en el contrato.</w:t>
            </w:r>
          </w:p>
        </w:tc>
      </w:tr>
    </w:tbl>
    <w:p>
      <w:pPr>
        <w:spacing w:after="180" w:line="300"/>
        <w:jc w:val="both"/>
      </w:pPr>
      <w:r>
        <w:rPr>
          <w:rFonts w:ascii="Archivo" w:cs="Archivo" w:eastAsia="Archivo" w:hAnsi="Archivo"/>
          <w:sz w:val="21"/>
          <w:szCs w:val="21"/>
        </w:rPr>
        <w:t xml:space="preserve">La aplicación de este control al seguro de hogar es especialmente relevante en los supuestos —nada infrecuentes en la contratación telefónica o por internet— en los que la póliza y sus condiciones generales no llegan a entregarse materialmente al tomador antes del siniestro, o se entregan de forma incompleta. La STS, Sala de lo Civil, de 24 de abril de 2023 (ROJ: STS 1701/2023; ECLI:ES:TS:2023:1701; MP: Seoane Spiegelberg), aunque referida a un seguro de invalidez, fija una doctrina plenamente trasladable al seguro de daños sobre las consecuencias de la falta de entrega: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 no se especifica el ámbito concreto de cobertura de dicho riesgo, al no haber sido entregadas a la demandante las condiciones generales de la póliza, que lo definían contractualmente, lo que dejaba a la asegurada en una situación de incertidumbre sobre el concreto alcance de la cobertura pactada [...]. Es reiterada jurisprudencia la que sostiene que las contradicciones y correlativas dudas existentes sobre el alcance e interpretación de las condiciones generales de la póliza pesan contra la compañía aseguradora, en tanto en cuanto las predispuso e impuso en sus relaciones contractuales con terceros.»</w:t>
            </w:r>
          </w:p>
        </w:tc>
      </w:tr>
    </w:tbl>
    <w:p>
      <w:pPr>
        <w:spacing w:after="180" w:line="300"/>
        <w:jc w:val="both"/>
      </w:pPr>
      <w:r>
        <w:rPr>
          <w:rFonts w:ascii="Archivo" w:cs="Archivo" w:eastAsia="Archivo" w:hAnsi="Archivo"/>
          <w:sz w:val="21"/>
          <w:szCs w:val="21"/>
        </w:rPr>
        <w:t xml:space="preserve">La consecuencia práctica es contundente: la falta de entrega o de acreditación de la entrega de las condiciones generales no determina automáticamente la nulidad del contrato, pero sí desplaza la incertidumbre sobre el alcance de la cobertura en contra de la aseguradora, que es quien tenía la carga de documentar y entregar el clausulado conforme al art. 3 LCS.</w:t>
      </w:r>
    </w:p>
    <w:p>
      <w:pPr>
        <w:pStyle w:val="Heading2"/>
        <w:spacing w:after="160" w:before="400"/>
      </w:pPr>
      <w:r>
        <w:rPr>
          <w:rFonts w:ascii="Fraunces" w:cs="Fraunces" w:eastAsia="Fraunces" w:hAnsi="Fraunces"/>
          <w:b/>
          <w:bCs/>
          <w:color w:val="0A2540"/>
          <w:sz w:val="24"/>
          <w:szCs w:val="24"/>
        </w:rPr>
        <w:t xml:space="preserve">4.3. El control de interpretación: la regla contra proferentem</w:t>
      </w:r>
    </w:p>
    <w:p>
      <w:pPr>
        <w:spacing w:after="180" w:line="300"/>
        <w:jc w:val="both"/>
      </w:pPr>
      <w:r>
        <w:rPr>
          <w:rFonts w:ascii="Archivo" w:cs="Archivo" w:eastAsia="Archivo" w:hAnsi="Archivo"/>
          <w:sz w:val="21"/>
          <w:szCs w:val="21"/>
        </w:rPr>
        <w:t xml:space="preserve">Superado el control de incorporación, la cláusula efectivamente incorporada al contrato puede, no obstante, resultar oscura o admitir varios sentidos razonables. Para estos casos, el ordenamiento español dispone, desde el Código Civil, de una regla de cierre que la jurisprudencia de seguros aplica de forma sistemática</w:t>
      </w:r>
      <w:r>
        <w:rPr>
          <w:rStyle w:val="FootnoteReference"/>
        </w:rPr>
        <w:footnoteReference w:id="1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p>
      <w:pPr>
        <w:spacing w:after="180" w:line="300"/>
        <w:jc w:val="both"/>
      </w:pPr>
      <w:r>
        <w:rPr>
          <w:rFonts w:ascii="Archivo" w:cs="Archivo" w:eastAsia="Archivo" w:hAnsi="Archivo"/>
          <w:sz w:val="21"/>
          <w:szCs w:val="21"/>
        </w:rPr>
        <w:t xml:space="preserve">La STS 1701/2023, ya citada, sistematiza con precisión la aplicación de esta regla al contrato de seguro, con cita de precedentes que conviene tener presentes por su valor de cita reiterada en la práctica forense: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«La técnica de las condiciones generales impuestas y predispuestas por las compañías determinan la vigencia de la interpretación contra proferentem (contra el proponente), conforme a la cual ‘la interpretación de las cláusulas oscuras de un contrato no deberá favorecer a la parte que hubiese ocasionado la oscuridad’ (SSTS 248/2009, de 2 de abril [...]). [...] toda la normativa de seguros está enfocada a la protección del asegurado, resolviéndose a su favor las dudas interpretativas derivadas de la redacción del contrato o de sus cláusulas oscuras o confusas (STS 498/2016, de 19 de julio); ‘[...] la técnica de las condiciones generales impuestas y predispuestas por las compañías determinan la vigencia de la interpretación contra proferentem’ (STS 31/2020, de 21 de enero).»</w:t>
            </w:r>
          </w:p>
        </w:tc>
      </w:tr>
    </w:tbl>
    <w:p>
      <w:pPr>
        <w:spacing w:after="180" w:line="300"/>
        <w:jc w:val="both"/>
      </w:pPr>
      <w:r>
        <w:rPr>
          <w:rFonts w:ascii="Archivo" w:cs="Archivo" w:eastAsia="Archivo" w:hAnsi="Archivo"/>
          <w:sz w:val="21"/>
          <w:szCs w:val="21"/>
        </w:rPr>
        <w:t xml:space="preserve">Dos precisiones son esenciales para el uso correcto de esta doctrina en un escrito profesional. Primera, la regla contra proferentem es un criterio de cierre: opera únicamente cuando, agotados los criterios generales de interpretación contractual (arts. 1281 y siguientes CC) y el criterio del contenido natural del contrato ya visto en el capítulo 1, subsiste una duda razonable sobre el sentido de la cláusula; no permite descartar el sentido literal claro de una cláusula válidamente incorporada. Segunda, se proyecta con especial intensidad sobre las cláusulas delimitadoras redactadas de forma ambigua, reforzando en la práctica la distinción del art. 3 LCS: una cláusula delimitadora oscura, además de someterse a la interpretación contra proferentem, corre el riesgo de ser recalificada como limitativa por su carácter «sorpresivo» conforme a la doctrina ya estudiada en el capítulo 1.</w:t>
      </w:r>
    </w:p>
    <w:p>
      <w:pPr>
        <w:pStyle w:val="Heading2"/>
        <w:spacing w:after="160" w:before="400"/>
      </w:pPr>
      <w:r>
        <w:rPr>
          <w:rFonts w:ascii="Fraunces" w:cs="Fraunces" w:eastAsia="Fraunces" w:hAnsi="Fraunces"/>
          <w:b/>
          <w:bCs/>
          <w:color w:val="0A2540"/>
          <w:sz w:val="24"/>
          <w:szCs w:val="24"/>
        </w:rPr>
        <w:t xml:space="preserve">4.4. Casuística de cláusulas típicas en el seguro de hogar</w:t>
      </w:r>
    </w:p>
    <w:p>
      <w:pPr>
        <w:spacing w:after="180" w:line="300"/>
        <w:jc w:val="both"/>
      </w:pPr>
      <w:r>
        <w:rPr>
          <w:rFonts w:ascii="Archivo" w:cs="Archivo" w:eastAsia="Archivo" w:hAnsi="Archivo"/>
          <w:sz w:val="21"/>
          <w:szCs w:val="21"/>
        </w:rPr>
        <w:t xml:space="preserve">La aplicación combinada de los controles de incorporación, interpretación y de la distinción delimitadora/limitativa a las cláusulas más frecuentes del ramo de hogar permite fijar algunas pautas de calificación, que se retoman con mayor detalle en los capítulos dedicados a cada cobertura:</w:t>
      </w:r>
    </w:p>
    <w:p>
      <w:pPr>
        <w:pStyle w:val="ListParagraph"/>
        <w:numPr>
          <w:ilvl w:val="0"/>
          <w:numId w:val="2"/>
        </w:numPr>
        <w:spacing w:after="100" w:line="290"/>
      </w:pPr>
      <w:r>
        <w:rPr>
          <w:rFonts w:ascii="Archivo" w:cs="Archivo" w:eastAsia="Archivo" w:hAnsi="Archivo"/>
          <w:b/>
          <w:bCs/>
          <w:sz w:val="21"/>
          <w:szCs w:val="21"/>
        </w:rPr>
        <w:t xml:space="preserve">Definición del riesgo cubierto (p. ej. «daños por agua»): </w:t>
      </w:r>
      <w:r>
        <w:rPr>
          <w:rFonts w:ascii="Archivo" w:cs="Archivo" w:eastAsia="Archivo" w:hAnsi="Archivo"/>
          <w:sz w:val="21"/>
          <w:szCs w:val="21"/>
        </w:rPr>
        <w:t xml:space="preserve">cláusula delimitadora en su núcleo (qué se entiende por daño por agua a efectos de la póliza), pero susceptible de tratamiento como limitativa en sus exclusiones periféricas si se formulan de manera sorpresiva respecto del contenido típico del ramo (véase capítulo 6).</w:t>
      </w:r>
    </w:p>
    <w:p>
      <w:pPr>
        <w:pStyle w:val="ListParagraph"/>
        <w:numPr>
          <w:ilvl w:val="0"/>
          <w:numId w:val="2"/>
        </w:numPr>
        <w:spacing w:after="100" w:line="290"/>
      </w:pPr>
      <w:r>
        <w:rPr>
          <w:rFonts w:ascii="Archivo" w:cs="Archivo" w:eastAsia="Archivo" w:hAnsi="Archivo"/>
          <w:b/>
          <w:bCs/>
          <w:sz w:val="21"/>
          <w:szCs w:val="21"/>
        </w:rPr>
        <w:t xml:space="preserve">Franquicias: </w:t>
      </w:r>
      <w:r>
        <w:rPr>
          <w:rFonts w:ascii="Archivo" w:cs="Archivo" w:eastAsia="Archivo" w:hAnsi="Archivo"/>
          <w:sz w:val="21"/>
          <w:szCs w:val="21"/>
        </w:rPr>
        <w:t xml:space="preserve">generalmente calificadas como cláusulas delimitadoras del alcance económico de la cobertura, siempre que figuren en las condiciones particulares con la claridad exigida por el art. 3 LCS.</w:t>
      </w:r>
    </w:p>
    <w:p>
      <w:pPr>
        <w:pStyle w:val="ListParagraph"/>
        <w:numPr>
          <w:ilvl w:val="0"/>
          <w:numId w:val="2"/>
        </w:numPr>
        <w:spacing w:after="100" w:line="290"/>
      </w:pPr>
      <w:r>
        <w:rPr>
          <w:rFonts w:ascii="Archivo" w:cs="Archivo" w:eastAsia="Archivo" w:hAnsi="Archivo"/>
          <w:b/>
          <w:bCs/>
          <w:sz w:val="21"/>
          <w:szCs w:val="21"/>
        </w:rPr>
        <w:t xml:space="preserve">Sublímites cuantitativos (joyas, dinero en efectivo, equipos electrónicos): </w:t>
      </w:r>
      <w:r>
        <w:rPr>
          <w:rFonts w:ascii="Archivo" w:cs="Archivo" w:eastAsia="Archivo" w:hAnsi="Archivo"/>
          <w:sz w:val="21"/>
          <w:szCs w:val="21"/>
        </w:rPr>
        <w:t xml:space="preserve">delimitadoras en su formulación estándar, pero limitativas cuando se apartan sensiblemente de lo que un asegurado medio esperaría de la suma asegurada general del contenido sin advertencia destacada.</w:t>
      </w:r>
    </w:p>
    <w:p>
      <w:pPr>
        <w:pStyle w:val="ListParagraph"/>
        <w:numPr>
          <w:ilvl w:val="0"/>
          <w:numId w:val="2"/>
        </w:numPr>
        <w:spacing w:after="100" w:line="290"/>
      </w:pPr>
      <w:r>
        <w:rPr>
          <w:rFonts w:ascii="Archivo" w:cs="Archivo" w:eastAsia="Archivo" w:hAnsi="Archivo"/>
          <w:b/>
          <w:bCs/>
          <w:sz w:val="21"/>
          <w:szCs w:val="21"/>
        </w:rPr>
        <w:t xml:space="preserve">Cláusulas de valoración (valor real, valor de reposición, valor de nuevo): </w:t>
      </w:r>
      <w:r>
        <w:rPr>
          <w:rFonts w:ascii="Archivo" w:cs="Archivo" w:eastAsia="Archivo" w:hAnsi="Archivo"/>
          <w:sz w:val="21"/>
          <w:szCs w:val="21"/>
        </w:rPr>
        <w:t xml:space="preserve">como se vio en el capítulo 1 a propósito de la STS 2233/2020 (ROJ: STS 2233/2020), la fijación del criterio de valoración por «valor real» sin cumplir los requisitos formales del art. 3 LCS ha sido calificada como cláusula limitativa inoponible al asegurado.</w:t>
      </w:r>
    </w:p>
    <w:p>
      <w:pPr>
        <w:pStyle w:val="ListParagraph"/>
        <w:numPr>
          <w:ilvl w:val="0"/>
          <w:numId w:val="2"/>
        </w:numPr>
        <w:spacing w:after="100" w:line="290"/>
      </w:pPr>
      <w:r>
        <w:rPr>
          <w:rFonts w:ascii="Archivo" w:cs="Archivo" w:eastAsia="Archivo" w:hAnsi="Archivo"/>
          <w:b/>
          <w:bCs/>
          <w:sz w:val="21"/>
          <w:szCs w:val="21"/>
        </w:rPr>
        <w:t xml:space="preserve">Cláusulas de exclusión por falta de mantenimiento o vetustez de instalaciones: </w:t>
      </w:r>
      <w:r>
        <w:rPr>
          <w:rFonts w:ascii="Archivo" w:cs="Archivo" w:eastAsia="Archivo" w:hAnsi="Archivo"/>
          <w:sz w:val="21"/>
          <w:szCs w:val="21"/>
        </w:rPr>
        <w:t xml:space="preserve">requieren especial atención al requisito de destacado formal y aceptación específica, por su potencial de vaciar de contenido la cobertura típica de daños por agua en viviendas de cierta antigüedad (capítulo 6 y capítulo 12).</w:t>
      </w:r>
    </w:p>
    <w:p>
      <w:pPr>
        <w:pStyle w:val="Heading2"/>
        <w:spacing w:after="160" w:before="400"/>
      </w:pPr>
      <w:r>
        <w:rPr>
          <w:rFonts w:ascii="Fraunces" w:cs="Fraunces" w:eastAsia="Fraunces" w:hAnsi="Fraunces"/>
          <w:b/>
          <w:bCs/>
          <w:color w:val="0A2540"/>
          <w:sz w:val="24"/>
          <w:szCs w:val="24"/>
        </w:rPr>
        <w:t xml:space="preserve">4.5. El control de contenido cuando el tomador es consumidor: remisión</w:t>
      </w:r>
    </w:p>
    <w:p>
      <w:pPr>
        <w:spacing w:after="180" w:line="300"/>
        <w:jc w:val="both"/>
      </w:pPr>
      <w:r>
        <w:rPr>
          <w:rFonts w:ascii="Archivo" w:cs="Archivo" w:eastAsia="Archivo" w:hAnsi="Archivo"/>
          <w:sz w:val="21"/>
          <w:szCs w:val="21"/>
        </w:rPr>
        <w:t xml:space="preserve">Cuando el tomador del seguro de hogar tiene la condición de consumidor o usuario —el supuesto ampliamente mayoritario en la práctica—, a los controles de incorporación e interpretación se añade un tercer control, el de contenido, que permite declarar la nulidad de las cláusulas abusivas conforme al Texto Refundido de la Ley General para la Defensa de los Consumidores y Usuarios, con independencia de que superen o no los controles anteriores. Este control de contenido, con su propia metodología y casuística,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análisis de una cláusula controvertida</w:t>
            </w:r>
          </w:p>
          <w:p>
            <w:pPr>
              <w:pStyle w:val="ListParagraph"/>
              <w:numPr>
                <w:ilvl w:val="0"/>
                <w:numId w:val="2"/>
              </w:numPr>
              <w:spacing w:after="80" w:line="280"/>
            </w:pPr>
            <w:r>
              <w:rPr>
                <w:rFonts w:ascii="Archivo" w:cs="Archivo" w:eastAsia="Archivo" w:hAnsi="Archivo"/>
                <w:sz w:val="19"/>
                <w:szCs w:val="19"/>
              </w:rPr>
              <w:t xml:space="preserve">Paso 1 — Incorporación: ¿tuvo el tomador oportunidad real de conocer la cláusula? ¿Se entregó la póliza y sus condiciones generales antes del siniestro? (arts. 5 y 7 LCGC).</w:t>
            </w:r>
          </w:p>
          <w:p>
            <w:pPr>
              <w:pStyle w:val="ListParagraph"/>
              <w:numPr>
                <w:ilvl w:val="0"/>
                <w:numId w:val="2"/>
              </w:numPr>
              <w:spacing w:after="80" w:line="280"/>
            </w:pPr>
            <w:r>
              <w:rPr>
                <w:rFonts w:ascii="Archivo" w:cs="Archivo" w:eastAsia="Archivo" w:hAnsi="Archivo"/>
                <w:sz w:val="19"/>
                <w:szCs w:val="19"/>
              </w:rPr>
              <w:t xml:space="preserve">Paso 2 — Calificación: ¿la cláusula delimita el riesgo o limita un derecho ya nacido? Aplicar el test de la cláusula sorpresiva (capítulo 1).</w:t>
            </w:r>
          </w:p>
          <w:p>
            <w:pPr>
              <w:pStyle w:val="ListParagraph"/>
              <w:numPr>
                <w:ilvl w:val="0"/>
                <w:numId w:val="2"/>
              </w:numPr>
              <w:spacing w:after="80" w:line="280"/>
            </w:pPr>
            <w:r>
              <w:rPr>
                <w:rFonts w:ascii="Archivo" w:cs="Archivo" w:eastAsia="Archivo" w:hAnsi="Archivo"/>
                <w:sz w:val="19"/>
                <w:szCs w:val="19"/>
              </w:rPr>
              <w:t xml:space="preserve">Paso 3 — Requisitos formales: si es limitativa, ¿cumple el destacado tipográfico y la aceptación específica del art. 3 LCS?</w:t>
            </w:r>
          </w:p>
          <w:p>
            <w:pPr>
              <w:pStyle w:val="ListParagraph"/>
              <w:numPr>
                <w:ilvl w:val="0"/>
                <w:numId w:val="2"/>
              </w:numPr>
              <w:spacing w:after="80" w:line="280"/>
            </w:pPr>
            <w:r>
              <w:rPr>
                <w:rFonts w:ascii="Archivo" w:cs="Archivo" w:eastAsia="Archivo" w:hAnsi="Archivo"/>
                <w:sz w:val="19"/>
                <w:szCs w:val="19"/>
              </w:rPr>
              <w:t xml:space="preserve">Paso 4 — Interpretación: si persiste la duda sobre su sentido, aplicar el art. 1288 CC (contra proferentem) con cita de la STS 1701/2023 y de los precedentes que cita.</w:t>
            </w:r>
          </w:p>
          <w:p>
            <w:pPr>
              <w:pStyle w:val="ListParagraph"/>
              <w:numPr>
                <w:ilvl w:val="0"/>
                <w:numId w:val="2"/>
              </w:numPr>
              <w:spacing w:after="80" w:line="280"/>
            </w:pPr>
            <w:r>
              <w:rPr>
                <w:rFonts w:ascii="Archivo" w:cs="Archivo" w:eastAsia="Archivo" w:hAnsi="Archivo"/>
                <w:sz w:val="19"/>
                <w:szCs w:val="19"/>
              </w:rPr>
              <w:t xml:space="preserve">Paso 5 — Contenido: si el tomador es consumidor, verificar adicionalmente su conformidad con el TRLGDCU (capítulo 21).</w:t>
            </w:r>
          </w:p>
        </w:tc>
      </w:tr>
    </w:tbl>
    <w:p>
      <w:pPr>
        <w:pStyle w:val="Heading2"/>
        <w:spacing w:after="160" w:before="400"/>
      </w:pPr>
      <w:r>
        <w:rPr>
          <w:rFonts w:ascii="Fraunces" w:cs="Fraunces" w:eastAsia="Fraunces" w:hAnsi="Fraunces"/>
          <w:b/>
          <w:bCs/>
          <w:color w:val="0A2540"/>
          <w:sz w:val="24"/>
          <w:szCs w:val="24"/>
        </w:rPr>
        <w:t xml:space="preserve">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Señales de alerta al leer su póliza</w:t>
            </w:r>
          </w:p>
          <w:p>
            <w:pPr>
              <w:pStyle w:val="ListParagraph"/>
              <w:numPr>
                <w:ilvl w:val="0"/>
                <w:numId w:val="2"/>
              </w:numPr>
              <w:spacing w:after="80" w:line="280"/>
            </w:pPr>
            <w:r>
              <w:rPr>
                <w:rFonts w:ascii="Archivo" w:cs="Archivo" w:eastAsia="Archivo" w:hAnsi="Archivo"/>
                <w:sz w:val="19"/>
                <w:szCs w:val="19"/>
              </w:rPr>
              <w:t xml:space="preserve">Si no recibió las condiciones generales completas al contratar (solo un resumen o las condiciones particulares), reclame su entrega por escrito y conserve copia de la reclamación: puede ser decisivo si más adelante hay una disputa sobre el alcance de su cobertura.</w:t>
            </w:r>
          </w:p>
          <w:p>
            <w:pPr>
              <w:pStyle w:val="ListParagraph"/>
              <w:numPr>
                <w:ilvl w:val="0"/>
                <w:numId w:val="2"/>
              </w:numPr>
              <w:spacing w:after="80" w:line="280"/>
            </w:pPr>
            <w:r>
              <w:rPr>
                <w:rFonts w:ascii="Archivo" w:cs="Archivo" w:eastAsia="Archivo" w:hAnsi="Archivo"/>
                <w:sz w:val="19"/>
                <w:szCs w:val="19"/>
              </w:rPr>
              <w:t xml:space="preserve">Si una cláusula admite dos lecturas razonables y la aseguradora la interpreta siempre en su contra, recuerde que la ley dice justamente lo contrario: la duda debe resolverse a su favor (art. 1288 CC).</w:t>
            </w:r>
          </w:p>
          <w:p>
            <w:pPr>
              <w:pStyle w:val="ListParagraph"/>
              <w:numPr>
                <w:ilvl w:val="0"/>
                <w:numId w:val="2"/>
              </w:numPr>
              <w:spacing w:after="80" w:line="280"/>
            </w:pPr>
            <w:r>
              <w:rPr>
                <w:rFonts w:ascii="Archivo" w:cs="Archivo" w:eastAsia="Archivo" w:hAnsi="Archivo"/>
                <w:sz w:val="19"/>
                <w:szCs w:val="19"/>
              </w:rPr>
              <w:t xml:space="preserve">Desconfíe de las definiciones que reducen, en la letra pequeña de las condiciones generales, lo que las condiciones particulares o la publicidad del producto le hicieron esperar.</w:t>
            </w:r>
          </w:p>
        </w:tc>
      </w:tr>
    </w:tbl>
    <w:p>
      <w:pPr>
        <w:pStyle w:val="Heading2"/>
        <w:spacing w:after="160" w:before="400"/>
      </w:pPr>
      <w:r>
        <w:rPr>
          <w:rFonts w:ascii="Fraunces" w:cs="Fraunces" w:eastAsia="Fraunces" w:hAnsi="Fraunces"/>
          <w:b/>
          <w:bCs/>
          <w:color w:val="0A2540"/>
          <w:sz w:val="24"/>
          <w:szCs w:val="24"/>
        </w:rPr>
        <w:t xml:space="preserve">4.8. Checklist: banderas rojas en la redacción de una póliza</w:t>
      </w:r>
    </w:p>
    <w:p>
      <w:pPr>
        <w:pStyle w:val="ListParagraph"/>
        <w:numPr>
          <w:ilvl w:val="0"/>
          <w:numId w:val="2"/>
        </w:numPr>
        <w:spacing w:after="100" w:line="290"/>
      </w:pPr>
      <w:r>
        <w:rPr>
          <w:rFonts w:ascii="Archivo" w:cs="Archivo" w:eastAsia="Archivo" w:hAnsi="Archivo"/>
          <w:sz w:val="21"/>
          <w:szCs w:val="21"/>
        </w:rPr>
        <w:t xml:space="preserve">1. Ausencia de acuse de recibo o firma de entrega de las condiciones generales.</w:t>
      </w:r>
    </w:p>
    <w:p>
      <w:pPr>
        <w:pStyle w:val="ListParagraph"/>
        <w:numPr>
          <w:ilvl w:val="0"/>
          <w:numId w:val="2"/>
        </w:numPr>
        <w:spacing w:after="100" w:line="290"/>
      </w:pPr>
      <w:r>
        <w:rPr>
          <w:rFonts w:ascii="Archivo" w:cs="Archivo" w:eastAsia="Archivo" w:hAnsi="Archivo"/>
          <w:sz w:val="21"/>
          <w:szCs w:val="21"/>
        </w:rPr>
        <w:t xml:space="preserve">2. Definiciones de riesgo con múltiples remisiones cruzadas entre condiciones generales, particulares y especiales.</w:t>
      </w:r>
    </w:p>
    <w:p>
      <w:pPr>
        <w:pStyle w:val="ListParagraph"/>
        <w:numPr>
          <w:ilvl w:val="0"/>
          <w:numId w:val="2"/>
        </w:numPr>
        <w:spacing w:after="100" w:line="290"/>
      </w:pPr>
      <w:r>
        <w:rPr>
          <w:rFonts w:ascii="Archivo" w:cs="Archivo" w:eastAsia="Archivo" w:hAnsi="Archivo"/>
          <w:sz w:val="21"/>
          <w:szCs w:val="21"/>
        </w:rPr>
        <w:t xml:space="preserve">3. Exclusiones formuladas de forma genérica, sin destacado tipográfico ni firma específica.</w:t>
      </w:r>
    </w:p>
    <w:p>
      <w:pPr>
        <w:pStyle w:val="ListParagraph"/>
        <w:numPr>
          <w:ilvl w:val="0"/>
          <w:numId w:val="2"/>
        </w:numPr>
        <w:spacing w:after="100" w:line="290"/>
      </w:pPr>
      <w:r>
        <w:rPr>
          <w:rFonts w:ascii="Archivo" w:cs="Archivo" w:eastAsia="Archivo" w:hAnsi="Archivo"/>
          <w:sz w:val="21"/>
          <w:szCs w:val="21"/>
        </w:rPr>
        <w:t xml:space="preserve">4. Sublímites que no aparecen destacados frente a la suma asegurada general.</w:t>
      </w:r>
    </w:p>
    <w:p>
      <w:pPr>
        <w:pStyle w:val="ListParagraph"/>
        <w:numPr>
          <w:ilvl w:val="0"/>
          <w:numId w:val="2"/>
        </w:numPr>
        <w:spacing w:after="100" w:line="290"/>
      </w:pPr>
      <w:r>
        <w:rPr>
          <w:rFonts w:ascii="Archivo" w:cs="Archivo" w:eastAsia="Archivo" w:hAnsi="Archivo"/>
          <w:sz w:val="21"/>
          <w:szCs w:val="21"/>
        </w:rPr>
        <w:t xml:space="preserve">5. Discrepancias entre lo publicitado o explicado verbalmente y el texto de las condiciones generales.</w:t>
      </w:r>
    </w:p>
    <w:p>
      <w:pPr>
        <w:pStyle w:val="ListParagraph"/>
        <w:numPr>
          <w:ilvl w:val="0"/>
          <w:numId w:val="2"/>
        </w:numPr>
        <w:spacing w:after="100" w:line="290"/>
      </w:pPr>
      <w:r>
        <w:rPr>
          <w:rFonts w:ascii="Archivo" w:cs="Archivo" w:eastAsia="Archivo" w:hAnsi="Archivo"/>
          <w:sz w:val="21"/>
          <w:szCs w:val="21"/>
        </w:rPr>
        <w:t xml:space="preserve">6. Cláusulas de valoración del contenido no explicitadas con claridad en las condiciones particulares.</w:t>
      </w:r>
    </w:p>
    <w:p>
      <w:pPr>
        <w:pStyle w:val="ListParagraph"/>
        <w:numPr>
          <w:ilvl w:val="0"/>
          <w:numId w:val="2"/>
        </w:numPr>
        <w:spacing w:after="100" w:line="290"/>
      </w:pPr>
      <w:r>
        <w:rPr>
          <w:rFonts w:ascii="Archivo" w:cs="Archivo" w:eastAsia="Archivo" w:hAnsi="Archivo"/>
          <w:sz w:val="21"/>
          <w:szCs w:val="21"/>
        </w:rPr>
        <w:t xml:space="preserve">7. Referencias a normativa técnica o estándares de mantenimiento sin concreción de su contenido exigible.</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ageBreakBefore/>
        <w:spacing w:after="200" w:before="2000"/>
      </w:pPr>
      <w:r>
        <w:rPr>
          <w:rFonts w:ascii="Archivo" w:cs="Archivo" w:eastAsia="Archivo" w:hAnsi="Archivo"/>
          <w:b/>
          <w:bCs/>
          <w:color w:val="1B6DF0"/>
          <w:sz w:val="28"/>
          <w:szCs w:val="28"/>
        </w:rPr>
        <w:t xml:space="preserve">PARTE II</w:t>
      </w:r>
    </w:p>
    <w:p>
      <w:pPr>
        <w:pBdr>
          <w:bottom w:val="single" w:color="CBD5E1" w:sz="6" w:space="12"/>
        </w:pBdr>
        <w:spacing w:after="600"/>
      </w:pPr>
      <w:r>
        <w:rPr>
          <w:rFonts w:ascii="Fraunces" w:cs="Fraunces" w:eastAsia="Fraunces" w:hAnsi="Fraunces"/>
          <w:b/>
          <w:bCs/>
          <w:color w:val="0A2540"/>
          <w:sz w:val="44"/>
          <w:szCs w:val="44"/>
        </w:rPr>
        <w:t xml:space="preserve">Las coberturas del seguro multirriesgo de hogar</w:t>
      </w:r>
    </w:p>
    <w:p>
      <w:pPr>
        <w:pStyle w:val="Heading1"/>
        <w:pageBreakBefore/>
        <w:spacing w:after="300" w:before="200"/>
      </w:pPr>
      <w:r>
        <w:rPr>
          <w:rFonts w:ascii="Archivo" w:cs="Archivo" w:eastAsia="Archivo" w:hAnsi="Archivo"/>
          <w:b/>
          <w:bCs/>
          <w:color w:val="1B6DF0"/>
          <w:sz w:val="22"/>
          <w:szCs w:val="22"/>
        </w:rPr>
        <w:t xml:space="preserve">Capítulo 5. </w:t>
      </w:r>
      <w:r>
        <w:rPr>
          <w:rFonts w:ascii="Fraunces" w:cs="Fraunces" w:eastAsia="Fraunces" w:hAnsi="Fraunces"/>
          <w:b/>
          <w:bCs/>
          <w:color w:val="0A2540"/>
          <w:sz w:val="30"/>
          <w:szCs w:val="30"/>
        </w:rPr>
        <w:t xml:space="preserve">Incendio, explosión y fenómenos eléctricos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5.1. El concepto legal de incendio (art. 45 LCS)</w:t>
            </w:r>
          </w:p>
          <w:p>
            <w:pPr>
              <w:spacing w:after="40" w:line="260"/>
            </w:pPr>
            <w:r>
              <w:rPr>
                <w:rFonts w:ascii="Archivo" w:cs="Archivo" w:eastAsia="Archivo" w:hAnsi="Archivo"/>
                <w:sz w:val="18"/>
                <w:szCs w:val="18"/>
              </w:rPr>
              <w:t xml:space="preserve">5.2. Extensión de la cobertura y daños indemnizables (art. 49 LCS)</w:t>
            </w:r>
          </w:p>
          <w:p>
            <w:pPr>
              <w:spacing w:after="40" w:line="260"/>
            </w:pPr>
            <w:r>
              <w:rPr>
                <w:rFonts w:ascii="Archivo" w:cs="Archivo" w:eastAsia="Archivo" w:hAnsi="Archivo"/>
                <w:sz w:val="18"/>
                <w:szCs w:val="18"/>
              </w:rPr>
              <w:t xml:space="preserve">5.3. Objetos de valor y bienes excluidos de la cobertura estándar (art. 46 LCS)</w:t>
            </w:r>
          </w:p>
          <w:p>
            <w:pPr>
              <w:spacing w:after="40" w:line="260"/>
            </w:pPr>
            <w:r>
              <w:rPr>
                <w:rFonts w:ascii="Archivo" w:cs="Archivo" w:eastAsia="Archivo" w:hAnsi="Archivo"/>
                <w:sz w:val="18"/>
                <w:szCs w:val="18"/>
              </w:rPr>
              <w:t xml:space="preserve">5.4. Causas de exoneración: caso fortuito, malquerencia de extraños y dolo o culpa grave (art. 48 LCS)</w:t>
            </w:r>
          </w:p>
          <w:p>
            <w:pPr>
              <w:spacing w:after="40" w:line="260"/>
            </w:pPr>
            <w:r>
              <w:rPr>
                <w:rFonts w:ascii="Archivo" w:cs="Archivo" w:eastAsia="Archivo" w:hAnsi="Archivo"/>
                <w:sz w:val="18"/>
                <w:szCs w:val="18"/>
              </w:rPr>
              <w:t xml:space="preserve">5.5. El desplazamiento del objeto asegurado (art. 47 LCS)</w:t>
            </w:r>
          </w:p>
          <w:p>
            <w:pPr>
              <w:spacing w:after="40" w:line="260"/>
            </w:pPr>
            <w:r>
              <w:rPr>
                <w:rFonts w:ascii="Archivo" w:cs="Archivo" w:eastAsia="Archivo" w:hAnsi="Archivo"/>
                <w:sz w:val="18"/>
                <w:szCs w:val="18"/>
              </w:rPr>
              <w:t xml:space="preserve">5.6. Los fenómenos eléctricos como riesgo asimilado</w:t>
            </w:r>
          </w:p>
          <w:p>
            <w:pPr>
              <w:spacing w:after="40" w:line="260"/>
            </w:pPr>
            <w:r>
              <w:rPr>
                <w:rFonts w:ascii="Archivo" w:cs="Archivo" w:eastAsia="Archivo" w:hAnsi="Archivo"/>
                <w:sz w:val="18"/>
                <w:szCs w:val="18"/>
              </w:rPr>
              <w:t xml:space="preserve">5.7. Ficha para el profesional</w:t>
            </w:r>
          </w:p>
          <w:p>
            <w:pPr>
              <w:spacing w:after="40" w:line="260"/>
            </w:pPr>
            <w:r>
              <w:rPr>
                <w:rFonts w:ascii="Archivo" w:cs="Archivo" w:eastAsia="Archivo" w:hAnsi="Archivo"/>
                <w:sz w:val="18"/>
                <w:szCs w:val="18"/>
              </w:rPr>
              <w:t xml:space="preserve">5.8. Ficha para el asegurado</w:t>
            </w:r>
          </w:p>
          <w:p>
            <w:pPr>
              <w:spacing w:after="40" w:line="260"/>
            </w:pPr>
            <w:r>
              <w:rPr>
                <w:rFonts w:ascii="Archivo" w:cs="Archivo" w:eastAsia="Archivo" w:hAnsi="Archivo"/>
                <w:sz w:val="18"/>
                <w:szCs w:val="18"/>
              </w:rPr>
              <w:t xml:space="preserve">5.9. Checklist: acreditación de un siniestro de incendio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el régimen especial del seguro contra incendios (arts. 45 a 49 LCS), aplicable con carácter supletorio a la garantía de incendio del seguro multirriesgo de hogar, con particular atención al concepto legal de incendio, a las causas legales de exoneración del art. 48 LCS —caso fortuito, malquerencia de extraños, negligencia propia y dolo o culpa grave— y a la reciente doctrina de la Sala Primera sobre el alcance de la expresión «malquerencia de extraños».</w:t>
            </w:r>
          </w:p>
          <w:p>
            <w:pPr>
              <w:spacing w:after="160"/>
            </w:pPr>
            <w:r>
              <w:rPr>
                <w:rFonts w:ascii="Archivo" w:cs="Archivo" w:eastAsia="Archivo" w:hAnsi="Archivo"/>
                <w:b/>
                <w:bCs/>
                <w:sz w:val="17"/>
                <w:szCs w:val="17"/>
              </w:rPr>
              <w:t xml:space="preserve">Palabras clave: seguro de incendio, art. 45 LCS, art. 48 LCS, malquerencia de extraños, dolo, culpa grave, fenómenos eléctricos.</w:t>
            </w:r>
          </w:p>
          <w:p>
            <w:pPr>
              <w:spacing w:after="100"/>
              <w:jc w:val="both"/>
            </w:pPr>
            <w:r>
              <w:rPr>
                <w:rFonts w:ascii="Archivo" w:cs="Archivo" w:eastAsia="Archivo" w:hAnsi="Archivo"/>
                <w:i/>
                <w:iCs/>
                <w:sz w:val="18"/>
                <w:szCs w:val="18"/>
              </w:rPr>
              <w:t xml:space="preserve">This chapter examines the special fire insurance regime under Articles 45 to 49 of the Spanish Insurance Contract Act, applicable on a suppletory basis to the fire cover of homeowners' multi-risk policies, focusing on the statutory definition of fire and on the exoneration grounds of Article 48 —fortuitous event, malice of strangers, the insured's own negligence, and wilful misconduct or gross negligence— together with recent Supreme Court case law on the scope of the 'malice of strangers' clause.</w:t>
            </w:r>
          </w:p>
          <w:p>
            <w:pPr>
              <w:spacing w:after="0"/>
            </w:pPr>
            <w:r>
              <w:rPr>
                <w:rFonts w:ascii="Archivo" w:cs="Archivo" w:eastAsia="Archivo" w:hAnsi="Archivo"/>
                <w:b/>
                <w:bCs/>
                <w:sz w:val="17"/>
                <w:szCs w:val="17"/>
              </w:rPr>
              <w:t xml:space="preserve">Keywords: fire insurance, exoneration grounds, malice of strangers, wilful misconduct, gross negligence, electrical damage.</w:t>
            </w:r>
          </w:p>
        </w:tc>
      </w:tr>
    </w:tbl>
    <w:p>
      <w:pPr>
        <w:spacing w:after="200"/>
      </w:pPr>
    </w:p>
    <w:p>
      <w:pPr>
        <w:pStyle w:val="Heading2"/>
        <w:spacing w:after="160" w:before="400"/>
      </w:pPr>
      <w:r>
        <w:rPr>
          <w:rFonts w:ascii="Fraunces" w:cs="Fraunces" w:eastAsia="Fraunces" w:hAnsi="Fraunces"/>
          <w:b/>
          <w:bCs/>
          <w:color w:val="0A2540"/>
          <w:sz w:val="24"/>
          <w:szCs w:val="24"/>
        </w:rPr>
        <w:t xml:space="preserve">5.1. El concepto legal de incendio</w:t>
      </w:r>
    </w:p>
    <w:p>
      <w:pPr>
        <w:spacing w:after="180" w:line="300"/>
        <w:jc w:val="both"/>
      </w:pPr>
      <w:r>
        <w:rPr>
          <w:rFonts w:ascii="Archivo" w:cs="Archivo" w:eastAsia="Archivo" w:hAnsi="Archivo"/>
          <w:sz w:val="21"/>
          <w:szCs w:val="21"/>
        </w:rPr>
        <w:t xml:space="preserve">El seguro multirriesgo de hogar incorpora, como garantía troncal, la cobertura de incendio, cuyo régimen específico se contiene en los arts. 45 a 49 LCS, dentro del Título II de la Ley, dedicado al seguro contra daños. Estas disposiciones se aplican, con el carácter imperativo relativo propio de toda la LCS (art. 2), incluso cuando la garantía de incendio se integra, como es habitual, en una póliza combinada de hogar</w:t>
      </w:r>
      <w:r>
        <w:rPr>
          <w:rStyle w:val="FootnoteReference"/>
        </w:rPr>
        <w:footnoteReference w:id="1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45 LCS</w:t>
            </w:r>
          </w:p>
          <w:p>
            <w:pPr>
              <w:spacing w:after="0" w:line="280"/>
              <w:jc w:val="both"/>
            </w:pPr>
            <w:r>
              <w:rPr>
                <w:rFonts w:ascii="IBM Plex Mono" w:cs="IBM Plex Mono" w:eastAsia="IBM Plex Mono" w:hAnsi="IBM Plex Mono"/>
                <w:i/>
                <w:iCs/>
                <w:color w:val="0A2540"/>
                <w:sz w:val="18"/>
                <w:szCs w:val="18"/>
              </w:rPr>
              <w:t xml:space="preserve">Por el seguro contra incendios el asegurador se obliga dentro de los límites establecidos en la Ley y en el contrato a indemnizar los daños producidos por incendio en el objeto asegurado. Se considera incendio la combustión y el abrasamiento con llama, capaz de propagarse, de un objeto u objetos que no estaban destinados a ser quemados en el lugar y momento en que se produce.</w:t>
            </w:r>
          </w:p>
        </w:tc>
      </w:tr>
    </w:tbl>
    <w:p>
      <w:pPr>
        <w:spacing w:after="180" w:line="300"/>
        <w:jc w:val="both"/>
      </w:pPr>
      <w:r>
        <w:rPr>
          <w:rFonts w:ascii="Archivo" w:cs="Archivo" w:eastAsia="Archivo" w:hAnsi="Archivo"/>
          <w:sz w:val="21"/>
          <w:szCs w:val="21"/>
        </w:rPr>
        <w:t xml:space="preserve">La definición legal exige tres elementos acumulativos que conviene tener presentes al calificar un siniestro: (i) combustión con llama —lo que excluye, en rigor, los daños por mero calentamiento, chamuscado o carbonización sin llama propiamente dicha—; (ii) capacidad de propagación; y (iii) que el objeto quemado no estuviera destinado a serlo en ese lugar y momento, elemento que separa el incendio asegurado de la combustión controlada (chimenea, barbacoa, velas) que forma parte del uso normal de la vivienda.</w:t>
      </w:r>
    </w:p>
    <w:p>
      <w:pPr>
        <w:pStyle w:val="Heading2"/>
        <w:spacing w:after="160" w:before="400"/>
      </w:pPr>
      <w:r>
        <w:rPr>
          <w:rFonts w:ascii="Fraunces" w:cs="Fraunces" w:eastAsia="Fraunces" w:hAnsi="Fraunces"/>
          <w:b/>
          <w:bCs/>
          <w:color w:val="0A2540"/>
          <w:sz w:val="24"/>
          <w:szCs w:val="24"/>
        </w:rPr>
        <w:t xml:space="preserve">5.2. Extensión de la cobertura y daños indemnizables</w:t>
      </w:r>
    </w:p>
    <w:p>
      <w:pPr>
        <w:spacing w:after="180" w:line="300"/>
        <w:jc w:val="both"/>
      </w:pPr>
      <w:r>
        <w:rPr>
          <w:rFonts w:ascii="Archivo" w:cs="Archivo" w:eastAsia="Archivo" w:hAnsi="Archivo"/>
          <w:sz w:val="21"/>
          <w:szCs w:val="21"/>
        </w:rPr>
        <w:t xml:space="preserve">El artículo 49 LCS extiende la cobertura más allá del daño directo del fuego, incorporando una relación de daños conexos que resulta de gran utilidad práctica al cuantificar un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49 LCS</w:t>
            </w:r>
          </w:p>
          <w:p>
            <w:pPr>
              <w:spacing w:after="0" w:line="280"/>
              <w:jc w:val="both"/>
            </w:pPr>
            <w:r>
              <w:rPr>
                <w:rFonts w:ascii="IBM Plex Mono" w:cs="IBM Plex Mono" w:eastAsia="IBM Plex Mono" w:hAnsi="IBM Plex Mono"/>
                <w:i/>
                <w:iCs/>
                <w:color w:val="0A2540"/>
                <w:sz w:val="18"/>
                <w:szCs w:val="18"/>
              </w:rPr>
              <w:t xml:space="preserve">El asegurador indemnizará todos los daños y pérdidas materiales causados por la acción directa del fuego, así como los producidos por las consecuencias inevitables del incendio y en particular: 1.º Los daños que ocasionen las medidas necesarias adoptadas por la autoridad o el asegurado para impedir, cortar o extinguir el incendio [...]. 2.º Los gastos que ocasione al asegurado el transporte de los efectos asegurados o cualesquiera otras medidas adoptadas con el fin de salvarlos del incendio. 3.º Los menoscabos que sufran los objetos salvados por las circunstancias descritas en los dos números anteriores. 4.º El valor de los objetos desaparecidos, siempre que el asegurado acredite su preexistencia y salvo que el asegurador pruebe que fueron robados o hurtados. 5.º Cualesquiera otros que se consignen en la póliza.</w:t>
            </w:r>
          </w:p>
        </w:tc>
      </w:tr>
    </w:tbl>
    <w:p>
      <w:pPr>
        <w:spacing w:after="180" w:line="300"/>
        <w:jc w:val="both"/>
      </w:pPr>
      <w:r>
        <w:rPr>
          <w:rFonts w:ascii="Archivo" w:cs="Archivo" w:eastAsia="Archivo" w:hAnsi="Archivo"/>
          <w:sz w:val="21"/>
          <w:szCs w:val="21"/>
        </w:rPr>
        <w:t xml:space="preserve">De especial interés práctico es la regla 4.ª: ante la desaparición de objetos con ocasión de un incendio (frecuente en la confusión de las labores de extinción y salvamento), la carga de la prueba se invierte parcialmente a favor del asegurado, a quien basta con acreditar la preexistencia del objeto, correspondiendo a la aseguradora probar, si quiere excluir la indemnización, que en realidad fue sustraído.</w:t>
      </w:r>
    </w:p>
    <w:p>
      <w:pPr>
        <w:pStyle w:val="Heading2"/>
        <w:spacing w:after="160" w:before="400"/>
      </w:pPr>
      <w:r>
        <w:rPr>
          <w:rFonts w:ascii="Fraunces" w:cs="Fraunces" w:eastAsia="Fraunces" w:hAnsi="Fraunces"/>
          <w:b/>
          <w:bCs/>
          <w:color w:val="0A2540"/>
          <w:sz w:val="24"/>
          <w:szCs w:val="24"/>
        </w:rPr>
        <w:t xml:space="preserve">5.3. Objetos de valor y bienes excluidos de la cobertura estándar</w:t>
      </w:r>
    </w:p>
    <w:p>
      <w:pPr>
        <w:spacing w:after="180" w:line="300"/>
        <w:jc w:val="both"/>
      </w:pPr>
      <w:r>
        <w:rPr>
          <w:rFonts w:ascii="Archivo" w:cs="Archivo" w:eastAsia="Archivo" w:hAnsi="Archivo"/>
          <w:sz w:val="21"/>
          <w:szCs w:val="21"/>
        </w:rPr>
        <w:t xml:space="preserve">El artículo 46 LCS excluye, salvo pacto expreso en contrario, determinados bienes de especial valor de la cobertura estándar de incendio, exclusión que la práctica aseguradora traslada sistemáticamente a las condiciones generales de las pólizas de hogar mediante los sublímites para joyas, dinero en efectivo y objetos de arte estudiados en el capítulo 11:</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46 LCS (párrafo segundo)</w:t>
            </w:r>
          </w:p>
          <w:p>
            <w:pPr>
              <w:spacing w:after="0" w:line="280"/>
              <w:jc w:val="both"/>
            </w:pPr>
            <w:r>
              <w:rPr>
                <w:rFonts w:ascii="IBM Plex Mono" w:cs="IBM Plex Mono" w:eastAsia="IBM Plex Mono" w:hAnsi="IBM Plex Mono"/>
                <w:i/>
                <w:iCs/>
                <w:color w:val="0A2540"/>
                <w:sz w:val="18"/>
                <w:szCs w:val="18"/>
              </w:rPr>
              <w:t xml:space="preserve">Salvo pacto expreso en contrario, no quedarán comprendidos en la cobertura del seguro los daños que cause el incendio en los valores mobiliarios públicos o privados, efectos de comercio, billetes de Banco, piedras y metales preciosos, objetos artísticos o cualesquiera otros objetos de valor que se hallaren en el objeto asegurado, aun cuando se pruebe su preexistencia y su destrucción o deterioro por el siniestro.</w:t>
            </w:r>
          </w:p>
        </w:tc>
      </w:tr>
    </w:tbl>
    <w:p>
      <w:pPr>
        <w:spacing w:after="180" w:line="300"/>
        <w:jc w:val="both"/>
      </w:pPr>
      <w:r>
        <w:rPr>
          <w:rFonts w:ascii="Archivo" w:cs="Archivo" w:eastAsia="Archivo" w:hAnsi="Archivo"/>
          <w:sz w:val="21"/>
          <w:szCs w:val="21"/>
        </w:rPr>
        <w:t xml:space="preserve">La norma legal es, en rigor, más restrictiva que la práctica aseguradora habitual, que suele ofrecer cobertura de estos bienes hasta ciertos sublímites mediante «pacto expreso» incorporado en las condiciones particulares; de ahí la importancia, ya destacada en el capítulo 4, de verificar que dichos sublímites figuren efectivamente pactados y no se limiten a una remisión genérica.</w:t>
      </w:r>
    </w:p>
    <w:p>
      <w:pPr>
        <w:pStyle w:val="Heading2"/>
        <w:spacing w:after="160" w:before="400"/>
      </w:pPr>
      <w:r>
        <w:rPr>
          <w:rFonts w:ascii="Fraunces" w:cs="Fraunces" w:eastAsia="Fraunces" w:hAnsi="Fraunces"/>
          <w:b/>
          <w:bCs/>
          <w:color w:val="0A2540"/>
          <w:sz w:val="24"/>
          <w:szCs w:val="24"/>
        </w:rPr>
        <w:t xml:space="preserve">5.4. Causas de exoneración: caso fortuito, malquerencia de extraños y dolo o culpa grave</w:t>
      </w:r>
    </w:p>
    <w:p>
      <w:pPr>
        <w:spacing w:after="180" w:line="300"/>
        <w:jc w:val="both"/>
      </w:pPr>
      <w:r>
        <w:rPr>
          <w:rFonts w:ascii="Archivo" w:cs="Archivo" w:eastAsia="Archivo" w:hAnsi="Archivo"/>
          <w:sz w:val="21"/>
          <w:szCs w:val="21"/>
        </w:rPr>
        <w:t xml:space="preserve">El artículo 48 LCS articula el régimen causal del seguro de incendio en dos párrafos de sentido inverso, cuya correcta lectura conjunta es imprescindible: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48 LCS</w:t>
            </w:r>
          </w:p>
          <w:p>
            <w:pPr>
              <w:spacing w:after="0" w:line="280"/>
              <w:jc w:val="both"/>
            </w:pPr>
            <w:r>
              <w:rPr>
                <w:rFonts w:ascii="IBM Plex Mono" w:cs="IBM Plex Mono" w:eastAsia="IBM Plex Mono" w:hAnsi="IBM Plex Mono"/>
                <w:i/>
                <w:iCs/>
                <w:color w:val="0A2540"/>
                <w:sz w:val="18"/>
                <w:szCs w:val="18"/>
              </w:rPr>
              <w:t xml:space="preserve">El asegurador estará obligado a indemnizar los daños producidos por el incendio cuando éste se origine por caso fortuito, por malquerencia de extraños, por negligencia propia o de las personas de quienes se responda civilmente. El asegurador no estará obligado a indemnizar los daños provocados por el incendio cuando éste se origine por dolo o culpa grave del asegurado.</w:t>
            </w:r>
          </w:p>
        </w:tc>
      </w:tr>
    </w:tbl>
    <w:p>
      <w:pPr>
        <w:spacing w:after="180" w:line="300"/>
        <w:jc w:val="both"/>
      </w:pPr>
      <w:r>
        <w:rPr>
          <w:rFonts w:ascii="Archivo" w:cs="Archivo" w:eastAsia="Archivo" w:hAnsi="Archivo"/>
          <w:sz w:val="21"/>
          <w:szCs w:val="21"/>
        </w:rPr>
        <w:t xml:space="preserve">El precepto consagra una regla de cobertura amplísima: el incendio causado por negligencia —incluso propia del asegurado, siempre que no alcance el umbral de la culpa grave— está cubierto, lo que distingue nítidamente el seguro de incendio de otras coberturas en las que la negligencia leve del asegurado puede jugar un papel exonerador distinto. Solo el dolo o la culpa grave liberan al asegurador, y la carga de su prueba corresponde, conforme a las reglas generales, a quien los alega</w:t>
      </w:r>
      <w:r>
        <w:rPr>
          <w:rStyle w:val="FootnoteReference"/>
        </w:rPr>
        <w:footnoteReference w:id="15"/>
      </w:r>
      <w:r>
        <w:rPr>
          <w:rFonts w:ascii="Archivo" w:cs="Archivo" w:eastAsia="Archivo" w:hAnsi="Archivo"/>
          <w:sz w:val="21"/>
          <w:szCs w:val="21"/>
        </w:rPr>
        <w:t xml:space="preserve">, es decir, a la aseguradora.</w:t>
      </w:r>
    </w:p>
    <w:p>
      <w:pPr>
        <w:spacing w:after="180" w:line="300"/>
        <w:jc w:val="both"/>
      </w:pPr>
      <w:r>
        <w:rPr>
          <w:rFonts w:ascii="Archivo" w:cs="Archivo" w:eastAsia="Archivo" w:hAnsi="Archivo"/>
          <w:sz w:val="21"/>
          <w:szCs w:val="21"/>
        </w:rPr>
        <w:t xml:space="preserve">La expresión «malquerencia de extraños» —heredera de una terminología decimonónica pero plenamente vigente— ha sido recientemente objeto de interpretación por la Sala Primera en un supuesto que, aunque referido a un local de negocio, fija un criterio de aplicación directa al ámbito doméstico cuando el incendio es provocado intencionadamente por alguien vinculado al entorno del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julio de 2026 (ROJ: STS 3443/2026; ECLI:ES:TS:2026:3443; MP: Almenar Belenguer)</w:t>
            </w:r>
          </w:p>
          <w:p>
            <w:pPr>
              <w:spacing w:after="0" w:line="280"/>
              <w:jc w:val="both"/>
            </w:pPr>
            <w:r>
              <w:rPr>
                <w:rFonts w:ascii="Archivo" w:cs="Archivo" w:eastAsia="Archivo" w:hAnsi="Archivo"/>
                <w:color w:val="0A2540"/>
                <w:sz w:val="19"/>
                <w:szCs w:val="19"/>
              </w:rPr>
              <w:t xml:space="preserve">«El art. 48 LCS dispone en su párrafo primero que ‘el asegurador estará obligado a indemnizar los daños producidos por el incendio cuando éste se origine por caso fortuito, por malquerencia de extraños, por negligencia propia o de las personas de quienes se responda civilmente’ [...]. La obligación del asegurador de indemnizar los daños producidos por el incendio en el caso de que éste se origine ‘por malquerencia de extraños’ se refiere al incendio provocado por la acción u omisión deliberada de terceras personas ajenas al asegurado y a su entorno directo, lo que implica que carezcan de una vinculación [societaria, familiar o de convivencia] con aquel.»</w:t>
            </w:r>
          </w:p>
        </w:tc>
      </w:tr>
    </w:tbl>
    <w:p>
      <w:pPr>
        <w:spacing w:after="180" w:line="300"/>
        <w:jc w:val="both"/>
      </w:pPr>
      <w:r>
        <w:rPr>
          <w:rFonts w:ascii="Archivo" w:cs="Archivo" w:eastAsia="Archivo" w:hAnsi="Archivo"/>
          <w:sz w:val="21"/>
          <w:szCs w:val="21"/>
        </w:rPr>
        <w:t xml:space="preserve">La ratio decidendi es plenamente trasladable al hogar: si el incendio es provocado intencionadamente por un familiar conviviente, una pareja, un empleado del hogar o, en general, una persona vinculada al círculo íntimo o de convivencia del asegurado, no podrá invocarse la cobertura por «malquerencia de extraños», y la aseguradora deberá, en su caso, analizar el supuesto bajo la óptica del dolo o culpa grave del propio asegurado (si le es imputable la actuación de la persona con quien convive) o, alternativamente, bajo la cobertura de daños causados por terceros no extraños, que en la práctica de las pólizas de hogar suele quedar sujeta a condiciones particulares específicas.</w:t>
      </w:r>
    </w:p>
    <w:p>
      <w:pPr>
        <w:pStyle w:val="Heading2"/>
        <w:spacing w:after="160" w:before="400"/>
      </w:pPr>
      <w:r>
        <w:rPr>
          <w:rFonts w:ascii="Fraunces" w:cs="Fraunces" w:eastAsia="Fraunces" w:hAnsi="Fraunces"/>
          <w:b/>
          <w:bCs/>
          <w:color w:val="0A2540"/>
          <w:sz w:val="24"/>
          <w:szCs w:val="24"/>
        </w:rPr>
        <w:t xml:space="preserve">5.5. El desplazamiento del objeto asegurado</w:t>
      </w:r>
    </w:p>
    <w:p>
      <w:pPr>
        <w:spacing w:after="180" w:line="300"/>
        <w:jc w:val="both"/>
      </w:pPr>
      <w:r>
        <w:rPr>
          <w:rFonts w:ascii="Archivo" w:cs="Archivo" w:eastAsia="Archivo" w:hAnsi="Archivo"/>
          <w:sz w:val="21"/>
          <w:szCs w:val="21"/>
        </w:rPr>
        <w:t xml:space="preserve">El artículo 47 LCS introduce una regla de frecuente aplicación práctica cuando el siniestro afecta a contenido que, en el momento del incendio, no se encontraba en la vivienda asegurada (por ejemplo, mobiliario trasladado temporalmente a un guardamuebles con ocasión de una reforma):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47 LCS</w:t>
            </w:r>
          </w:p>
          <w:p>
            <w:pPr>
              <w:spacing w:after="0" w:line="280"/>
              <w:jc w:val="both"/>
            </w:pPr>
            <w:r>
              <w:rPr>
                <w:rFonts w:ascii="IBM Plex Mono" w:cs="IBM Plex Mono" w:eastAsia="IBM Plex Mono" w:hAnsi="IBM Plex Mono"/>
                <w:i/>
                <w:iCs/>
                <w:color w:val="0A2540"/>
                <w:sz w:val="18"/>
                <w:szCs w:val="18"/>
              </w:rPr>
              <w:t xml:space="preserve">La destrucción o deterioro de los objetos asegurados fuera del lugar descrito en la póliza excluirá la indemnización del asegurador, a menos que su traslado o cambio le hubiere sido previamente comunicado por escrito y éste no hubiese manifestado en el plazo de quince días su disconformidad.</w:t>
            </w:r>
          </w:p>
        </w:tc>
      </w:tr>
    </w:tbl>
    <w:p>
      <w:pPr>
        <w:spacing w:after="180" w:line="300"/>
        <w:jc w:val="both"/>
      </w:pPr>
      <w:r>
        <w:rPr>
          <w:rFonts w:ascii="Archivo" w:cs="Archivo" w:eastAsia="Archivo" w:hAnsi="Archivo"/>
          <w:sz w:val="21"/>
          <w:szCs w:val="21"/>
        </w:rPr>
        <w:t xml:space="preserve">La norma configura, en la práctica, un mecanismo de silencio positivo a favor del asegurado: comunicado el traslado por escrito, la falta de respuesta de la aseguradora en quince días equivale a la aceptación de la extensión de cobertura al nuevo emplazamiento.</w:t>
      </w:r>
    </w:p>
    <w:p>
      <w:pPr>
        <w:pStyle w:val="Heading2"/>
        <w:spacing w:after="160" w:before="400"/>
      </w:pPr>
      <w:r>
        <w:rPr>
          <w:rFonts w:ascii="Fraunces" w:cs="Fraunces" w:eastAsia="Fraunces" w:hAnsi="Fraunces"/>
          <w:b/>
          <w:bCs/>
          <w:color w:val="0A2540"/>
          <w:sz w:val="24"/>
          <w:szCs w:val="24"/>
        </w:rPr>
        <w:t xml:space="preserve">5.6. Los fenómenos eléctricos como riesgo asimilado</w:t>
      </w:r>
    </w:p>
    <w:p>
      <w:pPr>
        <w:spacing w:after="180" w:line="300"/>
        <w:jc w:val="both"/>
      </w:pPr>
      <w:r>
        <w:rPr>
          <w:rFonts w:ascii="Archivo" w:cs="Archivo" w:eastAsia="Archivo" w:hAnsi="Archivo"/>
          <w:sz w:val="21"/>
          <w:szCs w:val="21"/>
        </w:rPr>
        <w:t xml:space="preserve">Las condiciones generales de las pólizas de hogar incorporan, junto a la garantía de incendio propiamente dicha, una garantía asimilada de daños eléctricos (cortocircuitos, sobretensiones, descargas atmosféricas indirectas) que, en sentido estricto, no siempre reúne los elementos del concepto legal de incendio del art. 45 LCS —en particular, la combustión con llama—, por lo que su alcance depende enteramente de la extensión pactada en condiciones particulares. Se trata, por ello, de una garantía predominantemente contractual, sometida al régimen general del art. 3 LCS y a la distinción entre cláusulas delimitadoras y limitativas estudiada en el capítulo 1, más que al régimen legal específico e imperativo de los arts. 45 a 49 LCS.</w:t>
      </w:r>
    </w:p>
    <w:p>
      <w:pPr>
        <w:pStyle w:val="Heading2"/>
        <w:spacing w:after="160" w:before="400"/>
      </w:pPr>
      <w:r>
        <w:rPr>
          <w:rFonts w:ascii="Fraunces" w:cs="Fraunces" w:eastAsia="Fraunces" w:hAnsi="Fraunces"/>
          <w:b/>
          <w:bCs/>
          <w:color w:val="0A2540"/>
          <w:sz w:val="24"/>
          <w:szCs w:val="24"/>
        </w:rPr>
        <w:t xml:space="preserve">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incendio</w:t>
            </w:r>
          </w:p>
          <w:p>
            <w:pPr>
              <w:pStyle w:val="ListParagraph"/>
              <w:numPr>
                <w:ilvl w:val="0"/>
                <w:numId w:val="2"/>
              </w:numPr>
              <w:spacing w:after="80" w:line="280"/>
            </w:pPr>
            <w:r>
              <w:rPr>
                <w:rFonts w:ascii="Archivo" w:cs="Archivo" w:eastAsia="Archivo" w:hAnsi="Archivo"/>
                <w:sz w:val="19"/>
                <w:szCs w:val="19"/>
              </w:rPr>
              <w:t xml:space="preserve">Verificar si concurren los tres elementos del concepto legal de incendio (art. 45 LCS): combustión, llama con capacidad de propagación, y objeto no destinado a ser quemado en ese lugar y momento.</w:t>
            </w:r>
          </w:p>
          <w:p>
            <w:pPr>
              <w:pStyle w:val="ListParagraph"/>
              <w:numPr>
                <w:ilvl w:val="0"/>
                <w:numId w:val="2"/>
              </w:numPr>
              <w:spacing w:after="80" w:line="280"/>
            </w:pPr>
            <w:r>
              <w:rPr>
                <w:rFonts w:ascii="Archivo" w:cs="Archivo" w:eastAsia="Archivo" w:hAnsi="Archivo"/>
                <w:sz w:val="19"/>
                <w:szCs w:val="19"/>
              </w:rPr>
              <w:t xml:space="preserve">Ante la invocación de dolo o culpa grave por la aseguradora, exigir la prueba cumplida de dicha causa de exoneración, recordando que la negligencia leve —incluso del propio asegurado— está cubierta ex art. 48 LCS.</w:t>
            </w:r>
          </w:p>
          <w:p>
            <w:pPr>
              <w:pStyle w:val="ListParagraph"/>
              <w:numPr>
                <w:ilvl w:val="0"/>
                <w:numId w:val="2"/>
              </w:numPr>
              <w:spacing w:after="80" w:line="280"/>
            </w:pPr>
            <w:r>
              <w:rPr>
                <w:rFonts w:ascii="Archivo" w:cs="Archivo" w:eastAsia="Archivo" w:hAnsi="Archivo"/>
                <w:sz w:val="19"/>
                <w:szCs w:val="19"/>
              </w:rPr>
              <w:t xml:space="preserve">Ante la invocación de «malquerencia de extraños» como base de la reclamación, o de su exclusión por la aseguradora, aplicar el criterio de la STS de 15 de julio de 2026 (ROJ: STS 3443/2026): solo excluye la vinculación directa con el entorno del asegurado.</w:t>
            </w:r>
          </w:p>
          <w:p>
            <w:pPr>
              <w:pStyle w:val="ListParagraph"/>
              <w:numPr>
                <w:ilvl w:val="0"/>
                <w:numId w:val="2"/>
              </w:numPr>
              <w:spacing w:after="80" w:line="280"/>
            </w:pPr>
            <w:r>
              <w:rPr>
                <w:rFonts w:ascii="Archivo" w:cs="Archivo" w:eastAsia="Archivo" w:hAnsi="Archivo"/>
                <w:sz w:val="19"/>
                <w:szCs w:val="19"/>
              </w:rPr>
              <w:t xml:space="preserve">Verificar la cobertura efectiva de objetos de valor (art. 46 LCS) mediante pacto expreso en condiciones particulares, no presunta.</w:t>
            </w:r>
          </w:p>
          <w:p>
            <w:pPr>
              <w:pStyle w:val="ListParagraph"/>
              <w:numPr>
                <w:ilvl w:val="0"/>
                <w:numId w:val="2"/>
              </w:numPr>
              <w:spacing w:after="80" w:line="280"/>
            </w:pPr>
            <w:r>
              <w:rPr>
                <w:rFonts w:ascii="Archivo" w:cs="Archivo" w:eastAsia="Archivo" w:hAnsi="Archivo"/>
                <w:sz w:val="19"/>
                <w:szCs w:val="19"/>
              </w:rPr>
              <w:t xml:space="preserve">En caso de desplazamiento temporal de contenido fuera de la vivienda, comprobar si se comunicó por escrito y si la aseguradora guardó silencio durante quince días (art. 47 LCS).</w:t>
            </w:r>
          </w:p>
        </w:tc>
      </w:tr>
    </w:tbl>
    <w:p>
      <w:pPr>
        <w:pStyle w:val="Heading2"/>
        <w:spacing w:after="160" w:before="400"/>
      </w:pPr>
      <w:r>
        <w:rPr>
          <w:rFonts w:ascii="Fraunces" w:cs="Fraunces" w:eastAsia="Fraunces" w:hAnsi="Fraunces"/>
          <w:b/>
          <w:bCs/>
          <w:color w:val="0A2540"/>
          <w:sz w:val="24"/>
          <w:szCs w:val="24"/>
        </w:rPr>
        <w:t xml:space="preserve">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hacer tras un incendio en su vivienda</w:t>
            </w:r>
          </w:p>
          <w:p>
            <w:pPr>
              <w:pStyle w:val="ListParagraph"/>
              <w:numPr>
                <w:ilvl w:val="0"/>
                <w:numId w:val="2"/>
              </w:numPr>
              <w:spacing w:after="80" w:line="280"/>
            </w:pPr>
            <w:r>
              <w:rPr>
                <w:rFonts w:ascii="Archivo" w:cs="Archivo" w:eastAsia="Archivo" w:hAnsi="Archivo"/>
                <w:sz w:val="19"/>
                <w:szCs w:val="19"/>
              </w:rPr>
              <w:t xml:space="preserve">Comunique el siniestro a la aseguradora dentro del plazo de la póliza (nunca superior a siete días desde que tuvo conocimiento, salvo plazo más amplio pactado).</w:t>
            </w:r>
          </w:p>
          <w:p>
            <w:pPr>
              <w:pStyle w:val="ListParagraph"/>
              <w:numPr>
                <w:ilvl w:val="0"/>
                <w:numId w:val="2"/>
              </w:numPr>
              <w:spacing w:after="80" w:line="280"/>
            </w:pPr>
            <w:r>
              <w:rPr>
                <w:rFonts w:ascii="Archivo" w:cs="Archivo" w:eastAsia="Archivo" w:hAnsi="Archivo"/>
                <w:sz w:val="19"/>
                <w:szCs w:val="19"/>
              </w:rPr>
              <w:t xml:space="preserve">Conserve, en la medida de lo posible, los restos y objetos dañados hasta la inspección pericial; no los deseche antes de que un perito los examine.</w:t>
            </w:r>
          </w:p>
          <w:p>
            <w:pPr>
              <w:pStyle w:val="ListParagraph"/>
              <w:numPr>
                <w:ilvl w:val="0"/>
                <w:numId w:val="2"/>
              </w:numPr>
              <w:spacing w:after="80" w:line="280"/>
            </w:pPr>
            <w:r>
              <w:rPr>
                <w:rFonts w:ascii="Archivo" w:cs="Archivo" w:eastAsia="Archivo" w:hAnsi="Archivo"/>
                <w:sz w:val="19"/>
                <w:szCs w:val="19"/>
              </w:rPr>
              <w:t xml:space="preserve">Si va a trasladar temporalmente sus enseres (por ejemplo, con ocasión de una reforma tras el incendio), comuníquelo por escrito a la aseguradora.</w:t>
            </w:r>
          </w:p>
          <w:p>
            <w:pPr>
              <w:pStyle w:val="ListParagraph"/>
              <w:numPr>
                <w:ilvl w:val="0"/>
                <w:numId w:val="2"/>
              </w:numPr>
              <w:spacing w:after="80" w:line="280"/>
            </w:pPr>
            <w:r>
              <w:rPr>
                <w:rFonts w:ascii="Archivo" w:cs="Archivo" w:eastAsia="Archivo" w:hAnsi="Archivo"/>
                <w:sz w:val="19"/>
                <w:szCs w:val="19"/>
              </w:rPr>
              <w:t xml:space="preserve">Guarde facturas o cualquier prueba de la preexistencia de los objetos desaparecidos: la ley le favorece con una presunción, pero cuanta más prueba aporte, más sólida será su reclamación.</w:t>
            </w:r>
          </w:p>
        </w:tc>
      </w:tr>
    </w:tbl>
    <w:p>
      <w:pPr>
        <w:pStyle w:val="Heading2"/>
        <w:spacing w:after="160" w:before="400"/>
      </w:pPr>
      <w:r>
        <w:rPr>
          <w:rFonts w:ascii="Fraunces" w:cs="Fraunces" w:eastAsia="Fraunces" w:hAnsi="Fraunces"/>
          <w:b/>
          <w:bCs/>
          <w:color w:val="0A2540"/>
          <w:sz w:val="24"/>
          <w:szCs w:val="24"/>
        </w:rPr>
        <w:t xml:space="preserve">5.9. Checklist: acreditación de un siniestro de incendio</w:t>
      </w:r>
    </w:p>
    <w:p>
      <w:pPr>
        <w:pStyle w:val="ListParagraph"/>
        <w:numPr>
          <w:ilvl w:val="0"/>
          <w:numId w:val="2"/>
        </w:numPr>
        <w:spacing w:after="100" w:line="290"/>
      </w:pPr>
      <w:r>
        <w:rPr>
          <w:rFonts w:ascii="Archivo" w:cs="Archivo" w:eastAsia="Archivo" w:hAnsi="Archivo"/>
          <w:sz w:val="21"/>
          <w:szCs w:val="21"/>
        </w:rPr>
        <w:t xml:space="preserve">1. ¿Existe informe de bomberos o atestado policial sobre el origen y las circunstancias del incendio?</w:t>
      </w:r>
    </w:p>
    <w:p>
      <w:pPr>
        <w:pStyle w:val="ListParagraph"/>
        <w:numPr>
          <w:ilvl w:val="0"/>
          <w:numId w:val="2"/>
        </w:numPr>
        <w:spacing w:after="100" w:line="290"/>
      </w:pPr>
      <w:r>
        <w:rPr>
          <w:rFonts w:ascii="Archivo" w:cs="Archivo" w:eastAsia="Archivo" w:hAnsi="Archivo"/>
          <w:sz w:val="21"/>
          <w:szCs w:val="21"/>
        </w:rPr>
        <w:t xml:space="preserve">2. ¿Se ha designado perito de parte conforme al art. 38 LCS (capítulo 14)?</w:t>
      </w:r>
    </w:p>
    <w:p>
      <w:pPr>
        <w:pStyle w:val="ListParagraph"/>
        <w:numPr>
          <w:ilvl w:val="0"/>
          <w:numId w:val="2"/>
        </w:numPr>
        <w:spacing w:after="100" w:line="290"/>
      </w:pPr>
      <w:r>
        <w:rPr>
          <w:rFonts w:ascii="Archivo" w:cs="Archivo" w:eastAsia="Archivo" w:hAnsi="Archivo"/>
          <w:sz w:val="21"/>
          <w:szCs w:val="21"/>
        </w:rPr>
        <w:t xml:space="preserve">3. ¿Existe prueba de la preexistencia de los objetos desaparecidos (facturas, fotografías, tasaciones)?</w:t>
      </w:r>
    </w:p>
    <w:p>
      <w:pPr>
        <w:pStyle w:val="ListParagraph"/>
        <w:numPr>
          <w:ilvl w:val="0"/>
          <w:numId w:val="2"/>
        </w:numPr>
        <w:spacing w:after="100" w:line="290"/>
      </w:pPr>
      <w:r>
        <w:rPr>
          <w:rFonts w:ascii="Archivo" w:cs="Archivo" w:eastAsia="Archivo" w:hAnsi="Archivo"/>
          <w:sz w:val="21"/>
          <w:szCs w:val="21"/>
        </w:rPr>
        <w:t xml:space="preserve">4. ¿Se han conservado los restos y objetos dañados para su inspección?</w:t>
      </w:r>
    </w:p>
    <w:p>
      <w:pPr>
        <w:pStyle w:val="ListParagraph"/>
        <w:numPr>
          <w:ilvl w:val="0"/>
          <w:numId w:val="2"/>
        </w:numPr>
        <w:spacing w:after="100" w:line="290"/>
      </w:pPr>
      <w:r>
        <w:rPr>
          <w:rFonts w:ascii="Archivo" w:cs="Archivo" w:eastAsia="Archivo" w:hAnsi="Archivo"/>
          <w:sz w:val="21"/>
          <w:szCs w:val="21"/>
        </w:rPr>
        <w:t xml:space="preserve">5. ¿Existen indicios de intervención de terceros? En tal caso, ¿cuál es su vinculación con el asegurado?</w:t>
      </w:r>
    </w:p>
    <w:p>
      <w:pPr>
        <w:pStyle w:val="ListParagraph"/>
        <w:numPr>
          <w:ilvl w:val="0"/>
          <w:numId w:val="2"/>
        </w:numPr>
        <w:spacing w:after="100" w:line="290"/>
      </w:pPr>
      <w:r>
        <w:rPr>
          <w:rFonts w:ascii="Archivo" w:cs="Archivo" w:eastAsia="Archivo" w:hAnsi="Archivo"/>
          <w:sz w:val="21"/>
          <w:szCs w:val="21"/>
        </w:rPr>
        <w:t xml:space="preserve">6. ¿Se comunicaron a la aseguradora traslados temporales del contenido asegurado?</w:t>
      </w:r>
    </w:p>
    <w:p>
      <w:pPr>
        <w:pStyle w:val="ListParagraph"/>
        <w:numPr>
          <w:ilvl w:val="0"/>
          <w:numId w:val="2"/>
        </w:numPr>
        <w:spacing w:after="100" w:line="290"/>
      </w:pPr>
      <w:r>
        <w:rPr>
          <w:rFonts w:ascii="Archivo" w:cs="Archivo" w:eastAsia="Archivo" w:hAnsi="Archivo"/>
          <w:sz w:val="21"/>
          <w:szCs w:val="21"/>
        </w:rPr>
        <w:t xml:space="preserve">7. ¿Se ha verificado la cobertura efectiva de objetos de valor mediante pacto expreso?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6. </w:t>
      </w:r>
      <w:r>
        <w:rPr>
          <w:rFonts w:ascii="Fraunces" w:cs="Fraunces" w:eastAsia="Fraunces" w:hAnsi="Fraunces"/>
          <w:b/>
          <w:bCs/>
          <w:color w:val="0A2540"/>
          <w:sz w:val="30"/>
          <w:szCs w:val="30"/>
        </w:rPr>
        <w:t xml:space="preserve">Daños por agua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Una cobertura sin régimen legal propio: la remisión al clausulado</w:t>
            </w:r>
          </w:p>
          <w:p>
            <w:pPr>
              <w:spacing w:after="40" w:line="260"/>
            </w:pPr>
            <w:r>
              <w:rPr>
                <w:rFonts w:ascii="Archivo" w:cs="Archivo" w:eastAsia="Archivo" w:hAnsi="Archivo"/>
                <w:sz w:val="18"/>
                <w:szCs w:val="18"/>
              </w:rPr>
              <w:t xml:space="preserve">6.2. Tipología de siniestros de agua en el seguro de hogar</w:t>
            </w:r>
          </w:p>
          <w:p>
            <w:pPr>
              <w:spacing w:after="40" w:line="260"/>
            </w:pPr>
            <w:r>
              <w:rPr>
                <w:rFonts w:ascii="Archivo" w:cs="Archivo" w:eastAsia="Archivo" w:hAnsi="Archivo"/>
                <w:sz w:val="18"/>
                <w:szCs w:val="18"/>
              </w:rPr>
              <w:t xml:space="preserve">6.3. La causa del daño como campo de batalla: vicio, desgaste y falta de mantenimiento</w:t>
            </w:r>
          </w:p>
          <w:p>
            <w:pPr>
              <w:spacing w:after="40" w:line="260"/>
            </w:pPr>
            <w:r>
              <w:rPr>
                <w:rFonts w:ascii="Archivo" w:cs="Archivo" w:eastAsia="Archivo" w:hAnsi="Archivo"/>
                <w:sz w:val="18"/>
                <w:szCs w:val="18"/>
              </w:rPr>
              <w:t xml:space="preserve">6.4. Daños entre vecinos y comunidades de propietarios: elementos privativos y comunes</w:t>
            </w:r>
          </w:p>
          <w:p>
            <w:pPr>
              <w:spacing w:after="40" w:line="260"/>
            </w:pPr>
            <w:r>
              <w:rPr>
                <w:rFonts w:ascii="Archivo" w:cs="Archivo" w:eastAsia="Archivo" w:hAnsi="Archivo"/>
                <w:sz w:val="18"/>
                <w:szCs w:val="18"/>
              </w:rPr>
              <w:t xml:space="preserve">6.5. Concurrencia de seguros en el ámbito del arrendamiento y la propiedad horizontal</w:t>
            </w:r>
          </w:p>
          <w:p>
            <w:pPr>
              <w:spacing w:after="40" w:line="260"/>
            </w:pPr>
            <w:r>
              <w:rPr>
                <w:rFonts w:ascii="Archivo" w:cs="Archivo" w:eastAsia="Archivo" w:hAnsi="Archivo"/>
                <w:sz w:val="18"/>
                <w:szCs w:val="18"/>
              </w:rPr>
              <w:t xml:space="preserve">6.6. Daños continuados y determinación del dies a quo</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gestión de un siniestro de daños por agua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Los daños por agua constituyen, en volumen de siniestros, la primera causa de reclamación en el seguro de hogar español, pese a carecer de régimen legal propio en la LCS: su tratamiento jurídico se construye enteramente sobre el clausulado contractual, el régimen general del seguro de daños y la jurisprudencia sobre concurrencia de seguros y responsabilidad civil en la propiedad horizontal. El capítulo sistematiza los criterios aplicados por la Sala Primera del Tribunal Supremo a la atribución de causas, a la concurrencia de pólizas entre propietario y arrendatario, y a la determinación del dies a quo en los daños de producción continuada.</w:t>
            </w:r>
          </w:p>
          <w:p>
            <w:pPr>
              <w:spacing w:after="160"/>
            </w:pPr>
            <w:r>
              <w:rPr>
                <w:rFonts w:ascii="Archivo" w:cs="Archivo" w:eastAsia="Archivo" w:hAnsi="Archivo"/>
                <w:b/>
                <w:bCs/>
                <w:sz w:val="17"/>
                <w:szCs w:val="17"/>
              </w:rPr>
              <w:t xml:space="preserve">Palabras clave: daños por agua, propiedad horizontal, concurrencia de seguros, art. 32 LCS, daño continuado, prescripción.</w:t>
            </w:r>
          </w:p>
          <w:p>
            <w:pPr>
              <w:spacing w:after="100"/>
              <w:jc w:val="both"/>
            </w:pPr>
            <w:r>
              <w:rPr>
                <w:rFonts w:ascii="Archivo" w:cs="Archivo" w:eastAsia="Archivo" w:hAnsi="Archivo"/>
                <w:i/>
                <w:iCs/>
                <w:sz w:val="18"/>
                <w:szCs w:val="18"/>
              </w:rPr>
              <w:t xml:space="preserve">Water damage claims are, by volume, the leading cause of homeowners' insurance claims in Spain, despite lacking a dedicated statutory regime under the Insurance Contract Act: their legal treatment rests entirely on policy wording, the general rules on indemnity insurance, and case law on concurrent insurance and condominium liability. This chapter systematises the criteria applied by the Supreme Court to causation disputes, to the concurrence of landlord and tenant policies, and to the starting point for limitation in cases of continuing damage.</w:t>
            </w:r>
          </w:p>
          <w:p>
            <w:pPr>
              <w:spacing w:after="0"/>
            </w:pPr>
            <w:r>
              <w:rPr>
                <w:rFonts w:ascii="Archivo" w:cs="Archivo" w:eastAsia="Archivo" w:hAnsi="Archivo"/>
                <w:b/>
                <w:bCs/>
                <w:sz w:val="17"/>
                <w:szCs w:val="17"/>
              </w:rPr>
              <w:t xml:space="preserve">Keywords: water damage, condominium liability, concurrent insurance, continuing damage, limitation period.</w:t>
            </w:r>
          </w:p>
        </w:tc>
      </w:tr>
    </w:tbl>
    <w:p>
      <w:pPr>
        <w:spacing w:after="200"/>
      </w:pPr>
    </w:p>
    <w:p>
      <w:pPr>
        <w:pStyle w:val="Heading2"/>
        <w:spacing w:after="160" w:before="400"/>
      </w:pPr>
      <w:r>
        <w:rPr>
          <w:rFonts w:ascii="Fraunces" w:cs="Fraunces" w:eastAsia="Fraunces" w:hAnsi="Fraunces"/>
          <w:b/>
          <w:bCs/>
          <w:color w:val="0A2540"/>
          <w:sz w:val="24"/>
          <w:szCs w:val="24"/>
        </w:rPr>
        <w:t xml:space="preserve">6.1. Una cobertura sin régimen legal propio: la remisión al clausulado</w:t>
      </w:r>
    </w:p>
    <w:p>
      <w:pPr>
        <w:spacing w:after="180" w:line="300"/>
        <w:jc w:val="both"/>
      </w:pPr>
      <w:r>
        <w:rPr>
          <w:rFonts w:ascii="Archivo" w:cs="Archivo" w:eastAsia="Archivo" w:hAnsi="Archivo"/>
          <w:sz w:val="21"/>
          <w:szCs w:val="21"/>
        </w:rPr>
        <w:t xml:space="preserve">A diferencia del incendio y del robo, la LCS no dedica un régimen específico a los daños por agua: se trata de una garantía de creación puramente contractual, nacida de la práctica aseguradora y hoy universalmente incorporada a las pólizas de hogar como una de sus coberturas troncales</w:t>
      </w:r>
      <w:r>
        <w:rPr>
          <w:rStyle w:val="FootnoteReference"/>
        </w:rPr>
        <w:footnoteReference w:id="16"/>
      </w:r>
      <w:r>
        <w:rPr>
          <w:rFonts w:ascii="Archivo" w:cs="Archivo" w:eastAsia="Archivo" w:hAnsi="Archivo"/>
          <w:sz w:val="21"/>
          <w:szCs w:val="21"/>
        </w:rPr>
        <w:t xml:space="preserve">. Esta circunstancia tiene una consecuencia metodológica de primer orden: el alcance exacto de la cobertura de daños por agua debe reconstruirse, en cada caso, a partir de las condiciones generales y particulares de la póliza concreta, sometidas al régimen general de los arts. 1 a 44 LCS y, en particular, a la distinción entre cláusulas delimitadoras y limitativas estudiada en los capítulos 1 y 4.</w:t>
      </w:r>
    </w:p>
    <w:p>
      <w:pPr>
        <w:spacing w:after="180" w:line="300"/>
        <w:jc w:val="both"/>
      </w:pPr>
      <w:r>
        <w:rPr>
          <w:rFonts w:ascii="Archivo" w:cs="Archivo" w:eastAsia="Archivo" w:hAnsi="Archivo"/>
          <w:sz w:val="21"/>
          <w:szCs w:val="21"/>
        </w:rPr>
        <w:t xml:space="preserve">La práctica aseguradora española distingue, dentro de esta garantía genérica, varias submodalidades que conviene identificar al leer una póliza: daños por agua propiamente dichos (rotura, fuga o desbordamiento de instalaciones fijas de suministro, calefacción o evacuación), daños estéticos derivados de humedades, búsqueda y reparación de la avería causante (garantía frecuentemente sujeta a sublímite propio) y responsabilidad civil frente a terceros por daños de agua causados desde la vivienda asegurada.</w:t>
      </w:r>
    </w:p>
    <w:p>
      <w:pPr>
        <w:pStyle w:val="Heading2"/>
        <w:spacing w:after="160" w:before="400"/>
      </w:pPr>
      <w:r>
        <w:rPr>
          <w:rFonts w:ascii="Fraunces" w:cs="Fraunces" w:eastAsia="Fraunces" w:hAnsi="Fraunces"/>
          <w:b/>
          <w:bCs/>
          <w:color w:val="0A2540"/>
          <w:sz w:val="24"/>
          <w:szCs w:val="24"/>
        </w:rPr>
        <w:t xml:space="preserve">6.2. Tipología de siniestros de agua en el seguro de hogar</w:t>
      </w:r>
    </w:p>
    <w:p>
      <w:pPr>
        <w:pStyle w:val="ListParagraph"/>
        <w:numPr>
          <w:ilvl w:val="0"/>
          <w:numId w:val="2"/>
        </w:numPr>
        <w:spacing w:after="100" w:line="290"/>
      </w:pPr>
      <w:r>
        <w:rPr>
          <w:rFonts w:ascii="Archivo" w:cs="Archivo" w:eastAsia="Archivo" w:hAnsi="Archivo"/>
          <w:b/>
          <w:bCs/>
          <w:sz w:val="21"/>
          <w:szCs w:val="21"/>
        </w:rPr>
        <w:t xml:space="preserve">Rotura de tuberías y accesorios: </w:t>
      </w:r>
      <w:r>
        <w:rPr>
          <w:rFonts w:ascii="Archivo" w:cs="Archivo" w:eastAsia="Archivo" w:hAnsi="Archivo"/>
          <w:sz w:val="21"/>
          <w:szCs w:val="21"/>
        </w:rPr>
        <w:t xml:space="preserve">la causa más frecuente; puede afectar a instalaciones propias (privativas) o comunes, con las consecuencias sobre legitimación pasiva que se estudian en el epígrafe 6.4.</w:t>
      </w:r>
    </w:p>
    <w:p>
      <w:pPr>
        <w:pStyle w:val="ListParagraph"/>
        <w:numPr>
          <w:ilvl w:val="0"/>
          <w:numId w:val="2"/>
        </w:numPr>
        <w:spacing w:after="100" w:line="290"/>
      </w:pPr>
      <w:r>
        <w:rPr>
          <w:rFonts w:ascii="Archivo" w:cs="Archivo" w:eastAsia="Archivo" w:hAnsi="Archivo"/>
          <w:b/>
          <w:bCs/>
          <w:sz w:val="21"/>
          <w:szCs w:val="21"/>
        </w:rPr>
        <w:t xml:space="preserve">Filtraciones por cubierta o fachada: </w:t>
      </w:r>
      <w:r>
        <w:rPr>
          <w:rFonts w:ascii="Archivo" w:cs="Archivo" w:eastAsia="Archivo" w:hAnsi="Archivo"/>
          <w:sz w:val="21"/>
          <w:szCs w:val="21"/>
        </w:rPr>
        <w:t xml:space="preserve">frecuentemente calificadas contractualmente como «humedades» y sometidas a exclusiones específicas, distintas de la rotura súbita y accidental de una instalación (capítulo 12).</w:t>
      </w:r>
    </w:p>
    <w:p>
      <w:pPr>
        <w:pStyle w:val="ListParagraph"/>
        <w:numPr>
          <w:ilvl w:val="0"/>
          <w:numId w:val="2"/>
        </w:numPr>
        <w:spacing w:after="100" w:line="290"/>
      </w:pPr>
      <w:r>
        <w:rPr>
          <w:rFonts w:ascii="Archivo" w:cs="Archivo" w:eastAsia="Archivo" w:hAnsi="Archivo"/>
          <w:b/>
          <w:bCs/>
          <w:sz w:val="21"/>
          <w:szCs w:val="21"/>
        </w:rPr>
        <w:t xml:space="preserve">Desbordamiento de electrodomésticos: </w:t>
      </w:r>
      <w:r>
        <w:rPr>
          <w:rFonts w:ascii="Archivo" w:cs="Archivo" w:eastAsia="Archivo" w:hAnsi="Archivo"/>
          <w:sz w:val="21"/>
          <w:szCs w:val="21"/>
        </w:rPr>
        <w:t xml:space="preserve">lavadoras, lavavajillas y calentadores, generalmente cubiertos como supuesto asimilado al daño por agua propiamente dicho.</w:t>
      </w:r>
    </w:p>
    <w:p>
      <w:pPr>
        <w:pStyle w:val="ListParagraph"/>
        <w:numPr>
          <w:ilvl w:val="0"/>
          <w:numId w:val="2"/>
        </w:numPr>
        <w:spacing w:after="100" w:line="290"/>
      </w:pPr>
      <w:r>
        <w:rPr>
          <w:rFonts w:ascii="Archivo" w:cs="Archivo" w:eastAsia="Archivo" w:hAnsi="Archivo"/>
          <w:b/>
          <w:bCs/>
          <w:sz w:val="21"/>
          <w:szCs w:val="21"/>
        </w:rPr>
        <w:t xml:space="preserve">Daños causados a terceros (a la vivienda inferior o colindante): </w:t>
      </w:r>
      <w:r>
        <w:rPr>
          <w:rFonts w:ascii="Archivo" w:cs="Archivo" w:eastAsia="Archivo" w:hAnsi="Archivo"/>
          <w:sz w:val="21"/>
          <w:szCs w:val="21"/>
        </w:rPr>
        <w:t xml:space="preserve">activan, simultáneamente, la cobertura de daños propios del causante (si la tiene) y su cobertura de responsabilidad civil de cabeza de familia (capítulo 9), lo que exige coordinar dos garantías de la misma póliza.</w:t>
      </w:r>
    </w:p>
    <w:p>
      <w:pPr>
        <w:pStyle w:val="Heading2"/>
        <w:spacing w:after="160" w:before="400"/>
      </w:pPr>
      <w:r>
        <w:rPr>
          <w:rFonts w:ascii="Fraunces" w:cs="Fraunces" w:eastAsia="Fraunces" w:hAnsi="Fraunces"/>
          <w:b/>
          <w:bCs/>
          <w:color w:val="0A2540"/>
          <w:sz w:val="24"/>
          <w:szCs w:val="24"/>
        </w:rPr>
        <w:t xml:space="preserve">6.3. La causa del daño como campo de batalla: vicio, desgaste y falta de mantenimiento</w:t>
      </w:r>
    </w:p>
    <w:p>
      <w:pPr>
        <w:spacing w:after="180" w:line="300"/>
        <w:jc w:val="both"/>
      </w:pPr>
      <w:r>
        <w:rPr>
          <w:rFonts w:ascii="Archivo" w:cs="Archivo" w:eastAsia="Archivo" w:hAnsi="Archivo"/>
          <w:sz w:val="21"/>
          <w:szCs w:val="21"/>
        </w:rPr>
        <w:t xml:space="preserve">La práctica totalidad de la litigiosidad en materia de daños por agua gira en torno a la causa del siniestro, porque las condiciones generales excluyen de forma prácticamente universal los daños derivados del simple desgaste, la falta de mantenimiento o el vicio propio de las instalaciones, reservando la cobertura a la rotura súbita y accidental. La correcta calificación de esta exclusión —delimitadora en su formulación típica, potencialmente limitativa si se aplica de forma extensiva y sorpresiva— exige aplicar sistemáticamente la metodología fijada en el capítulo 4: verificar si la cláusula de exclusión fue destacada y, en caso de duda razonable sobre si el daño obedece a una rotura súbita o a un desgaste progresivo, proyectar la regla contra proferentem del art. 1288 CC a favor del asegurado.</w:t>
      </w:r>
    </w:p>
    <w:p>
      <w:pPr>
        <w:spacing w:after="180" w:line="300"/>
        <w:jc w:val="both"/>
      </w:pPr>
      <w:r>
        <w:rPr>
          <w:rFonts w:ascii="Archivo" w:cs="Archivo" w:eastAsia="Archivo" w:hAnsi="Archivo"/>
          <w:sz w:val="21"/>
          <w:szCs w:val="21"/>
        </w:rPr>
        <w:t xml:space="preserve">En la práctica pericial, esta distinción exige normalmente un informe técnico que determine si la causa generadora fue un evento puntual (por ejemplo, la rotura de una junta o de un latiguillo de conexión) o un proceso de deterioro prolongado (por ejemplo, la corrosión generalizada de una red de fontanería envejecida), correspondiendo a la aseguradora, cuando invoca la exclusión, acreditar cumplidamente que el segundo supuesto es el que concurre.</w:t>
      </w:r>
    </w:p>
    <w:p>
      <w:pPr>
        <w:pStyle w:val="Heading2"/>
        <w:spacing w:after="160" w:before="400"/>
      </w:pPr>
      <w:r>
        <w:rPr>
          <w:rFonts w:ascii="Fraunces" w:cs="Fraunces" w:eastAsia="Fraunces" w:hAnsi="Fraunces"/>
          <w:b/>
          <w:bCs/>
          <w:color w:val="0A2540"/>
          <w:sz w:val="24"/>
          <w:szCs w:val="24"/>
        </w:rPr>
        <w:t xml:space="preserve">6.4. Daños entre vecinos y comunidades de propietarios: elementos privativos y comunes</w:t>
      </w:r>
    </w:p>
    <w:p>
      <w:pPr>
        <w:spacing w:after="180" w:line="300"/>
        <w:jc w:val="both"/>
      </w:pPr>
      <w:r>
        <w:rPr>
          <w:rFonts w:ascii="Archivo" w:cs="Archivo" w:eastAsia="Archivo" w:hAnsi="Archivo"/>
          <w:sz w:val="21"/>
          <w:szCs w:val="21"/>
        </w:rPr>
        <w:t xml:space="preserve">Cuando el daño por agua se origina en un elemento común del edificio (bajantes, columnas generales, cubierta) y afecta a una vivienda privativa, se plantea la cuestión de la responsabilidad de la comunidad de propietarios, regida por el art. 10 LPH (deber de conservación de elementos comunes) en conexión con el art. 1902 CC. La jurisprudencia reconoce en estos supuestos la posibilidad de daños de producción continuada, cuya trascendencia sobre el cómputo de la prescripción es notable</w:t>
      </w:r>
      <w:r>
        <w:rPr>
          <w:rStyle w:val="FootnoteReference"/>
        </w:rPr>
        <w:footnoteReference w:id="17"/>
      </w:r>
      <w:r>
        <w:rPr>
          <w:rFonts w:ascii="Archivo" w:cs="Archivo" w:eastAsia="Archivo" w:hAnsi="Archivo"/>
          <w:sz w:val="21"/>
          <w:szCs w:val="21"/>
        </w:rPr>
        <w:t xml:space="preserve">, como ilustra la STS, Sala de lo Civil, de 20 de febrero de 2019 (ROJ: STS 511/2019; ECLI:ES:TS:2019:511; MP: Salas Carceller), referida a filtraciones desde elementos comunes de un edificio a una vivienda privativa: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febrero de 2019 (ROJ: STS 511/2019; ECLI:ES:TS:2019:511; MP: Salas Carceller)</w:t>
            </w:r>
          </w:p>
          <w:p>
            <w:pPr>
              <w:spacing w:after="0" w:line="280"/>
              <w:jc w:val="both"/>
            </w:pPr>
            <w:r>
              <w:rPr>
                <w:rFonts w:ascii="Archivo" w:cs="Archivo" w:eastAsia="Archivo" w:hAnsi="Archivo"/>
                <w:color w:val="0A2540"/>
                <w:sz w:val="19"/>
                <w:szCs w:val="19"/>
              </w:rPr>
              <w:t xml:space="preserve">«En los casos de daños continuados o de producción sucesiva no se inicia el cómputo del plazo de prescripción hasta la consolidación del definitivo resultado [...]. El artículo 1969 CC establece que el comienzo del plazo de la prescripción coincide con el momento en que la acción ‘pudo ejercitarse’, para lo que no basta el conocimiento del daño sino que es necesario, además, que se conozca la identidad del responsable del mismo a efectos de poder ejercer adecuadamente la acción.»</w:t>
            </w:r>
          </w:p>
        </w:tc>
      </w:tr>
    </w:tbl>
    <w:p>
      <w:pPr>
        <w:spacing w:after="180" w:line="300"/>
        <w:jc w:val="both"/>
      </w:pPr>
      <w:r>
        <w:rPr>
          <w:rFonts w:ascii="Archivo" w:cs="Archivo" w:eastAsia="Archivo" w:hAnsi="Archivo"/>
          <w:sz w:val="21"/>
          <w:szCs w:val="21"/>
        </w:rPr>
        <w:t xml:space="preserve">Aunque esta sentencia resuelve una acción de responsabilidad civil contra la comunidad —no una reclamación frente a la aseguradora—, su doctrina es directamente relevante para el profesional del seguro de hogar por una doble vía: de un lado, orienta el ejercicio de la acción de subrogación que la aseguradora del propietario afectado puede dirigir contra la comunidad o contra el propietario del elemento causante tras indemnizar a su asegurado (art. 43 LCS); de otro, ilustra la importancia de fijar con precisión, mediante prueba pericial, el momento de consolidación del daño cuando este se prolonga en el tiempo, cuestión que se retoma en el capítulo 18 al tratar la prescripción de la acción derivada del propio contrato de seguro.</w:t>
      </w:r>
    </w:p>
    <w:p>
      <w:pPr>
        <w:pStyle w:val="Heading2"/>
        <w:spacing w:after="160" w:before="400"/>
      </w:pPr>
      <w:r>
        <w:rPr>
          <w:rFonts w:ascii="Fraunces" w:cs="Fraunces" w:eastAsia="Fraunces" w:hAnsi="Fraunces"/>
          <w:b/>
          <w:bCs/>
          <w:color w:val="0A2540"/>
          <w:sz w:val="24"/>
          <w:szCs w:val="24"/>
        </w:rPr>
        <w:t xml:space="preserve">6.5. Concurrencia de seguros en el ámbito del arrendamiento y la propiedad horizontal</w:t>
      </w:r>
    </w:p>
    <w:p>
      <w:pPr>
        <w:spacing w:after="180" w:line="300"/>
        <w:jc w:val="both"/>
      </w:pPr>
      <w:r>
        <w:rPr>
          <w:rFonts w:ascii="Archivo" w:cs="Archivo" w:eastAsia="Archivo" w:hAnsi="Archivo"/>
          <w:sz w:val="21"/>
          <w:szCs w:val="21"/>
        </w:rPr>
        <w:t xml:space="preserve">Es habitual que sobre un mismo inmueble arrendado concurran dos pólizas de daños: la del propietario-arrendador (que asegura el continente) y la del arrendatario (que asegura el contenido y, en ocasiones, su responsabilidad civil como ocupante). Un supuesto similar se produce entre el seguro individual del propietario y el seguro de la comunidad en régimen de propiedad horizontal. El artículo 32 LCS, que regula la concurrencia de seguros, exige identidad de tomador, lo que en rigor excluiría su aplicación literal a estos casos; sin embargo, el Tribunal Supremo ha extendido el principio indemnizatorio subyacente —la prohibición de enriquecimiento mediante el seguro— a estos supuestos de pluralidad de aseguradores con distintos tomadores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32 LCS (extracto)</w:t>
            </w:r>
          </w:p>
          <w:p>
            <w:pPr>
              <w:spacing w:after="0" w:line="280"/>
              <w:jc w:val="both"/>
            </w:pPr>
            <w:r>
              <w:rPr>
                <w:rFonts w:ascii="IBM Plex Mono" w:cs="IBM Plex Mono" w:eastAsia="IBM Plex Mono" w:hAnsi="IBM Plex Mono"/>
                <w:i/>
                <w:iCs/>
                <w:color w:val="0A2540"/>
                <w:sz w:val="18"/>
                <w:szCs w:val="18"/>
              </w:rPr>
              <w:t xml:space="preserve">Cuando en dos o más contratos estipulados por el mismo tomador con distintos aseguradores se cubran los efectos que un mismo riesgo puede producir sobre el mismo interés y durante idéntico período de tiempo [...] los aseguradores contribuirán al abono de la indemnización en proporción a la propia suma asegurada, sin que pueda superarse la cuantía del daño.</w:t>
            </w:r>
          </w:p>
        </w:tc>
      </w:tr>
    </w:tbl>
    <w:p>
      <w:pPr>
        <w:spacing w:after="180" w:line="300"/>
        <w:jc w:val="both"/>
      </w:pPr>
      <w:r>
        <w:rPr>
          <w:rFonts w:ascii="Archivo" w:cs="Archivo" w:eastAsia="Archivo" w:hAnsi="Archivo"/>
          <w:sz w:val="21"/>
          <w:szCs w:val="21"/>
        </w:rPr>
        <w:t xml:space="preserve">La STS, Sala de lo Civil, de 25 de marzo de 2025 (ROJ: STS 1227/2025; ECLI:ES:TS:2025:1227; MP: Vela Torres), referida precisamente a la concurrencia entre el seguro del propietario-arrendador y el del arrendatario sobre un mismo inmueble, fija un criterio de gran utilidad práctica: la mera coincidencia física del bien asegurado no basta para apreciar concurrencia de seguros; es necesario, además, que exista coincidencia de riesgo y de interés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25 de marzo de 2025 (ROJ: STS 1227/2025; ECLI:ES:TS:2025:1227; MP: Vela Torres)</w:t>
            </w:r>
          </w:p>
          <w:p>
            <w:pPr>
              <w:spacing w:after="0" w:line="280"/>
              <w:jc w:val="both"/>
            </w:pPr>
            <w:r>
              <w:rPr>
                <w:rFonts w:ascii="Archivo" w:cs="Archivo" w:eastAsia="Archivo" w:hAnsi="Archivo"/>
                <w:color w:val="0A2540"/>
                <w:sz w:val="19"/>
                <w:szCs w:val="19"/>
              </w:rPr>
              <w:t xml:space="preserve">«Identidad o unicidad de tomador que, de por sí, excluye situaciones como la presente en la que sobre un mismo inmueble arrendado se conciertan dos pólizas de seguros de daños, una por parte del propietario arrendador y otra por el arrendatario [...]. Habrá que ver en cada caso qué es lo que estaba asegurado para determinar si existía tal coincidencia de riesgo, interés y simultaneidad temporal [...]. En determinados casos, generalmente coberturas concurrentes de elementos privativos de inmuebles en propiedad horizontal [...], es más fácil apreciar la identidad del riesgo y del interés asegurado. Pero en los casos de arrendamiento de inmuebles [...] el interés asegurado puede ser distinto [...]. Por ello, no cabe la distribución de la indemnización entre las dos compañías por no existir coincidencia de intereses asegurados.»</w:t>
            </w:r>
          </w:p>
        </w:tc>
      </w:tr>
    </w:tbl>
    <w:p>
      <w:pPr>
        <w:spacing w:after="180" w:line="300"/>
        <w:jc w:val="both"/>
      </w:pPr>
      <w:r>
        <w:rPr>
          <w:rFonts w:ascii="Archivo" w:cs="Archivo" w:eastAsia="Archivo" w:hAnsi="Archivo"/>
          <w:sz w:val="21"/>
          <w:szCs w:val="21"/>
        </w:rPr>
        <w:t xml:space="preserve">La regla práctica que se extrae es clara: ante un siniestro de agua que afecta a un inmueble con dos pólizas potencialmente concurrentes, el profesional debe comparar el objeto exacto de cada cobertura —qué asegura cada póliza y sobre qué interés— antes de asumir, sin más, que existe concurrencia de seguros y la consiguiente distribución proporcional del art. 32 LCS; en el caso de las coberturas de elementos privativos en régimen de propiedad horizontal, por el contrario, la identidad de riesgo e interés es normalmente más fácil de apreciar, con la consiguiente aplicación de la regla de contribución proporcional.</w:t>
      </w:r>
    </w:p>
    <w:p>
      <w:pPr>
        <w:pStyle w:val="Heading2"/>
        <w:spacing w:after="160" w:before="400"/>
      </w:pPr>
      <w:r>
        <w:rPr>
          <w:rFonts w:ascii="Fraunces" w:cs="Fraunces" w:eastAsia="Fraunces" w:hAnsi="Fraunces"/>
          <w:b/>
          <w:bCs/>
          <w:color w:val="0A2540"/>
          <w:sz w:val="24"/>
          <w:szCs w:val="24"/>
        </w:rPr>
        <w:t xml:space="preserve">6.6. Daños continuados y determinación del dies a quo</w:t>
      </w:r>
    </w:p>
    <w:p>
      <w:pPr>
        <w:spacing w:after="180" w:line="300"/>
        <w:jc w:val="both"/>
      </w:pPr>
      <w:r>
        <w:rPr>
          <w:rFonts w:ascii="Archivo" w:cs="Archivo" w:eastAsia="Archivo" w:hAnsi="Archivo"/>
          <w:sz w:val="21"/>
          <w:szCs w:val="21"/>
        </w:rPr>
        <w:t xml:space="preserve">La distinción entre daño permanente (de producción instantánea, aunque sus efectos se proyecten en el tiempo) y daño continuado (de producción sucesiva, sin consolidación hasta que cesa la causa generadora) resulta decisiva no solo para la prescripción de la acción de responsabilidad civil frente a terceros, sino también, de forma indirecta, para la correcta fijación de la fecha del siniestro a efectos del propio contrato de seguro: la determinación de qué póliza estaba en vigor cuando el daño se «produjo» —a efectos del art. 1 LCS— exige, en los siniestros de filtración lenta o de humedad progresiva, la misma prueba pericial sobre el momento de consolidación del resultado que exige la jurisprudencia sobre prescripción, por lo que ambas cuestiones deben abordarse conjuntamente desde el inicio del expediente.</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daños por agua</w:t>
            </w:r>
          </w:p>
          <w:p>
            <w:pPr>
              <w:pStyle w:val="ListParagraph"/>
              <w:numPr>
                <w:ilvl w:val="0"/>
                <w:numId w:val="2"/>
              </w:numPr>
              <w:spacing w:after="80" w:line="280"/>
            </w:pPr>
            <w:r>
              <w:rPr>
                <w:rFonts w:ascii="Archivo" w:cs="Archivo" w:eastAsia="Archivo" w:hAnsi="Archivo"/>
                <w:sz w:val="19"/>
                <w:szCs w:val="19"/>
              </w:rPr>
              <w:t xml:space="preserve">Determinar, mediante prueba pericial, si la causa es una rotura súbita y accidental (cubierta) o un desgaste/falta de mantenimiento (frecuentemente excluido), y exigir a la aseguradora la acreditación cumplida de la exclusión que invoque.</w:t>
            </w:r>
          </w:p>
          <w:p>
            <w:pPr>
              <w:pStyle w:val="ListParagraph"/>
              <w:numPr>
                <w:ilvl w:val="0"/>
                <w:numId w:val="2"/>
              </w:numPr>
              <w:spacing w:after="80" w:line="280"/>
            </w:pPr>
            <w:r>
              <w:rPr>
                <w:rFonts w:ascii="Archivo" w:cs="Archivo" w:eastAsia="Archivo" w:hAnsi="Archivo"/>
                <w:sz w:val="19"/>
                <w:szCs w:val="19"/>
              </w:rPr>
              <w:t xml:space="preserve">Identificar si el origen está en un elemento privativo o común, para dirigir correctamente la reclamación (aseguradora propia, aseguradora de la comunidad, o ambas mediante subrogación posterior).</w:t>
            </w:r>
          </w:p>
          <w:p>
            <w:pPr>
              <w:pStyle w:val="ListParagraph"/>
              <w:numPr>
                <w:ilvl w:val="0"/>
                <w:numId w:val="2"/>
              </w:numPr>
              <w:spacing w:after="80" w:line="280"/>
            </w:pPr>
            <w:r>
              <w:rPr>
                <w:rFonts w:ascii="Archivo" w:cs="Archivo" w:eastAsia="Archivo" w:hAnsi="Archivo"/>
                <w:sz w:val="19"/>
                <w:szCs w:val="19"/>
              </w:rPr>
              <w:t xml:space="preserve">Ante una posible concurrencia de seguros (propietario/arrendatario o propietario/comunidad), verificar la identidad de riesgo e interés asegurado conforme a la doctrina de la STS 1227/2025 (ROJ: STS 1227/2025) antes de aplicar automáticamente la regla de contribución proporcional del art. 32 LCS.</w:t>
            </w:r>
          </w:p>
          <w:p>
            <w:pPr>
              <w:pStyle w:val="ListParagraph"/>
              <w:numPr>
                <w:ilvl w:val="0"/>
                <w:numId w:val="2"/>
              </w:numPr>
              <w:spacing w:after="80" w:line="280"/>
            </w:pPr>
            <w:r>
              <w:rPr>
                <w:rFonts w:ascii="Archivo" w:cs="Archivo" w:eastAsia="Archivo" w:hAnsi="Archivo"/>
                <w:sz w:val="19"/>
                <w:szCs w:val="19"/>
              </w:rPr>
              <w:t xml:space="preserve">En daños de filtración lenta o humedad progresiva, fijar con prueba pericial el momento de consolidación del resultado dañoso, relevante tanto para la vigencia de la póliza aplicable como para el cómputo de plazos de prescripción (capítulo 18).</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ante una gotera o filtración en su vivienda</w:t>
            </w:r>
          </w:p>
          <w:p>
            <w:pPr>
              <w:pStyle w:val="ListParagraph"/>
              <w:numPr>
                <w:ilvl w:val="0"/>
                <w:numId w:val="2"/>
              </w:numPr>
              <w:spacing w:after="80" w:line="280"/>
            </w:pPr>
            <w:r>
              <w:rPr>
                <w:rFonts w:ascii="Archivo" w:cs="Archivo" w:eastAsia="Archivo" w:hAnsi="Archivo"/>
                <w:sz w:val="19"/>
                <w:szCs w:val="19"/>
              </w:rPr>
              <w:t xml:space="preserve">Corte el suministro de agua en la zona afectada si es posible, para minimizar el daño, y fotografíe el estado inicial antes de cualquier reparación.</w:t>
            </w:r>
          </w:p>
          <w:p>
            <w:pPr>
              <w:pStyle w:val="ListParagraph"/>
              <w:numPr>
                <w:ilvl w:val="0"/>
                <w:numId w:val="2"/>
              </w:numPr>
              <w:spacing w:after="80" w:line="280"/>
            </w:pPr>
            <w:r>
              <w:rPr>
                <w:rFonts w:ascii="Archivo" w:cs="Archivo" w:eastAsia="Archivo" w:hAnsi="Archivo"/>
                <w:sz w:val="19"/>
                <w:szCs w:val="19"/>
              </w:rPr>
              <w:t xml:space="preserve">Comunique el siniestro a su aseguradora y, si sospecha que el origen está en la vivienda de un vecino o en un elemento común, comuníqueselo también a la comunidad de propietarios.</w:t>
            </w:r>
          </w:p>
          <w:p>
            <w:pPr>
              <w:pStyle w:val="ListParagraph"/>
              <w:numPr>
                <w:ilvl w:val="0"/>
                <w:numId w:val="2"/>
              </w:numPr>
              <w:spacing w:after="80" w:line="280"/>
            </w:pPr>
            <w:r>
              <w:rPr>
                <w:rFonts w:ascii="Archivo" w:cs="Archivo" w:eastAsia="Archivo" w:hAnsi="Archivo"/>
                <w:sz w:val="19"/>
                <w:szCs w:val="19"/>
              </w:rPr>
              <w:t xml:space="preserve">No repare de forma definitiva la avería antes de que el perito de la aseguradora la examine, salvo urgencia para evitar daños mayores, en cuyo caso documente todo con fotografías y, si es posible, informe técnico previo.</w:t>
            </w:r>
          </w:p>
          <w:p>
            <w:pPr>
              <w:pStyle w:val="ListParagraph"/>
              <w:numPr>
                <w:ilvl w:val="0"/>
                <w:numId w:val="2"/>
              </w:numPr>
              <w:spacing w:after="80" w:line="280"/>
            </w:pPr>
            <w:r>
              <w:rPr>
                <w:rFonts w:ascii="Archivo" w:cs="Archivo" w:eastAsia="Archivo" w:hAnsi="Archivo"/>
                <w:sz w:val="19"/>
                <w:szCs w:val="19"/>
              </w:rPr>
              <w:t xml:space="preserve">Si le indican que el daño no está cubierto por «falta de mantenimiento», pida que se lo motiven por escrito y con base en un informe pericial: usted tiene derecho a conocer los motivos concretos de la denegación.</w:t>
            </w:r>
          </w:p>
        </w:tc>
      </w:tr>
    </w:tbl>
    <w:p>
      <w:pPr>
        <w:pStyle w:val="Heading2"/>
        <w:spacing w:after="160" w:before="400"/>
      </w:pPr>
      <w:r>
        <w:rPr>
          <w:rFonts w:ascii="Fraunces" w:cs="Fraunces" w:eastAsia="Fraunces" w:hAnsi="Fraunces"/>
          <w:b/>
          <w:bCs/>
          <w:color w:val="0A2540"/>
          <w:sz w:val="24"/>
          <w:szCs w:val="24"/>
        </w:rPr>
        <w:t xml:space="preserve">6.9. Checklist: gestión de un siniestro de daños por agua</w:t>
      </w:r>
    </w:p>
    <w:p>
      <w:pPr>
        <w:pStyle w:val="ListParagraph"/>
        <w:numPr>
          <w:ilvl w:val="0"/>
          <w:numId w:val="2"/>
        </w:numPr>
        <w:spacing w:after="100" w:line="290"/>
      </w:pPr>
      <w:r>
        <w:rPr>
          <w:rFonts w:ascii="Archivo" w:cs="Archivo" w:eastAsia="Archivo" w:hAnsi="Archivo"/>
          <w:sz w:val="21"/>
          <w:szCs w:val="21"/>
        </w:rPr>
        <w:t xml:space="preserve">1. ¿Cuál es la causa técnica identificada por el perito: rotura súbita o desgaste/falta de mantenimiento?</w:t>
      </w:r>
    </w:p>
    <w:p>
      <w:pPr>
        <w:pStyle w:val="ListParagraph"/>
        <w:numPr>
          <w:ilvl w:val="0"/>
          <w:numId w:val="2"/>
        </w:numPr>
        <w:spacing w:after="100" w:line="290"/>
      </w:pPr>
      <w:r>
        <w:rPr>
          <w:rFonts w:ascii="Archivo" w:cs="Archivo" w:eastAsia="Archivo" w:hAnsi="Archivo"/>
          <w:sz w:val="21"/>
          <w:szCs w:val="21"/>
        </w:rPr>
        <w:t xml:space="preserve">2. ¿El origen está en un elemento privativo o en un elemento común del edificio?</w:t>
      </w:r>
    </w:p>
    <w:p>
      <w:pPr>
        <w:pStyle w:val="ListParagraph"/>
        <w:numPr>
          <w:ilvl w:val="0"/>
          <w:numId w:val="2"/>
        </w:numPr>
        <w:spacing w:after="100" w:line="290"/>
      </w:pPr>
      <w:r>
        <w:rPr>
          <w:rFonts w:ascii="Archivo" w:cs="Archivo" w:eastAsia="Archivo" w:hAnsi="Archivo"/>
          <w:sz w:val="21"/>
          <w:szCs w:val="21"/>
        </w:rPr>
        <w:t xml:space="preserve">3. ¿Existen otras pólizas potencialmente concurrentes (arrendatario, comunidad)?</w:t>
      </w:r>
    </w:p>
    <w:p>
      <w:pPr>
        <w:pStyle w:val="ListParagraph"/>
        <w:numPr>
          <w:ilvl w:val="0"/>
          <w:numId w:val="2"/>
        </w:numPr>
        <w:spacing w:after="100" w:line="290"/>
      </w:pPr>
      <w:r>
        <w:rPr>
          <w:rFonts w:ascii="Archivo" w:cs="Archivo" w:eastAsia="Archivo" w:hAnsi="Archivo"/>
          <w:sz w:val="21"/>
          <w:szCs w:val="21"/>
        </w:rPr>
        <w:t xml:space="preserve">4. En caso de concurrencia, ¿existe identidad de riesgo e interés asegurado entre las pólizas?</w:t>
      </w:r>
    </w:p>
    <w:p>
      <w:pPr>
        <w:pStyle w:val="ListParagraph"/>
        <w:numPr>
          <w:ilvl w:val="0"/>
          <w:numId w:val="2"/>
        </w:numPr>
        <w:spacing w:after="100" w:line="290"/>
      </w:pPr>
      <w:r>
        <w:rPr>
          <w:rFonts w:ascii="Archivo" w:cs="Archivo" w:eastAsia="Archivo" w:hAnsi="Archivo"/>
          <w:sz w:val="21"/>
          <w:szCs w:val="21"/>
        </w:rPr>
        <w:t xml:space="preserve">5. ¿Se trata de un daño instantáneo o de un proceso de filtración/humedad progresiva?</w:t>
      </w:r>
    </w:p>
    <w:p>
      <w:pPr>
        <w:pStyle w:val="ListParagraph"/>
        <w:numPr>
          <w:ilvl w:val="0"/>
          <w:numId w:val="2"/>
        </w:numPr>
        <w:spacing w:after="100" w:line="290"/>
      </w:pPr>
      <w:r>
        <w:rPr>
          <w:rFonts w:ascii="Archivo" w:cs="Archivo" w:eastAsia="Archivo" w:hAnsi="Archivo"/>
          <w:sz w:val="21"/>
          <w:szCs w:val="21"/>
        </w:rPr>
        <w:t xml:space="preserve">6. ¿Está cubierta la garantía de localización y reparación de la avería, y con qué sublímite?</w:t>
      </w:r>
    </w:p>
    <w:p>
      <w:pPr>
        <w:pStyle w:val="ListParagraph"/>
        <w:numPr>
          <w:ilvl w:val="0"/>
          <w:numId w:val="2"/>
        </w:numPr>
        <w:spacing w:after="100" w:line="290"/>
      </w:pPr>
      <w:r>
        <w:rPr>
          <w:rFonts w:ascii="Archivo" w:cs="Archivo" w:eastAsia="Archivo" w:hAnsi="Archivo"/>
          <w:sz w:val="21"/>
          <w:szCs w:val="21"/>
        </w:rPr>
        <w:t xml:space="preserve">7. ¿Se ha comunicado el siniestro tanto a la propia aseguradora como, en su caso, a la comunidad de propietarios?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7. </w:t>
      </w:r>
      <w:r>
        <w:rPr>
          <w:rFonts w:ascii="Fraunces" w:cs="Fraunces" w:eastAsia="Fraunces" w:hAnsi="Fraunces"/>
          <w:b/>
          <w:bCs/>
          <w:color w:val="0A2540"/>
          <w:sz w:val="30"/>
          <w:szCs w:val="30"/>
        </w:rPr>
        <w:t xml:space="preserve">Robo, expoliación y hurto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7.1. El concepto legal de robo a efectos aseguraticios (art. 50 LCS)</w:t>
            </w:r>
          </w:p>
          <w:p>
            <w:pPr>
              <w:spacing w:after="40" w:line="260"/>
            </w:pPr>
            <w:r>
              <w:rPr>
                <w:rFonts w:ascii="Archivo" w:cs="Archivo" w:eastAsia="Archivo" w:hAnsi="Archivo"/>
                <w:sz w:val="18"/>
                <w:szCs w:val="18"/>
              </w:rPr>
              <w:t xml:space="preserve">7.2. Alcance de la indemnización (art. 51 LCS)</w:t>
            </w:r>
          </w:p>
          <w:p>
            <w:pPr>
              <w:spacing w:after="40" w:line="260"/>
            </w:pPr>
            <w:r>
              <w:rPr>
                <w:rFonts w:ascii="Archivo" w:cs="Archivo" w:eastAsia="Archivo" w:hAnsi="Archivo"/>
                <w:sz w:val="18"/>
                <w:szCs w:val="18"/>
              </w:rPr>
              <w:t xml:space="preserve">7.3. Causas legales de exoneración (art. 52 LCS)</w:t>
            </w:r>
          </w:p>
          <w:p>
            <w:pPr>
              <w:spacing w:after="40" w:line="260"/>
            </w:pPr>
            <w:r>
              <w:rPr>
                <w:rFonts w:ascii="Archivo" w:cs="Archivo" w:eastAsia="Archivo" w:hAnsi="Archivo"/>
                <w:sz w:val="18"/>
                <w:szCs w:val="18"/>
              </w:rPr>
              <w:t xml:space="preserve">7.4. La recuperación del objeto sustraído (art. 53 LCS)</w:t>
            </w:r>
          </w:p>
          <w:p>
            <w:pPr>
              <w:spacing w:after="40" w:line="260"/>
            </w:pPr>
            <w:r>
              <w:rPr>
                <w:rFonts w:ascii="Archivo" w:cs="Archivo" w:eastAsia="Archivo" w:hAnsi="Archivo"/>
                <w:sz w:val="18"/>
                <w:szCs w:val="18"/>
              </w:rPr>
              <w:t xml:space="preserve">7.5. Hurto y expoliación: la frontera con el robo en sentido técnico</w:t>
            </w:r>
          </w:p>
          <w:p>
            <w:pPr>
              <w:spacing w:after="40" w:line="260"/>
            </w:pPr>
            <w:r>
              <w:rPr>
                <w:rFonts w:ascii="Archivo" w:cs="Archivo" w:eastAsia="Archivo" w:hAnsi="Archivo"/>
                <w:sz w:val="18"/>
                <w:szCs w:val="18"/>
              </w:rPr>
              <w:t xml:space="preserve">7.6. La prueba del siniestro de robo</w:t>
            </w:r>
          </w:p>
          <w:p>
            <w:pPr>
              <w:spacing w:after="40" w:line="260"/>
            </w:pPr>
            <w:r>
              <w:rPr>
                <w:rFonts w:ascii="Archivo" w:cs="Archivo" w:eastAsia="Archivo" w:hAnsi="Archivo"/>
                <w:sz w:val="18"/>
                <w:szCs w:val="18"/>
              </w:rPr>
              <w:t xml:space="preserve">7.7. Ficha para el profesional</w:t>
            </w:r>
          </w:p>
          <w:p>
            <w:pPr>
              <w:spacing w:after="40" w:line="260"/>
            </w:pPr>
            <w:r>
              <w:rPr>
                <w:rFonts w:ascii="Archivo" w:cs="Archivo" w:eastAsia="Archivo" w:hAnsi="Archivo"/>
                <w:sz w:val="18"/>
                <w:szCs w:val="18"/>
              </w:rPr>
              <w:t xml:space="preserve">7.8. Ficha para el asegurado</w:t>
            </w:r>
          </w:p>
          <w:p>
            <w:pPr>
              <w:spacing w:after="40" w:line="260"/>
            </w:pPr>
            <w:r>
              <w:rPr>
                <w:rFonts w:ascii="Archivo" w:cs="Archivo" w:eastAsia="Archivo" w:hAnsi="Archivo"/>
                <w:sz w:val="18"/>
                <w:szCs w:val="18"/>
              </w:rPr>
              <w:t xml:space="preserve">7.9. Checklist: acreditación de un siniestro de robo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legal del seguro contra robo (arts. 50 a 53 LCS), de aplicación supletoria a la garantía homónima del seguro multirriesgo de hogar, con atención especial a las causas legales de exoneración del art. 52 LCS —negligencia grave del asegurado, sustracción fuera del lugar asegurado y sustracción con ocasión de riesgos extraordinarios— y a la problemática probatoria que domina la litigiosidad de esta cobertura, estructuralmente más compleja que la de incendio por la dificultad de acreditar la preexistencia y sustracción de los bienes reclamados.</w:t>
            </w:r>
          </w:p>
          <w:p>
            <w:pPr>
              <w:spacing w:after="160"/>
            </w:pPr>
            <w:r>
              <w:rPr>
                <w:rFonts w:ascii="Archivo" w:cs="Archivo" w:eastAsia="Archivo" w:hAnsi="Archivo"/>
                <w:b/>
                <w:bCs/>
                <w:sz w:val="17"/>
                <w:szCs w:val="17"/>
              </w:rPr>
              <w:t xml:space="preserve">Palabras clave: seguro de robo, art. 50 LCS, art. 52 LCS, hurto, expoliación, carga de la prueba, preexistencia.</w:t>
            </w:r>
          </w:p>
          <w:p>
            <w:pPr>
              <w:spacing w:after="100"/>
              <w:jc w:val="both"/>
            </w:pPr>
            <w:r>
              <w:rPr>
                <w:rFonts w:ascii="Archivo" w:cs="Archivo" w:eastAsia="Archivo" w:hAnsi="Archivo"/>
                <w:i/>
                <w:iCs/>
                <w:sz w:val="18"/>
                <w:szCs w:val="18"/>
              </w:rPr>
              <w:t xml:space="preserve">This chapter examines the statutory theft insurance regime under Articles 50 to 53 of the Spanish Insurance Contract Act, suppletorily applicable to the theft cover of homeowners' multi-risk policies, focusing on the exoneration grounds of Article 52 —the insured's gross negligence, theft occurring outside the insured location, and theft arising from extraordinary risks— and on the evidentiary difficulties that dominate litigation in this line, structurally more complex than fire claims given the burden of proving the pre-existence and theft of the claimed items.</w:t>
            </w:r>
          </w:p>
          <w:p>
            <w:pPr>
              <w:spacing w:after="0"/>
            </w:pPr>
            <w:r>
              <w:rPr>
                <w:rFonts w:ascii="Archivo" w:cs="Archivo" w:eastAsia="Archivo" w:hAnsi="Archivo"/>
                <w:b/>
                <w:bCs/>
                <w:sz w:val="17"/>
                <w:szCs w:val="17"/>
              </w:rPr>
              <w:t xml:space="preserve">Keywords: theft insurance, burglary, gross negligence, burden of proof, pre-existence of goods.</w:t>
            </w:r>
          </w:p>
        </w:tc>
      </w:tr>
    </w:tbl>
    <w:p>
      <w:pPr>
        <w:spacing w:after="200"/>
      </w:pPr>
    </w:p>
    <w:p>
      <w:pPr>
        <w:pStyle w:val="Heading2"/>
        <w:spacing w:after="160" w:before="400"/>
      </w:pPr>
      <w:r>
        <w:rPr>
          <w:rFonts w:ascii="Fraunces" w:cs="Fraunces" w:eastAsia="Fraunces" w:hAnsi="Fraunces"/>
          <w:b/>
          <w:bCs/>
          <w:color w:val="0A2540"/>
          <w:sz w:val="24"/>
          <w:szCs w:val="24"/>
        </w:rPr>
        <w:t xml:space="preserve">7.1. El concepto legal de robo a efectos aseguraticios</w:t>
      </w:r>
    </w:p>
    <w:p>
      <w:pPr>
        <w:spacing w:after="180" w:line="300"/>
        <w:jc w:val="both"/>
      </w:pPr>
      <w:r>
        <w:rPr>
          <w:rFonts w:ascii="Archivo" w:cs="Archivo" w:eastAsia="Archivo" w:hAnsi="Archivo"/>
          <w:sz w:val="21"/>
          <w:szCs w:val="21"/>
        </w:rPr>
        <w:t xml:space="preserve">El seguro de robo cuenta, al igual que el de incendio, con un régimen legal propio en los arts. 50 a 53 LCS, de aplicación supletoria a la garantía de robo del seguro multirriesgo de hogar. El concepto legal de robo a efectos aseguraticios es, significativamente, más amplio que el concepto técnico-penal</w:t>
      </w:r>
      <w:r>
        <w:rPr>
          <w:rStyle w:val="FootnoteReference"/>
        </w:rPr>
        <w:footnoteReference w:id="1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50 LCS</w:t>
            </w:r>
          </w:p>
          <w:p>
            <w:pPr>
              <w:spacing w:after="0" w:line="280"/>
              <w:jc w:val="both"/>
            </w:pPr>
            <w:r>
              <w:rPr>
                <w:rFonts w:ascii="IBM Plex Mono" w:cs="IBM Plex Mono" w:eastAsia="IBM Plex Mono" w:hAnsi="IBM Plex Mono"/>
                <w:i/>
                <w:iCs/>
                <w:color w:val="0A2540"/>
                <w:sz w:val="18"/>
                <w:szCs w:val="18"/>
              </w:rPr>
              <w:t xml:space="preserve">Por el seguro contra robo, el asegurador se obliga, dentro de los límites establecidos en la Ley y en el contrato a indemnizar los daños derivados de la sustracción ilegítima por parte de terceros de las cosas aseguradas. La cobertura comprende el daño causado por la comisión del delito en cualquiera de sus formas.</w:t>
            </w:r>
          </w:p>
        </w:tc>
      </w:tr>
    </w:tbl>
    <w:p>
      <w:pPr>
        <w:spacing w:after="180" w:line="300"/>
        <w:jc w:val="both"/>
      </w:pPr>
      <w:r>
        <w:rPr>
          <w:rFonts w:ascii="Archivo" w:cs="Archivo" w:eastAsia="Archivo" w:hAnsi="Archivo"/>
          <w:sz w:val="21"/>
          <w:szCs w:val="21"/>
        </w:rPr>
        <w:t xml:space="preserve">La remisión a «cualquiera de sus formas» de comisión del delito permite entender cubiertos, salvo exclusión expresa, tanto el robo con fuerza en las cosas (la modalidad más habitual en el ámbito doméstico: fractura de puerta, ventana o cerradura) como el robo con violencia o intimidación en las personas, mientras que el hurto (sustracción sin fuerza ni violencia) y la apropiación indebida quedan, en la práctica de las pólizas de hogar, sujetos a régimen contractual específico, según se analiza en el epígrafe 7.5.</w:t>
      </w:r>
    </w:p>
    <w:p>
      <w:pPr>
        <w:pStyle w:val="Heading2"/>
        <w:spacing w:after="160" w:before="400"/>
      </w:pPr>
      <w:r>
        <w:rPr>
          <w:rFonts w:ascii="Fraunces" w:cs="Fraunces" w:eastAsia="Fraunces" w:hAnsi="Fraunces"/>
          <w:b/>
          <w:bCs/>
          <w:color w:val="0A2540"/>
          <w:sz w:val="24"/>
          <w:szCs w:val="24"/>
        </w:rPr>
        <w:t xml:space="preserve">7.2. Alcance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51 LCS</w:t>
            </w:r>
          </w:p>
          <w:p>
            <w:pPr>
              <w:spacing w:after="0" w:line="280"/>
              <w:jc w:val="both"/>
            </w:pPr>
            <w:r>
              <w:rPr>
                <w:rFonts w:ascii="IBM Plex Mono" w:cs="IBM Plex Mono" w:eastAsia="IBM Plex Mono" w:hAnsi="IBM Plex Mono"/>
                <w:i/>
                <w:iCs/>
                <w:color w:val="0A2540"/>
                <w:sz w:val="18"/>
                <w:szCs w:val="18"/>
              </w:rPr>
              <w:t xml:space="preserve">La indemnización del asegurador comprenderá necesariamente, de acuerdo con lo dispuesto en el artículo veintisiete: 1.º El valor del interés asegurado cuando el objeto asegurado, efectivamente sea sustraído y no fuera hallado en el plazo señalado en el contrato. 2.º El daño que la comisión del delito, en cualquiera de sus formas, causare en el objeto asegurado.</w:t>
            </w:r>
          </w:p>
        </w:tc>
      </w:tr>
    </w:tbl>
    <w:p>
      <w:pPr>
        <w:spacing w:after="180" w:line="300"/>
        <w:jc w:val="both"/>
      </w:pPr>
      <w:r>
        <w:rPr>
          <w:rFonts w:ascii="Archivo" w:cs="Archivo" w:eastAsia="Archivo" w:hAnsi="Archivo"/>
          <w:sz w:val="21"/>
          <w:szCs w:val="21"/>
        </w:rPr>
        <w:t xml:space="preserve">La norma diferencia, con ello, dos partidas indemnizables que en la práctica pericial conviene documentar por separado: el valor de los bienes efectivamente sustraídos y no recuperados, de un lado, y los daños materiales causados en el proceso de comisión del delito (por ejemplo, la puerta forzada, la cerradura dañada o el mobiliario destrozado durante el registro de la vivienda), de otro, partida esta última que con frecuencia se indemniza incluso cuando la sustracción resulta frustrada o de escasa entidad.</w:t>
      </w:r>
    </w:p>
    <w:p>
      <w:pPr>
        <w:pStyle w:val="Heading2"/>
        <w:spacing w:after="160" w:before="400"/>
      </w:pPr>
      <w:r>
        <w:rPr>
          <w:rFonts w:ascii="Fraunces" w:cs="Fraunces" w:eastAsia="Fraunces" w:hAnsi="Fraunces"/>
          <w:b/>
          <w:bCs/>
          <w:color w:val="0A2540"/>
          <w:sz w:val="24"/>
          <w:szCs w:val="24"/>
        </w:rPr>
        <w:t xml:space="preserve">7.3. Causas legales de exoneración</w:t>
      </w:r>
    </w:p>
    <w:p>
      <w:pPr>
        <w:spacing w:after="180" w:line="300"/>
        <w:jc w:val="both"/>
      </w:pPr>
      <w:r>
        <w:rPr>
          <w:rFonts w:ascii="Archivo" w:cs="Archivo" w:eastAsia="Archivo" w:hAnsi="Archivo"/>
          <w:sz w:val="21"/>
          <w:szCs w:val="21"/>
        </w:rPr>
        <w:t xml:space="preserve">El artículo 52 LCS, a diferencia del amplio régimen de cobertura del incendio, restringe la obligación del asegurador en tres supuestos legales, aplicables salvo pacto en contrario: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 LCS</w:t>
            </w:r>
          </w:p>
          <w:p>
            <w:pPr>
              <w:spacing w:after="0" w:line="280"/>
              <w:jc w:val="both"/>
            </w:pPr>
            <w:r>
              <w:rPr>
                <w:rFonts w:ascii="IBM Plex Mono" w:cs="IBM Plex Mono" w:eastAsia="IBM Plex Mono" w:hAnsi="IBM Plex Mono"/>
                <w:i/>
                <w:iCs/>
                <w:color w:val="0A2540"/>
                <w:sz w:val="18"/>
                <w:szCs w:val="18"/>
              </w:rPr>
              <w:t xml:space="preserve">El asegurador, salvo pacto en contrario, no vendrá obligado a reparar los efectos del siniestro cuando éste se haya producido por cualquiera de las siguientes causas: 1.ª Por negligencia grave del asegurado, del tomador del seguro o de las personas que de ellos dependan o con ellos convivan. 2.ª Cuando el objeto asegurado sea sustraído fuera del lugar descrito en la póliza o con ocasión de su transporte, a no ser que una u otras circunstancias hubieran sido expresamente consentidas por el asegurador. 3.ª Cuando la sustracción se produzca con ocasión de siniestros derivados de riesgos extraordinarios.</w:t>
            </w:r>
          </w:p>
        </w:tc>
      </w:tr>
    </w:tbl>
    <w:p>
      <w:pPr>
        <w:spacing w:after="180" w:line="300"/>
        <w:jc w:val="both"/>
      </w:pPr>
      <w:r>
        <w:rPr>
          <w:rFonts w:ascii="Archivo" w:cs="Archivo" w:eastAsia="Archivo" w:hAnsi="Archivo"/>
          <w:sz w:val="21"/>
          <w:szCs w:val="21"/>
        </w:rPr>
        <w:t xml:space="preserve">A diferencia del régimen del incendio (donde solo el dolo o la culpa grave exoneran, y la negligencia leve del propio asegurado está cubierta), en el seguro de robo la negligencia grave —no solo el dolo— exonera al asegurador, umbral de diligencia sensiblemente más exigente para el asegurado. En la práctica del hogar, esta causa se invoca con frecuencia en supuestos de puertas o ventanas dejadas abiertas, ausencia de activación de sistemas de alarma contratados como condición de la cobertura, o entrega de llaves a terceros sin la diligencia debida, correspondiendo en todo caso a la aseguradora la prueba de que el estándar de negligencia grave —y no meramente leve— resulta superado.</w:t>
      </w:r>
    </w:p>
    <w:p>
      <w:pPr>
        <w:spacing w:after="180" w:line="300"/>
        <w:jc w:val="both"/>
      </w:pPr>
      <w:r>
        <w:rPr>
          <w:rFonts w:ascii="Archivo" w:cs="Archivo" w:eastAsia="Archivo" w:hAnsi="Archivo"/>
          <w:sz w:val="21"/>
          <w:szCs w:val="21"/>
        </w:rPr>
        <w:t xml:space="preserve">La tercera causa legal de exoneración —sustracción con ocasión de riesgos extraordinarios, como los disturbios o tumultos populares— conecta directamente con el régimen del Consorcio de Compensación de Seguros estudiado en el capítulo 8, al que corresponde, en su caso, la cobertura de estos supuestos excluidos del seguro privado.</w:t>
      </w:r>
    </w:p>
    <w:p>
      <w:pPr>
        <w:pStyle w:val="Heading2"/>
        <w:spacing w:after="160" w:before="400"/>
      </w:pPr>
      <w:r>
        <w:rPr>
          <w:rFonts w:ascii="Fraunces" w:cs="Fraunces" w:eastAsia="Fraunces" w:hAnsi="Fraunces"/>
          <w:b/>
          <w:bCs/>
          <w:color w:val="0A2540"/>
          <w:sz w:val="24"/>
          <w:szCs w:val="24"/>
        </w:rPr>
        <w:t xml:space="preserve">7.4. La recuperación del objeto sustraído</w:t>
      </w:r>
    </w:p>
    <w:p>
      <w:pPr>
        <w:spacing w:after="180" w:line="300"/>
        <w:jc w:val="both"/>
      </w:pPr>
      <w:r>
        <w:rPr>
          <w:rFonts w:ascii="Archivo" w:cs="Archivo" w:eastAsia="Archivo" w:hAnsi="Archivo"/>
          <w:sz w:val="21"/>
          <w:szCs w:val="21"/>
        </w:rPr>
        <w:t xml:space="preserve">El artículo 53 LCS regula un supuesto de frecuente aparición práctica: la recuperación del bien sustraído, ya sea antes o después del pago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53 LCS</w:t>
            </w:r>
          </w:p>
          <w:p>
            <w:pPr>
              <w:spacing w:after="0" w:line="280"/>
              <w:jc w:val="both"/>
            </w:pPr>
            <w:r>
              <w:rPr>
                <w:rFonts w:ascii="IBM Plex Mono" w:cs="IBM Plex Mono" w:eastAsia="IBM Plex Mono" w:hAnsi="IBM Plex Mono"/>
                <w:i/>
                <w:iCs/>
                <w:color w:val="0A2540"/>
                <w:sz w:val="18"/>
                <w:szCs w:val="18"/>
              </w:rPr>
              <w:t xml:space="preserve">Producido y debidamente comunicado el siniestro al asegurador, se observarán las reglas siguientes: 1.ª Si el objeto asegurado es recuperado antes del transcurso del plazo señalado en la póliza, el asegurado deberá recibirlo, a menos que en ella le hubiera reconocido expresamente la facultad de su abandono al asegurador. 2.ª Si el objeto asegurado es recuperado transcurrido el plazo pactado, y una vez pagada la indemnización, el asegurado podrá retener la indemnización percibida abandonando al asegurador la propiedad del objeto asegurado, o readquirirlo, restituyendo, en este caso, la indemnización percibida por la cosa o cosas restituidas.</w:t>
            </w:r>
          </w:p>
        </w:tc>
      </w:tr>
    </w:tbl>
    <w:p>
      <w:pPr>
        <w:spacing w:after="180" w:line="300"/>
        <w:jc w:val="both"/>
      </w:pPr>
      <w:r>
        <w:rPr>
          <w:rFonts w:ascii="Archivo" w:cs="Archivo" w:eastAsia="Archivo" w:hAnsi="Archivo"/>
          <w:sz w:val="21"/>
          <w:szCs w:val="21"/>
        </w:rPr>
        <w:t xml:space="preserve">La regla articula un mecanismo de opción a favor del asegurado en el segundo supuesto —recuperación tras el pago— que conviene explicar con claridad al cliente: puede quedarse con el dinero y renunciar al bien recuperado (que pasa a ser propiedad de la aseguradora), o recuperar el bien devolviendo la indemnización percibida por él.</w:t>
      </w:r>
    </w:p>
    <w:p>
      <w:pPr>
        <w:pStyle w:val="Heading2"/>
        <w:spacing w:after="160" w:before="400"/>
      </w:pPr>
      <w:r>
        <w:rPr>
          <w:rFonts w:ascii="Fraunces" w:cs="Fraunces" w:eastAsia="Fraunces" w:hAnsi="Fraunces"/>
          <w:b/>
          <w:bCs/>
          <w:color w:val="0A2540"/>
          <w:sz w:val="24"/>
          <w:szCs w:val="24"/>
        </w:rPr>
        <w:t xml:space="preserve">7.5. Hurto y expoliación: la frontera con el robo en sentido técnico</w:t>
      </w:r>
    </w:p>
    <w:p>
      <w:pPr>
        <w:spacing w:after="180" w:line="300"/>
        <w:jc w:val="both"/>
      </w:pPr>
      <w:r>
        <w:rPr>
          <w:rFonts w:ascii="Archivo" w:cs="Archivo" w:eastAsia="Archivo" w:hAnsi="Archivo"/>
          <w:sz w:val="21"/>
          <w:szCs w:val="21"/>
        </w:rPr>
        <w:t xml:space="preserve">La práctica aseguradora distingue, dentro de la cobertura genérica de «robo» de las pólizas de hogar, entre el robo en sentido estricto (con fuerza en las cosas o violencia/intimidación en las personas) y otras figuras afines cuyo tratamiento contractual conviene verificar en cada póliza:</w:t>
      </w:r>
    </w:p>
    <w:p>
      <w:pPr>
        <w:pStyle w:val="ListParagraph"/>
        <w:numPr>
          <w:ilvl w:val="0"/>
          <w:numId w:val="2"/>
        </w:numPr>
        <w:spacing w:after="100" w:line="290"/>
      </w:pPr>
      <w:r>
        <w:rPr>
          <w:rFonts w:ascii="Archivo" w:cs="Archivo" w:eastAsia="Archivo" w:hAnsi="Archivo"/>
          <w:b/>
          <w:bCs/>
          <w:sz w:val="21"/>
          <w:szCs w:val="21"/>
        </w:rPr>
        <w:t xml:space="preserve">Hurto: </w:t>
      </w:r>
      <w:r>
        <w:rPr>
          <w:rFonts w:ascii="Archivo" w:cs="Archivo" w:eastAsia="Archivo" w:hAnsi="Archivo"/>
          <w:sz w:val="21"/>
          <w:szCs w:val="21"/>
        </w:rPr>
        <w:t xml:space="preserve">sustracción sin fuerza ni violencia (por ejemplo, el descuido de un bolso en una terraza); frecuentemente excluido de la cobertura estándar de robo en el hogar, salvo pacto expreso o garantía específica de «expoliación» fuera del domicilio.</w:t>
      </w:r>
    </w:p>
    <w:p>
      <w:pPr>
        <w:pStyle w:val="ListParagraph"/>
        <w:numPr>
          <w:ilvl w:val="0"/>
          <w:numId w:val="2"/>
        </w:numPr>
        <w:spacing w:after="100" w:line="290"/>
      </w:pPr>
      <w:r>
        <w:rPr>
          <w:rFonts w:ascii="Archivo" w:cs="Archivo" w:eastAsia="Archivo" w:hAnsi="Archivo"/>
          <w:b/>
          <w:bCs/>
          <w:sz w:val="21"/>
          <w:szCs w:val="21"/>
        </w:rPr>
        <w:t xml:space="preserve">Expoliación o robo con violencia o intimidación en las personas (atraco): </w:t>
      </w:r>
      <w:r>
        <w:rPr>
          <w:rFonts w:ascii="Archivo" w:cs="Archivo" w:eastAsia="Archivo" w:hAnsi="Archivo"/>
          <w:sz w:val="21"/>
          <w:szCs w:val="21"/>
        </w:rPr>
        <w:t xml:space="preserve">generalmente cubierta como submodalidad agravada, con posible sublímite propio para el dinero en efectivo y objetos personales sustraídos fuera del domicilio (por ejemplo, en el trayecto al banco).</w:t>
      </w:r>
    </w:p>
    <w:p>
      <w:pPr>
        <w:pStyle w:val="ListParagraph"/>
        <w:numPr>
          <w:ilvl w:val="0"/>
          <w:numId w:val="2"/>
        </w:numPr>
        <w:spacing w:after="100" w:line="290"/>
      </w:pPr>
      <w:r>
        <w:rPr>
          <w:rFonts w:ascii="Archivo" w:cs="Archivo" w:eastAsia="Archivo" w:hAnsi="Archivo"/>
          <w:b/>
          <w:bCs/>
          <w:sz w:val="21"/>
          <w:szCs w:val="21"/>
        </w:rPr>
        <w:t xml:space="preserve">Apropiación indebida por personal doméstico o de confianza: </w:t>
      </w:r>
      <w:r>
        <w:rPr>
          <w:rFonts w:ascii="Archivo" w:cs="Archivo" w:eastAsia="Archivo" w:hAnsi="Archivo"/>
          <w:sz w:val="21"/>
          <w:szCs w:val="21"/>
        </w:rPr>
        <w:t xml:space="preserve">sujeta, en la mayoría de las pólizas, a exclusión expresa o a condiciones particulares específicas, por no encajar con naturalidad en el concepto de «sustracción ilegítima por parte de terceros» del art. 50 LCS cuando el autor tenía acceso lícito a los bienes.</w:t>
      </w:r>
    </w:p>
    <w:p>
      <w:pPr>
        <w:pStyle w:val="Heading2"/>
        <w:spacing w:after="160" w:before="400"/>
      </w:pPr>
      <w:r>
        <w:rPr>
          <w:rFonts w:ascii="Fraunces" w:cs="Fraunces" w:eastAsia="Fraunces" w:hAnsi="Fraunces"/>
          <w:b/>
          <w:bCs/>
          <w:color w:val="0A2540"/>
          <w:sz w:val="24"/>
          <w:szCs w:val="24"/>
        </w:rPr>
        <w:t xml:space="preserve">7.6. La prueba del siniestro de robo</w:t>
      </w:r>
    </w:p>
    <w:p>
      <w:pPr>
        <w:spacing w:after="180" w:line="300"/>
        <w:jc w:val="both"/>
      </w:pPr>
      <w:r>
        <w:rPr>
          <w:rFonts w:ascii="Archivo" w:cs="Archivo" w:eastAsia="Archivo" w:hAnsi="Archivo"/>
          <w:sz w:val="21"/>
          <w:szCs w:val="21"/>
        </w:rPr>
        <w:t xml:space="preserve">La cobertura de robo plantea, con mayor intensidad que la de incendio, un problema probatorio estructural: el asegurado debe acreditar tanto la preexistencia de los bienes sustraídos como su sustracción efectiva, sin que exista, a diferencia del art. 49.4.º LCS para el incendio, una presunción legal equivalente que invierta la carga de la prueba de la preexistencia. La práctica pericial y judicial admite, no obstante, prueba indiciaria suficiente (fotografías, facturas de compra, tasaciones previas, testificales, denuncia policial coetánea con descripción de los efectos sustraídos), correspondiendo a los tribunales ponderar el conjunto de la prueba indiciaria aportada conforme a las reglas generales de la sana crítica.</w:t>
      </w:r>
    </w:p>
    <w:p>
      <w:pPr>
        <w:pStyle w:val="Heading2"/>
        <w:spacing w:after="160" w:before="400"/>
      </w:pPr>
      <w:r>
        <w:rPr>
          <w:rFonts w:ascii="Fraunces" w:cs="Fraunces" w:eastAsia="Fraunces" w:hAnsi="Fraunces"/>
          <w:b/>
          <w:bCs/>
          <w:color w:val="0A2540"/>
          <w:sz w:val="24"/>
          <w:szCs w:val="24"/>
        </w:rPr>
        <w:t xml:space="preserve">7.7.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robo</w:t>
            </w:r>
          </w:p>
          <w:p>
            <w:pPr>
              <w:pStyle w:val="ListParagraph"/>
              <w:numPr>
                <w:ilvl w:val="0"/>
                <w:numId w:val="2"/>
              </w:numPr>
              <w:spacing w:after="80" w:line="280"/>
            </w:pPr>
            <w:r>
              <w:rPr>
                <w:rFonts w:ascii="Archivo" w:cs="Archivo" w:eastAsia="Archivo" w:hAnsi="Archivo"/>
                <w:sz w:val="19"/>
                <w:szCs w:val="19"/>
              </w:rPr>
              <w:t xml:space="preserve">Verificar si la denuncia penal describe con suficiente detalle los objetos sustraídos: es el primer documento de prueba indiciaria y conviene que el asegurado la presente con la mayor precisión posible.</w:t>
            </w:r>
          </w:p>
          <w:p>
            <w:pPr>
              <w:pStyle w:val="ListParagraph"/>
              <w:numPr>
                <w:ilvl w:val="0"/>
                <w:numId w:val="2"/>
              </w:numPr>
              <w:spacing w:after="80" w:line="280"/>
            </w:pPr>
            <w:r>
              <w:rPr>
                <w:rFonts w:ascii="Archivo" w:cs="Archivo" w:eastAsia="Archivo" w:hAnsi="Archivo"/>
                <w:sz w:val="19"/>
                <w:szCs w:val="19"/>
              </w:rPr>
              <w:t xml:space="preserve">Reunir toda la prueba disponible sobre la preexistencia de los bienes (facturas, fotografías, tasaciones, garantías, capturas de compra online).</w:t>
            </w:r>
          </w:p>
          <w:p>
            <w:pPr>
              <w:pStyle w:val="ListParagraph"/>
              <w:numPr>
                <w:ilvl w:val="0"/>
                <w:numId w:val="2"/>
              </w:numPr>
              <w:spacing w:after="80" w:line="280"/>
            </w:pPr>
            <w:r>
              <w:rPr>
                <w:rFonts w:ascii="Archivo" w:cs="Archivo" w:eastAsia="Archivo" w:hAnsi="Archivo"/>
                <w:sz w:val="19"/>
                <w:szCs w:val="19"/>
              </w:rPr>
              <w:t xml:space="preserve">Ante la invocación de negligencia grave (art. 52.1.ª LCS), exigir a la aseguradora la prueba cumplida de que el estándar de diligencia superado es el grave, no el leve.</w:t>
            </w:r>
          </w:p>
          <w:p>
            <w:pPr>
              <w:pStyle w:val="ListParagraph"/>
              <w:numPr>
                <w:ilvl w:val="0"/>
                <w:numId w:val="2"/>
              </w:numPr>
              <w:spacing w:after="80" w:line="280"/>
            </w:pPr>
            <w:r>
              <w:rPr>
                <w:rFonts w:ascii="Archivo" w:cs="Archivo" w:eastAsia="Archivo" w:hAnsi="Archivo"/>
                <w:sz w:val="19"/>
                <w:szCs w:val="19"/>
              </w:rPr>
              <w:t xml:space="preserve">Verificar si existían medidas de seguridad pactadas como condición de la cobertura (alarma conectada, cerraduras de seguridad) y si su falta de activación es realmente imputable al asegurado.</w:t>
            </w:r>
          </w:p>
          <w:p>
            <w:pPr>
              <w:pStyle w:val="ListParagraph"/>
              <w:numPr>
                <w:ilvl w:val="0"/>
                <w:numId w:val="2"/>
              </w:numPr>
              <w:spacing w:after="80" w:line="280"/>
            </w:pPr>
            <w:r>
              <w:rPr>
                <w:rFonts w:ascii="Archivo" w:cs="Archivo" w:eastAsia="Archivo" w:hAnsi="Archivo"/>
                <w:sz w:val="19"/>
                <w:szCs w:val="19"/>
              </w:rPr>
              <w:t xml:space="preserve">Distinguir con precisión, según la póliza concreta, la cobertura de robo en sentido estricto, hurto, expoliación y apropiación indebida por personal doméstico, cada una con su propio régimen contractual.</w:t>
            </w:r>
          </w:p>
        </w:tc>
      </w:tr>
    </w:tbl>
    <w:p>
      <w:pPr>
        <w:pStyle w:val="Heading2"/>
        <w:spacing w:after="160" w:before="400"/>
      </w:pPr>
      <w:r>
        <w:rPr>
          <w:rFonts w:ascii="Fraunces" w:cs="Fraunces" w:eastAsia="Fraunces" w:hAnsi="Fraunces"/>
          <w:b/>
          <w:bCs/>
          <w:color w:val="0A2540"/>
          <w:sz w:val="24"/>
          <w:szCs w:val="24"/>
        </w:rPr>
        <w:t xml:space="preserve">7.8.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tras un robo en su vivienda</w:t>
            </w:r>
          </w:p>
          <w:p>
            <w:pPr>
              <w:pStyle w:val="ListParagraph"/>
              <w:numPr>
                <w:ilvl w:val="0"/>
                <w:numId w:val="2"/>
              </w:numPr>
              <w:spacing w:after="80" w:line="280"/>
            </w:pPr>
            <w:r>
              <w:rPr>
                <w:rFonts w:ascii="Archivo" w:cs="Archivo" w:eastAsia="Archivo" w:hAnsi="Archivo"/>
                <w:sz w:val="19"/>
                <w:szCs w:val="19"/>
              </w:rPr>
              <w:t xml:space="preserve">Denuncie el robo ante la Policía o la Guardia Civil lo antes posible, describiendo con el mayor detalle posible los objetos sustraídos.</w:t>
            </w:r>
          </w:p>
          <w:p>
            <w:pPr>
              <w:pStyle w:val="ListParagraph"/>
              <w:numPr>
                <w:ilvl w:val="0"/>
                <w:numId w:val="2"/>
              </w:numPr>
              <w:spacing w:after="80" w:line="280"/>
            </w:pPr>
            <w:r>
              <w:rPr>
                <w:rFonts w:ascii="Archivo" w:cs="Archivo" w:eastAsia="Archivo" w:hAnsi="Archivo"/>
                <w:sz w:val="19"/>
                <w:szCs w:val="19"/>
              </w:rPr>
              <w:t xml:space="preserve">No toque ni limpie las zonas de acceso forzado hasta que la Policía Científica o el perito de la aseguradora las hayan examinado, si es razonablemente posible.</w:t>
            </w:r>
          </w:p>
          <w:p>
            <w:pPr>
              <w:pStyle w:val="ListParagraph"/>
              <w:numPr>
                <w:ilvl w:val="0"/>
                <w:numId w:val="2"/>
              </w:numPr>
              <w:spacing w:after="80" w:line="280"/>
            </w:pPr>
            <w:r>
              <w:rPr>
                <w:rFonts w:ascii="Archivo" w:cs="Archivo" w:eastAsia="Archivo" w:hAnsi="Archivo"/>
                <w:sz w:val="19"/>
                <w:szCs w:val="19"/>
              </w:rPr>
              <w:t xml:space="preserve">Reúna toda la documentación que acredite que tenía esos bienes antes del robo: facturas, fotografías, tasaciones, capturas de pantalla de compras.</w:t>
            </w:r>
          </w:p>
          <w:p>
            <w:pPr>
              <w:pStyle w:val="ListParagraph"/>
              <w:numPr>
                <w:ilvl w:val="0"/>
                <w:numId w:val="2"/>
              </w:numPr>
              <w:spacing w:after="80" w:line="280"/>
            </w:pPr>
            <w:r>
              <w:rPr>
                <w:rFonts w:ascii="Archivo" w:cs="Archivo" w:eastAsia="Archivo" w:hAnsi="Archivo"/>
                <w:sz w:val="19"/>
                <w:szCs w:val="19"/>
              </w:rPr>
              <w:t xml:space="preserve">Revise si su póliza cubre el robo fuera de casa (expoliación, hurto en la calle) y si tiene sublímite propio, distinto del aplicable dentro de la vivienda.</w:t>
            </w:r>
          </w:p>
        </w:tc>
      </w:tr>
    </w:tbl>
    <w:p>
      <w:pPr>
        <w:pStyle w:val="Heading2"/>
        <w:spacing w:after="160" w:before="400"/>
      </w:pPr>
      <w:r>
        <w:rPr>
          <w:rFonts w:ascii="Fraunces" w:cs="Fraunces" w:eastAsia="Fraunces" w:hAnsi="Fraunces"/>
          <w:b/>
          <w:bCs/>
          <w:color w:val="0A2540"/>
          <w:sz w:val="24"/>
          <w:szCs w:val="24"/>
        </w:rPr>
        <w:t xml:space="preserve">7.9. Checklist: acreditación de un siniestro de robo</w:t>
      </w:r>
    </w:p>
    <w:p>
      <w:pPr>
        <w:pStyle w:val="ListParagraph"/>
        <w:numPr>
          <w:ilvl w:val="0"/>
          <w:numId w:val="2"/>
        </w:numPr>
        <w:spacing w:after="100" w:line="290"/>
      </w:pPr>
      <w:r>
        <w:rPr>
          <w:rFonts w:ascii="Archivo" w:cs="Archivo" w:eastAsia="Archivo" w:hAnsi="Archivo"/>
          <w:sz w:val="21"/>
          <w:szCs w:val="21"/>
        </w:rPr>
        <w:t xml:space="preserve">1. ¿Existe denuncia penal presentada y con qué grado de detalle describe los objetos sustraídos?</w:t>
      </w:r>
    </w:p>
    <w:p>
      <w:pPr>
        <w:pStyle w:val="ListParagraph"/>
        <w:numPr>
          <w:ilvl w:val="0"/>
          <w:numId w:val="2"/>
        </w:numPr>
        <w:spacing w:after="100" w:line="290"/>
      </w:pPr>
      <w:r>
        <w:rPr>
          <w:rFonts w:ascii="Archivo" w:cs="Archivo" w:eastAsia="Archivo" w:hAnsi="Archivo"/>
          <w:sz w:val="21"/>
          <w:szCs w:val="21"/>
        </w:rPr>
        <w:t xml:space="preserve">2. ¿Hay indicios de fuerza en las cosas o violencia/intimidación, o se trata de un hurto sin fuerza?</w:t>
      </w:r>
    </w:p>
    <w:p>
      <w:pPr>
        <w:pStyle w:val="ListParagraph"/>
        <w:numPr>
          <w:ilvl w:val="0"/>
          <w:numId w:val="2"/>
        </w:numPr>
        <w:spacing w:after="100" w:line="290"/>
      </w:pPr>
      <w:r>
        <w:rPr>
          <w:rFonts w:ascii="Archivo" w:cs="Archivo" w:eastAsia="Archivo" w:hAnsi="Archivo"/>
          <w:sz w:val="21"/>
          <w:szCs w:val="21"/>
        </w:rPr>
        <w:t xml:space="preserve">3. ¿Qué prueba de preexistencia se puede aportar respecto de cada bien reclamado?</w:t>
      </w:r>
    </w:p>
    <w:p>
      <w:pPr>
        <w:pStyle w:val="ListParagraph"/>
        <w:numPr>
          <w:ilvl w:val="0"/>
          <w:numId w:val="2"/>
        </w:numPr>
        <w:spacing w:after="100" w:line="290"/>
      </w:pPr>
      <w:r>
        <w:rPr>
          <w:rFonts w:ascii="Archivo" w:cs="Archivo" w:eastAsia="Archivo" w:hAnsi="Archivo"/>
          <w:sz w:val="21"/>
          <w:szCs w:val="21"/>
        </w:rPr>
        <w:t xml:space="preserve">4. ¿Existían medidas de seguridad pactadas como condición de la cobertura? ¿Estaban activas?</w:t>
      </w:r>
    </w:p>
    <w:p>
      <w:pPr>
        <w:pStyle w:val="ListParagraph"/>
        <w:numPr>
          <w:ilvl w:val="0"/>
          <w:numId w:val="2"/>
        </w:numPr>
        <w:spacing w:after="100" w:line="290"/>
      </w:pPr>
      <w:r>
        <w:rPr>
          <w:rFonts w:ascii="Archivo" w:cs="Archivo" w:eastAsia="Archivo" w:hAnsi="Archivo"/>
          <w:sz w:val="21"/>
          <w:szCs w:val="21"/>
        </w:rPr>
        <w:t xml:space="preserve">5. ¿La sustracción se produjo dentro o fuera del lugar descrito en la póliza?</w:t>
      </w:r>
    </w:p>
    <w:p>
      <w:pPr>
        <w:pStyle w:val="ListParagraph"/>
        <w:numPr>
          <w:ilvl w:val="0"/>
          <w:numId w:val="2"/>
        </w:numPr>
        <w:spacing w:after="100" w:line="290"/>
      </w:pPr>
      <w:r>
        <w:rPr>
          <w:rFonts w:ascii="Archivo" w:cs="Archivo" w:eastAsia="Archivo" w:hAnsi="Archivo"/>
          <w:sz w:val="21"/>
          <w:szCs w:val="21"/>
        </w:rPr>
        <w:t xml:space="preserve">6. ¿Se han producido, además de la sustracción, daños materiales por la comisión del delito (puertas, cerraduras)?</w:t>
      </w:r>
    </w:p>
    <w:p>
      <w:pPr>
        <w:pStyle w:val="ListParagraph"/>
        <w:numPr>
          <w:ilvl w:val="0"/>
          <w:numId w:val="2"/>
        </w:numPr>
        <w:spacing w:after="100" w:line="290"/>
      </w:pPr>
      <w:r>
        <w:rPr>
          <w:rFonts w:ascii="Archivo" w:cs="Archivo" w:eastAsia="Archivo" w:hAnsi="Archivo"/>
          <w:sz w:val="21"/>
          <w:szCs w:val="21"/>
        </w:rPr>
        <w:t xml:space="preserve">7. ¿Existe posibilidad de recuperación posterior de los bienes? ¿Qué opción del art. 53 LCS interesa al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8. </w:t>
      </w:r>
      <w:r>
        <w:rPr>
          <w:rFonts w:ascii="Fraunces" w:cs="Fraunces" w:eastAsia="Fraunces" w:hAnsi="Fraunces"/>
          <w:b/>
          <w:bCs/>
          <w:color w:val="0A2540"/>
          <w:sz w:val="30"/>
          <w:szCs w:val="30"/>
        </w:rPr>
        <w:t xml:space="preserve">Fenómenos atmosféricos y riesgos extraordinarios: el Consorcio de Compensación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8.1. Riesgos ordinarios y riesgos extraordinarios: dos regímenes distintos</w:t>
            </w:r>
          </w:p>
          <w:p>
            <w:pPr>
              <w:spacing w:after="40" w:line="260"/>
            </w:pPr>
            <w:r>
              <w:rPr>
                <w:rFonts w:ascii="Archivo" w:cs="Archivo" w:eastAsia="Archivo" w:hAnsi="Archivo"/>
                <w:sz w:val="18"/>
                <w:szCs w:val="18"/>
              </w:rPr>
              <w:t xml:space="preserve">8.2. Fenómenos atmosféricos ordinarios en el clausulado privado</w:t>
            </w:r>
          </w:p>
          <w:p>
            <w:pPr>
              <w:spacing w:after="40" w:line="260"/>
            </w:pPr>
            <w:r>
              <w:rPr>
                <w:rFonts w:ascii="Archivo" w:cs="Archivo" w:eastAsia="Archivo" w:hAnsi="Archivo"/>
                <w:sz w:val="18"/>
                <w:szCs w:val="18"/>
              </w:rPr>
              <w:t xml:space="preserve">8.3. El Consorcio de Compensación de Seguros: naturaleza y ámbito</w:t>
            </w:r>
          </w:p>
          <w:p>
            <w:pPr>
              <w:spacing w:after="40" w:line="260"/>
            </w:pPr>
            <w:r>
              <w:rPr>
                <w:rFonts w:ascii="Archivo" w:cs="Archivo" w:eastAsia="Archivo" w:hAnsi="Archivo"/>
                <w:sz w:val="18"/>
                <w:szCs w:val="18"/>
              </w:rPr>
              <w:t xml:space="preserve">8.4. Los acontecimientos extraordinarios legalmente tipificados</w:t>
            </w:r>
          </w:p>
          <w:p>
            <w:pPr>
              <w:spacing w:after="40" w:line="260"/>
            </w:pPr>
            <w:r>
              <w:rPr>
                <w:rFonts w:ascii="Archivo" w:cs="Archivo" w:eastAsia="Archivo" w:hAnsi="Archivo"/>
                <w:sz w:val="18"/>
                <w:szCs w:val="18"/>
              </w:rPr>
              <w:t xml:space="preserve">8.5. Presupuestos y límites de la cobertura del Consorcio</w:t>
            </w:r>
          </w:p>
          <w:p>
            <w:pPr>
              <w:spacing w:after="40" w:line="260"/>
            </w:pPr>
            <w:r>
              <w:rPr>
                <w:rFonts w:ascii="Archivo" w:cs="Archivo" w:eastAsia="Archivo" w:hAnsi="Archivo"/>
                <w:sz w:val="18"/>
                <w:szCs w:val="18"/>
              </w:rPr>
              <w:t xml:space="preserve">8.6. Riesgos expresamente excluidos de la cobertura del Consorcio</w:t>
            </w:r>
          </w:p>
          <w:p>
            <w:pPr>
              <w:spacing w:after="40" w:line="260"/>
            </w:pPr>
            <w:r>
              <w:rPr>
                <w:rFonts w:ascii="Archivo" w:cs="Archivo" w:eastAsia="Archivo" w:hAnsi="Archivo"/>
                <w:sz w:val="18"/>
                <w:szCs w:val="18"/>
              </w:rPr>
              <w:t xml:space="preserve">8.7. Procedimiento de reclamación ante el Consorcio</w:t>
            </w:r>
          </w:p>
          <w:p>
            <w:pPr>
              <w:spacing w:after="40" w:line="260"/>
            </w:pPr>
            <w:r>
              <w:rPr>
                <w:rFonts w:ascii="Archivo" w:cs="Archivo" w:eastAsia="Archivo" w:hAnsi="Archivo"/>
                <w:sz w:val="18"/>
                <w:szCs w:val="18"/>
              </w:rPr>
              <w:t xml:space="preserve">8.8. Ficha para el profesional</w:t>
            </w:r>
          </w:p>
          <w:p>
            <w:pPr>
              <w:spacing w:after="40" w:line="260"/>
            </w:pPr>
            <w:r>
              <w:rPr>
                <w:rFonts w:ascii="Archivo" w:cs="Archivo" w:eastAsia="Archivo" w:hAnsi="Archivo"/>
                <w:sz w:val="18"/>
                <w:szCs w:val="18"/>
              </w:rPr>
              <w:t xml:space="preserve">8.9. Ficha para el asegurado</w:t>
            </w:r>
          </w:p>
          <w:p>
            <w:pPr>
              <w:spacing w:after="40" w:line="260"/>
            </w:pPr>
            <w:r>
              <w:rPr>
                <w:rFonts w:ascii="Archivo" w:cs="Archivo" w:eastAsia="Archivo" w:hAnsi="Archivo"/>
                <w:sz w:val="18"/>
                <w:szCs w:val="18"/>
              </w:rPr>
              <w:t xml:space="preserve">8.10. Checklist: seguro privado o Consorcio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delimita la frontera, con frecuencia mal comprendida por el asegurado medio, entre los fenómenos atmosféricos cubiertos por el clausulado ordinario de la póliza de hogar y los acontecimientos extraordinarios cuya cobertura corresponde, por mandato legal, al Consorcio de Compensación de Seguros (RDL 7/2004), examinando los presupuestos, límites y procedimiento de esta cobertura pública complementaria, esencial en episodios de inundación, tempestad ciclónica atípica o terremoto.</w:t>
            </w:r>
          </w:p>
          <w:p>
            <w:pPr>
              <w:spacing w:after="160"/>
            </w:pPr>
            <w:r>
              <w:rPr>
                <w:rFonts w:ascii="Archivo" w:cs="Archivo" w:eastAsia="Archivo" w:hAnsi="Archivo"/>
                <w:b/>
                <w:bCs/>
                <w:sz w:val="17"/>
                <w:szCs w:val="17"/>
              </w:rPr>
              <w:t xml:space="preserve">Palabras clave: Consorcio de Compensación de Seguros, riesgos extraordinarios, inundación, tempestad ciclónica atípica, recargo obligatorio.</w:t>
            </w:r>
          </w:p>
          <w:p>
            <w:pPr>
              <w:spacing w:after="100"/>
              <w:jc w:val="both"/>
            </w:pPr>
            <w:r>
              <w:rPr>
                <w:rFonts w:ascii="Archivo" w:cs="Archivo" w:eastAsia="Archivo" w:hAnsi="Archivo"/>
                <w:i/>
                <w:iCs/>
                <w:sz w:val="18"/>
                <w:szCs w:val="18"/>
              </w:rPr>
              <w:t xml:space="preserve">This chapter draws the often misunderstood line between ordinary weather perils covered by standard homeowners' policy wording and extraordinary events whose coverage is, by statutory mandate, assumed by the Spanish Insurance Compensation Consortium, examining the requirements, limits and claims procedure of this complementary public scheme, essential in episodes of flooding, atypical cyclonic storms or earthquakes.</w:t>
            </w:r>
          </w:p>
          <w:p>
            <w:pPr>
              <w:spacing w:after="0"/>
            </w:pPr>
            <w:r>
              <w:rPr>
                <w:rFonts w:ascii="Archivo" w:cs="Archivo" w:eastAsia="Archivo" w:hAnsi="Archivo"/>
                <w:b/>
                <w:bCs/>
                <w:sz w:val="17"/>
                <w:szCs w:val="17"/>
              </w:rPr>
              <w:t xml:space="preserve">Keywords: Insurance Compensation Consortium, extraordinary risks, flooding, atypical cyclonic storm, mandatory surcharge.</w:t>
            </w:r>
          </w:p>
        </w:tc>
      </w:tr>
    </w:tbl>
    <w:p>
      <w:pPr>
        <w:spacing w:after="200"/>
      </w:pPr>
    </w:p>
    <w:p>
      <w:pPr>
        <w:pStyle w:val="Heading2"/>
        <w:spacing w:after="160" w:before="400"/>
      </w:pPr>
      <w:r>
        <w:rPr>
          <w:rFonts w:ascii="Fraunces" w:cs="Fraunces" w:eastAsia="Fraunces" w:hAnsi="Fraunces"/>
          <w:b/>
          <w:bCs/>
          <w:color w:val="0A2540"/>
          <w:sz w:val="24"/>
          <w:szCs w:val="24"/>
        </w:rPr>
        <w:t xml:space="preserve">8.1. Riesgos ordinarios y riesgos extraordinarios: dos regímenes distintos</w:t>
      </w:r>
    </w:p>
    <w:p>
      <w:pPr>
        <w:spacing w:after="180" w:line="300"/>
        <w:jc w:val="both"/>
      </w:pPr>
      <w:r>
        <w:rPr>
          <w:rFonts w:ascii="Archivo" w:cs="Archivo" w:eastAsia="Archivo" w:hAnsi="Archivo"/>
          <w:sz w:val="21"/>
          <w:szCs w:val="21"/>
        </w:rPr>
        <w:t xml:space="preserve">El sistema español de cobertura de catástrofes se articula sobre una summa divisio esencial que el profesional debe explicar con claridad a cualquier asegurado: los fenómenos atmosféricos ordinarios (viento, lluvia y pedrisco de intensidad habitual) se cubren, cuando la póliza lo prevea, por la propia aseguradora privada conforme a sus condiciones generales; los acontecimientos extraordinarios legalmente tipificados —inundación extraordinaria, terremoto, tempestad ciclónica atípica, entre otros— quedan excluidos, con carácter general, del seguro privado y son asumidos, en régimen de compensación, por el Consorcio de Compensación de Seguros (CCS), entidad pública empresarial adscrita al Ministerio de Economía</w:t>
      </w:r>
      <w:r>
        <w:rPr>
          <w:rStyle w:val="FootnoteReference"/>
        </w:rPr>
        <w:footnoteReference w:id="19"/>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8.2. Fenómenos atmosféricos ordinarios en el clausulado privado</w:t>
      </w:r>
    </w:p>
    <w:p>
      <w:pPr>
        <w:spacing w:after="180" w:line="300"/>
        <w:jc w:val="both"/>
      </w:pPr>
      <w:r>
        <w:rPr>
          <w:rFonts w:ascii="Archivo" w:cs="Archivo" w:eastAsia="Archivo" w:hAnsi="Archivo"/>
          <w:sz w:val="21"/>
          <w:szCs w:val="21"/>
        </w:rPr>
        <w:t xml:space="preserve">Las condiciones generales de las pólizas de hogar suelen incorporar una garantía de «fenómenos atmosféricos» que cubre daños causados por viento, lluvia, pedrisco o nieve de intensidad ordinaria, normalmente sujeta a umbrales técnicos de intensidad (por ejemplo, viento con rachas superiores a un determinado número de kilómetros por hora, medido por estaciones meteorológicas de referencia) por debajo de los cuales el daño se reconduce a la garantía general de daños al continente y por encima de los cuales, si alcanza la calificación de «extraordinario» conforme al RDL 7/2004, la cobertura corresponde al Consorcio y no a la aseguradora privada.</w:t>
      </w:r>
    </w:p>
    <w:p>
      <w:pPr>
        <w:pStyle w:val="Heading2"/>
        <w:spacing w:after="160" w:before="400"/>
      </w:pPr>
      <w:r>
        <w:rPr>
          <w:rFonts w:ascii="Fraunces" w:cs="Fraunces" w:eastAsia="Fraunces" w:hAnsi="Fraunces"/>
          <w:b/>
          <w:bCs/>
          <w:color w:val="0A2540"/>
          <w:sz w:val="24"/>
          <w:szCs w:val="24"/>
        </w:rPr>
        <w:t xml:space="preserve">8.3. El Consorcio de Compensación de Seguros: naturaleza y ámbito</w:t>
      </w:r>
    </w:p>
    <w:p>
      <w:pPr>
        <w:spacing w:after="180" w:line="300"/>
        <w:jc w:val="both"/>
      </w:pPr>
      <w:r>
        <w:rPr>
          <w:rFonts w:ascii="Archivo" w:cs="Archivo" w:eastAsia="Archivo" w:hAnsi="Archivo"/>
          <w:sz w:val="21"/>
          <w:szCs w:val="21"/>
        </w:rPr>
        <w:t xml:space="preserve">El régimen legal del Consorcio se contiene en el Real Decreto Legislativo 7/2004, de 29 de octubre, por el que se aprueba el texto refundido del Estatuto Legal del Consorcio de Compensación de Seguros, desarrollado reglamentariamente por el Real Decreto 300/2004. Su función, en materia de riesgos extraordinarios sobre bienes, es indemnizar, en régimen de compensación (no de seguro en sentido estricto), las pérdidas derivadas de acontecimientos extraordinarios: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en materia de riesgos extraordinarios, tendrá por objeto indemnizar, en la forma establecida en este Estatuto Legal, en régimen de compensación, las pérdidas derivadas de acontecimientos extraordinarios acaecidos en España y que afecten a riesgos en ella situados. [...] A estos efectos, serán pérdidas los daños directos en las personas y en los bienes, así como [...] las pérdidas pecuniarias como consecuencia de aquéllos.</w:t>
            </w:r>
          </w:p>
        </w:tc>
      </w:tr>
    </w:tbl>
    <w:p>
      <w:pPr>
        <w:spacing w:after="180" w:line="300"/>
        <w:jc w:val="both"/>
      </w:pPr>
      <w:r>
        <w:rPr>
          <w:rFonts w:ascii="Archivo" w:cs="Archivo" w:eastAsia="Archivo" w:hAnsi="Archivo"/>
          <w:sz w:val="21"/>
          <w:szCs w:val="21"/>
        </w:rPr>
        <w:t xml:space="preserve">La cobertura del Consorcio no es, técnicamente, un seguro adicional que el asegurado contrate de forma independiente, sino un régimen de compensación financiado mediante un recargo obligatorio que se aplica automáticamente a determinadas pólizas de seguro de daños —entre ellas, las de hogar— y cuya gestión corresponde íntegramente al propio Consorcio, al margen de la aseguradora privada.</w:t>
      </w:r>
    </w:p>
    <w:p>
      <w:pPr>
        <w:pStyle w:val="Heading2"/>
        <w:spacing w:after="160" w:before="400"/>
      </w:pPr>
      <w:r>
        <w:rPr>
          <w:rFonts w:ascii="Fraunces" w:cs="Fraunces" w:eastAsia="Fraunces" w:hAnsi="Fraunces"/>
          <w:b/>
          <w:bCs/>
          <w:color w:val="0A2540"/>
          <w:sz w:val="24"/>
          <w:szCs w:val="24"/>
        </w:rPr>
        <w:t xml:space="preserve">8.4. Los acontecimientos extraordinarios legalmente tipificados</w:t>
      </w:r>
    </w:p>
    <w:p>
      <w:pPr>
        <w:spacing w:after="180" w:line="300"/>
        <w:jc w:val="both"/>
      </w:pPr>
      <w:r>
        <w:rPr>
          <w:rFonts w:ascii="Archivo" w:cs="Archivo" w:eastAsia="Archivo" w:hAnsi="Archivo"/>
          <w:sz w:val="21"/>
          <w:szCs w:val="21"/>
        </w:rPr>
        <w:t xml:space="preserve">El artículo 6.1 del Estatuto Legal enumera con carácter tasado los acontecimientos que reciben la calificación de «extraordinarios» a efectos de esta cobertura: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6.1.a)-c) del Estatuto Legal del CCS (RDL 7/2004)</w:t>
            </w:r>
          </w:p>
          <w:p>
            <w:pPr>
              <w:spacing w:after="0" w:line="280"/>
              <w:jc w:val="both"/>
            </w:pPr>
            <w:r>
              <w:rPr>
                <w:rFonts w:ascii="IBM Plex Mono" w:cs="IBM Plex Mono" w:eastAsia="IBM Plex Mono" w:hAnsi="IBM Plex Mono"/>
                <w:i/>
                <w:iCs/>
                <w:color w:val="0A2540"/>
                <w:sz w:val="18"/>
                <w:szCs w:val="18"/>
              </w:rPr>
              <w:t xml:space="preserve">Se entenderán [...] por acontecimientos extraordinarios: a) Los siguientes fenómenos de la naturaleza: terremotos y maremotos, las inundaciones extraordinarias, las erupciones volcánicas, la tempestad ciclónica atípica y las caídas de cuerpos siderales y aerolitos. b) Los ocasionados violentamente como consecuencia de terrorismo, rebelión, sedición, motín y tumulto popular. c) Hechos o actuaciones de las Fuerzas Armadas o de las Fuerzas y Cuerpos de Seguridad en tiempo de paz.</w:t>
            </w:r>
          </w:p>
        </w:tc>
      </w:tr>
    </w:tbl>
    <w:p>
      <w:pPr>
        <w:spacing w:after="180" w:line="300"/>
        <w:jc w:val="both"/>
      </w:pPr>
      <w:r>
        <w:rPr>
          <w:rFonts w:ascii="Archivo" w:cs="Archivo" w:eastAsia="Archivo" w:hAnsi="Archivo"/>
          <w:sz w:val="21"/>
          <w:szCs w:val="21"/>
        </w:rPr>
        <w:t xml:space="preserve">La calificación técnica de un episodio concreto como «inundación extraordinaria» o «tempestad ciclónica atípica» —a diferencia de una lluvia o un viento intensos pero ordinarios— corresponde al propio Consorcio, con arreglo a criterios técnicos e hidrológicos o meteorológicos objetivos, lo que en la práctica exige al profesional verificar, ante cada episodio de fuertes lluvias o viento, si el Consorcio ha calificado el evento como extraordinario para la zona y fecha del siniestro, dato habitualmente publicado por el propio organismo.</w:t>
      </w:r>
    </w:p>
    <w:p>
      <w:pPr>
        <w:pStyle w:val="Heading2"/>
        <w:spacing w:after="160" w:before="400"/>
      </w:pPr>
      <w:r>
        <w:rPr>
          <w:rFonts w:ascii="Fraunces" w:cs="Fraunces" w:eastAsia="Fraunces" w:hAnsi="Fraunces"/>
          <w:b/>
          <w:bCs/>
          <w:color w:val="0A2540"/>
          <w:sz w:val="24"/>
          <w:szCs w:val="24"/>
        </w:rPr>
        <w:t xml:space="preserve">8.5. Presupuestos y límites de la cobertura del Consorcio</w:t>
      </w:r>
    </w:p>
    <w:p>
      <w:pPr>
        <w:spacing w:after="180" w:line="300"/>
        <w:jc w:val="both"/>
      </w:pPr>
      <w:r>
        <w:rPr>
          <w:rFonts w:ascii="Archivo" w:cs="Archivo" w:eastAsia="Archivo" w:hAnsi="Archivo"/>
          <w:sz w:val="21"/>
          <w:szCs w:val="21"/>
        </w:rPr>
        <w:t xml:space="preserve">La obligación del Consorcio de indemnizar un siniestro derivado de un acontecimiento extraordinario está sujeta a presupuestos precisos que conviene verificar sistemáticamente: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8.1 y 8.2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estará obligado a satisfacer las indemnizaciones derivadas de siniestros producidos por acontecimientos extraordinarios a los asegurados que hayan satisfecho los correspondientes recargos en favor de aquel y se encuentren en alguna de las situaciones siguientes: a) Que el riesgo extraordinario cubierto por el Consorcio no esté amparado por póliza de seguro. b) Que, aun estando amparado por póliza de seguro, las obligaciones de la entidad aseguradora no pudieran ser cumplidas por haber sido declarada judicialmente en concurso [...]. La obligación del Consorcio amparará necesaria y exclusivamente a las mismas personas o bienes y por las mismas sumas aseguradas que se hayan establecido en las pólizas de seguro [...]. Esta obligación se limitará a las indemnizaciones que proceda abonar conforme a la ley española de contrato de seguro.</w:t>
            </w:r>
          </w:p>
        </w:tc>
      </w:tr>
    </w:tbl>
    <w:p>
      <w:pPr>
        <w:pStyle w:val="ListParagraph"/>
        <w:numPr>
          <w:ilvl w:val="0"/>
          <w:numId w:val="2"/>
        </w:numPr>
        <w:spacing w:after="100" w:line="290"/>
      </w:pPr>
      <w:r>
        <w:rPr>
          <w:rFonts w:ascii="Archivo" w:cs="Archivo" w:eastAsia="Archivo" w:hAnsi="Archivo"/>
          <w:b/>
          <w:bCs/>
          <w:sz w:val="21"/>
          <w:szCs w:val="21"/>
        </w:rPr>
        <w:t xml:space="preserve">Existencia de póliza de seguro de daños vigente: </w:t>
      </w:r>
      <w:r>
        <w:rPr>
          <w:rFonts w:ascii="Archivo" w:cs="Archivo" w:eastAsia="Archivo" w:hAnsi="Archivo"/>
          <w:sz w:val="21"/>
          <w:szCs w:val="21"/>
        </w:rPr>
        <w:t xml:space="preserve">el Consorcio actúa, con carácter general, como complemento de una póliza privada de daños que incluya el recargo obligatorio; un inmueble sin ningún seguro de daños contratado no queda, con carácter general, amparado por el Consorcio para riesgos extraordinarios sobre bienes.</w:t>
      </w:r>
    </w:p>
    <w:p>
      <w:pPr>
        <w:pStyle w:val="ListParagraph"/>
        <w:numPr>
          <w:ilvl w:val="0"/>
          <w:numId w:val="2"/>
        </w:numPr>
        <w:spacing w:after="100" w:line="290"/>
      </w:pPr>
      <w:r>
        <w:rPr>
          <w:rFonts w:ascii="Archivo" w:cs="Archivo" w:eastAsia="Archivo" w:hAnsi="Archivo"/>
          <w:b/>
          <w:bCs/>
          <w:sz w:val="21"/>
          <w:szCs w:val="21"/>
        </w:rPr>
        <w:t xml:space="preserve">Pago del recargo: </w:t>
      </w:r>
      <w:r>
        <w:rPr>
          <w:rFonts w:ascii="Archivo" w:cs="Archivo" w:eastAsia="Archivo" w:hAnsi="Archivo"/>
          <w:sz w:val="21"/>
          <w:szCs w:val="21"/>
        </w:rPr>
        <w:t xml:space="preserve">el recargo se incorpora automáticamente al recibo de la póliza privada por mandato legal, sin que el tomador pueda, en la práctica, excluirlo respecto de los riesgos y bienes amparados por la póliza.</w:t>
      </w:r>
    </w:p>
    <w:p>
      <w:pPr>
        <w:pStyle w:val="ListParagraph"/>
        <w:numPr>
          <w:ilvl w:val="0"/>
          <w:numId w:val="2"/>
        </w:numPr>
        <w:spacing w:after="100" w:line="290"/>
      </w:pPr>
      <w:r>
        <w:rPr>
          <w:rFonts w:ascii="Archivo" w:cs="Archivo" w:eastAsia="Archivo" w:hAnsi="Archivo"/>
          <w:b/>
          <w:bCs/>
          <w:sz w:val="21"/>
          <w:szCs w:val="21"/>
        </w:rPr>
        <w:t xml:space="preserve">Límite cuantitativo: </w:t>
      </w:r>
      <w:r>
        <w:rPr>
          <w:rFonts w:ascii="Archivo" w:cs="Archivo" w:eastAsia="Archivo" w:hAnsi="Archivo"/>
          <w:sz w:val="21"/>
          <w:szCs w:val="21"/>
        </w:rPr>
        <w:t xml:space="preserve">la indemnización del Consorcio se limita a las mismas personas, bienes y sumas aseguradas que figuren en la póliza privada subyacente, sin que pueda exceder dichos límites.</w:t>
      </w:r>
    </w:p>
    <w:p>
      <w:pPr>
        <w:pStyle w:val="Heading2"/>
        <w:spacing w:after="160" w:before="400"/>
      </w:pPr>
      <w:r>
        <w:rPr>
          <w:rFonts w:ascii="Fraunces" w:cs="Fraunces" w:eastAsia="Fraunces" w:hAnsi="Fraunces"/>
          <w:b/>
          <w:bCs/>
          <w:color w:val="0A2540"/>
          <w:sz w:val="24"/>
          <w:szCs w:val="24"/>
        </w:rPr>
        <w:t xml:space="preserve">8.6. Riesgos expresamente excluidos de la cobertura del Consorcio</w:t>
      </w:r>
    </w:p>
    <w:p>
      <w:pPr>
        <w:spacing w:after="180" w:line="300"/>
        <w:jc w:val="both"/>
      </w:pPr>
      <w:r>
        <w:rPr>
          <w:rFonts w:ascii="Archivo" w:cs="Archivo" w:eastAsia="Archivo" w:hAnsi="Archivo"/>
          <w:sz w:val="21"/>
          <w:szCs w:val="21"/>
        </w:rPr>
        <w:t xml:space="preserve">El artículo 6.3 del Estatuto Legal excluye expresamente determinados supuestos, de particular relevancia práctica en el ramo de hogar:</w:t>
      </w:r>
    </w:p>
    <w:p>
      <w:pPr>
        <w:pStyle w:val="ListParagraph"/>
        <w:numPr>
          <w:ilvl w:val="0"/>
          <w:numId w:val="2"/>
        </w:numPr>
        <w:spacing w:after="100" w:line="290"/>
      </w:pPr>
      <w:r>
        <w:rPr>
          <w:rFonts w:ascii="Archivo" w:cs="Archivo" w:eastAsia="Archivo" w:hAnsi="Archivo"/>
          <w:b/>
          <w:bCs/>
          <w:sz w:val="21"/>
          <w:szCs w:val="21"/>
        </w:rPr>
        <w:t xml:space="preserve">Vicio o defecto propio de la cosa asegurada: </w:t>
      </w:r>
      <w:r>
        <w:rPr>
          <w:rFonts w:ascii="Archivo" w:cs="Archivo" w:eastAsia="Archivo" w:hAnsi="Archivo"/>
          <w:sz w:val="21"/>
          <w:szCs w:val="21"/>
        </w:rPr>
        <w:t xml:space="preserve">un daño causado por defectos constructivos previos, aunque coincida temporalmente con un episodio de lluvias intensas, no queda amparado por esta vía.</w:t>
      </w:r>
    </w:p>
    <w:p>
      <w:pPr>
        <w:pStyle w:val="ListParagraph"/>
        <w:numPr>
          <w:ilvl w:val="0"/>
          <w:numId w:val="2"/>
        </w:numPr>
        <w:spacing w:after="100" w:line="290"/>
      </w:pPr>
      <w:r>
        <w:rPr>
          <w:rFonts w:ascii="Archivo" w:cs="Archivo" w:eastAsia="Archivo" w:hAnsi="Archivo"/>
          <w:b/>
          <w:bCs/>
          <w:sz w:val="21"/>
          <w:szCs w:val="21"/>
        </w:rPr>
        <w:t xml:space="preserve">Mera acción del tiempo o agentes atmosféricos ordinarios: </w:t>
      </w:r>
      <w:r>
        <w:rPr>
          <w:rFonts w:ascii="Archivo" w:cs="Archivo" w:eastAsia="Archivo" w:hAnsi="Archivo"/>
          <w:sz w:val="21"/>
          <w:szCs w:val="21"/>
        </w:rPr>
        <w:t xml:space="preserve">distintos de los fenómenos de la naturaleza expresamente tipificados como extraordinarios, lo que reconduce estos daños a la cobertura ordinaria de la póliza privada, si existe.</w:t>
      </w:r>
    </w:p>
    <w:p>
      <w:pPr>
        <w:pStyle w:val="ListParagraph"/>
        <w:numPr>
          <w:ilvl w:val="0"/>
          <w:numId w:val="2"/>
        </w:numPr>
        <w:spacing w:after="100" w:line="290"/>
      </w:pPr>
      <w:r>
        <w:rPr>
          <w:rFonts w:ascii="Archivo" w:cs="Archivo" w:eastAsia="Archivo" w:hAnsi="Archivo"/>
          <w:b/>
          <w:bCs/>
          <w:sz w:val="21"/>
          <w:szCs w:val="21"/>
        </w:rPr>
        <w:t xml:space="preserve">Siniestros no indemnizables conforme a la LCS: </w:t>
      </w:r>
      <w:r>
        <w:rPr>
          <w:rFonts w:ascii="Archivo" w:cs="Archivo" w:eastAsia="Archivo" w:hAnsi="Archivo"/>
          <w:sz w:val="21"/>
          <w:szCs w:val="21"/>
        </w:rPr>
        <w:t xml:space="preserve">el Consorcio no amplía el régimen causal de la LCS; si un daño no sería indemnizable por un asegurador privado conforme a la Ley (por ejemplo, por dolo del asegurado), tampoco lo es por el Consorcio.</w:t>
      </w:r>
    </w:p>
    <w:p>
      <w:pPr>
        <w:pStyle w:val="Heading2"/>
        <w:spacing w:after="160" w:before="400"/>
      </w:pPr>
      <w:r>
        <w:rPr>
          <w:rFonts w:ascii="Fraunces" w:cs="Fraunces" w:eastAsia="Fraunces" w:hAnsi="Fraunces"/>
          <w:b/>
          <w:bCs/>
          <w:color w:val="0A2540"/>
          <w:sz w:val="24"/>
          <w:szCs w:val="24"/>
        </w:rPr>
        <w:t xml:space="preserve">8.7. Procedimiento de reclamación ante el Consorcio</w:t>
      </w:r>
    </w:p>
    <w:p>
      <w:pPr>
        <w:spacing w:after="180" w:line="300"/>
        <w:jc w:val="both"/>
      </w:pPr>
      <w:r>
        <w:rPr>
          <w:rFonts w:ascii="Archivo" w:cs="Archivo" w:eastAsia="Archivo" w:hAnsi="Archivo"/>
          <w:sz w:val="21"/>
          <w:szCs w:val="21"/>
        </w:rPr>
        <w:t xml:space="preserve">Cuando un siniestro se atribuye a un acontecimiento extraordinario, el asegurado debe dirigir su reclamación directamente al Consorcio de Compensación de Seguros, no a su aseguradora privada, sin perjuicio de que esta última pueda —y en la práctica suela— colaborar en la tramitación inicial del expediente. El Consorcio dispone de su propio cuerpo de peritos y de un procedimiento de valoración específico, regulado reglamentariamente, cuyos plazos y trámites, aunque inspirados en el régimen general de la LCS, presentan especialidades administrativas propias que exceden el objeto de esta obra y que conviene verificar en cada caso en la normativa reglamentaria y en la información oficial del propio organismo.</w:t>
      </w:r>
    </w:p>
    <w:p>
      <w:pPr>
        <w:pStyle w:val="Heading2"/>
        <w:spacing w:after="160" w:before="400"/>
      </w:pPr>
      <w:r>
        <w:rPr>
          <w:rFonts w:ascii="Fraunces" w:cs="Fraunces" w:eastAsia="Fraunces" w:hAnsi="Fraunces"/>
          <w:b/>
          <w:bCs/>
          <w:color w:val="0A2540"/>
          <w:sz w:val="24"/>
          <w:szCs w:val="24"/>
        </w:rPr>
        <w:t xml:space="preserve">8.8.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siniestro atmosférico de entidad</w:t>
            </w:r>
          </w:p>
          <w:p>
            <w:pPr>
              <w:pStyle w:val="ListParagraph"/>
              <w:numPr>
                <w:ilvl w:val="0"/>
                <w:numId w:val="2"/>
              </w:numPr>
              <w:spacing w:after="80" w:line="280"/>
            </w:pPr>
            <w:r>
              <w:rPr>
                <w:rFonts w:ascii="Archivo" w:cs="Archivo" w:eastAsia="Archivo" w:hAnsi="Archivo"/>
                <w:sz w:val="19"/>
                <w:szCs w:val="19"/>
              </w:rPr>
              <w:t xml:space="preserve">Verificar si el Consorcio ha calificado oficialmente el episodio como «acontecimiento extraordinario» para la zona y fecha del siniestro, antes de dirigir la reclamación a la aseguradora privada o al propio Consorcio.</w:t>
            </w:r>
          </w:p>
          <w:p>
            <w:pPr>
              <w:pStyle w:val="ListParagraph"/>
              <w:numPr>
                <w:ilvl w:val="0"/>
                <w:numId w:val="2"/>
              </w:numPr>
              <w:spacing w:after="80" w:line="280"/>
            </w:pPr>
            <w:r>
              <w:rPr>
                <w:rFonts w:ascii="Archivo" w:cs="Archivo" w:eastAsia="Archivo" w:hAnsi="Archivo"/>
                <w:sz w:val="19"/>
                <w:szCs w:val="19"/>
              </w:rPr>
              <w:t xml:space="preserve">Comprobar que la póliza de hogar del cliente está vigente y al corriente de pago (incluido el recargo del Consorcio) en la fecha del siniestro.</w:t>
            </w:r>
          </w:p>
          <w:p>
            <w:pPr>
              <w:pStyle w:val="ListParagraph"/>
              <w:numPr>
                <w:ilvl w:val="0"/>
                <w:numId w:val="2"/>
              </w:numPr>
              <w:spacing w:after="80" w:line="280"/>
            </w:pPr>
            <w:r>
              <w:rPr>
                <w:rFonts w:ascii="Archivo" w:cs="Archivo" w:eastAsia="Archivo" w:hAnsi="Archivo"/>
                <w:sz w:val="19"/>
                <w:szCs w:val="19"/>
              </w:rPr>
              <w:t xml:space="preserve">Distinguir con prueba pericial entre el daño atribuible al fenómeno extraordinario y el atribuible a un vicio o defecto constructivo preexistente, expresamente excluido de la cobertura del Consorcio.</w:t>
            </w:r>
          </w:p>
          <w:p>
            <w:pPr>
              <w:pStyle w:val="ListParagraph"/>
              <w:numPr>
                <w:ilvl w:val="0"/>
                <w:numId w:val="2"/>
              </w:numPr>
              <w:spacing w:after="80" w:line="280"/>
            </w:pPr>
            <w:r>
              <w:rPr>
                <w:rFonts w:ascii="Archivo" w:cs="Archivo" w:eastAsia="Archivo" w:hAnsi="Archivo"/>
                <w:sz w:val="19"/>
                <w:szCs w:val="19"/>
              </w:rPr>
              <w:t xml:space="preserve">Tener presente que la indemnización del Consorcio se limita a los mismos bienes y sumas aseguradas de la póliza privada subyacente: revisar la suficiencia de dichas sumas es tan relevante como en el seguro ordinario.</w:t>
            </w:r>
          </w:p>
        </w:tc>
      </w:tr>
    </w:tbl>
    <w:p>
      <w:pPr>
        <w:pStyle w:val="Heading2"/>
        <w:spacing w:after="160" w:before="400"/>
      </w:pPr>
      <w:r>
        <w:rPr>
          <w:rFonts w:ascii="Fraunces" w:cs="Fraunces" w:eastAsia="Fraunces" w:hAnsi="Fraunces"/>
          <w:b/>
          <w:bCs/>
          <w:color w:val="0A2540"/>
          <w:sz w:val="24"/>
          <w:szCs w:val="24"/>
        </w:rPr>
        <w:t xml:space="preserve">8.9.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cobertura de catástrofes</w:t>
            </w:r>
          </w:p>
          <w:p>
            <w:pPr>
              <w:pStyle w:val="ListParagraph"/>
              <w:numPr>
                <w:ilvl w:val="0"/>
                <w:numId w:val="2"/>
              </w:numPr>
              <w:spacing w:after="80" w:line="280"/>
            </w:pPr>
            <w:r>
              <w:rPr>
                <w:rFonts w:ascii="Archivo" w:cs="Archivo" w:eastAsia="Archivo" w:hAnsi="Archivo"/>
                <w:sz w:val="19"/>
                <w:szCs w:val="19"/>
              </w:rPr>
              <w:t xml:space="preserve">Si su vivienda sufre daños por una inundación, un terremoto o un temporal de gran intensidad, es posible que la reclamación deba dirigirse al Consorcio de Compensación de Seguros y no (solo) a su aseguradora habitual.</w:t>
            </w:r>
          </w:p>
          <w:p>
            <w:pPr>
              <w:pStyle w:val="ListParagraph"/>
              <w:numPr>
                <w:ilvl w:val="0"/>
                <w:numId w:val="2"/>
              </w:numPr>
              <w:spacing w:after="80" w:line="280"/>
            </w:pPr>
            <w:r>
              <w:rPr>
                <w:rFonts w:ascii="Archivo" w:cs="Archivo" w:eastAsia="Archivo" w:hAnsi="Archivo"/>
                <w:sz w:val="19"/>
                <w:szCs w:val="19"/>
              </w:rPr>
              <w:t xml:space="preserve">El recargo del Consorcio ya está incluido en el recibo de su seguro de hogar: no es una contratación adicional ni puede excluirla si su póliza cubre los bienes correspondientes.</w:t>
            </w:r>
          </w:p>
          <w:p>
            <w:pPr>
              <w:pStyle w:val="ListParagraph"/>
              <w:numPr>
                <w:ilvl w:val="0"/>
                <w:numId w:val="2"/>
              </w:numPr>
              <w:spacing w:after="80" w:line="280"/>
            </w:pPr>
            <w:r>
              <w:rPr>
                <w:rFonts w:ascii="Archivo" w:cs="Archivo" w:eastAsia="Archivo" w:hAnsi="Archivo"/>
                <w:sz w:val="19"/>
                <w:szCs w:val="19"/>
              </w:rPr>
              <w:t xml:space="preserve">Guarde el recibo de su póliza y compruebe que está al corriente de pago: es requisito para la cobertura del Consorcio.</w:t>
            </w:r>
          </w:p>
          <w:p>
            <w:pPr>
              <w:pStyle w:val="ListParagraph"/>
              <w:numPr>
                <w:ilvl w:val="0"/>
                <w:numId w:val="2"/>
              </w:numPr>
              <w:spacing w:after="80" w:line="280"/>
            </w:pPr>
            <w:r>
              <w:rPr>
                <w:rFonts w:ascii="Archivo" w:cs="Archivo" w:eastAsia="Archivo" w:hAnsi="Archivo"/>
                <w:sz w:val="19"/>
                <w:szCs w:val="19"/>
              </w:rPr>
              <w:t xml:space="preserve">La indemnización del Consorcio nunca superará la suma asegurada de su propia póliza: si su vivienda está infraasegurada, esa limitación también le afectará en un siniestro extraordinario.</w:t>
            </w:r>
          </w:p>
        </w:tc>
      </w:tr>
    </w:tbl>
    <w:p>
      <w:pPr>
        <w:pStyle w:val="Heading2"/>
        <w:spacing w:after="160" w:before="400"/>
      </w:pPr>
      <w:r>
        <w:rPr>
          <w:rFonts w:ascii="Fraunces" w:cs="Fraunces" w:eastAsia="Fraunces" w:hAnsi="Fraunces"/>
          <w:b/>
          <w:bCs/>
          <w:color w:val="0A2540"/>
          <w:sz w:val="24"/>
          <w:szCs w:val="24"/>
        </w:rPr>
        <w:t xml:space="preserve">8.10. Checklist: seguro privado o Consorcio</w:t>
      </w:r>
    </w:p>
    <w:p>
      <w:pPr>
        <w:pStyle w:val="ListParagraph"/>
        <w:numPr>
          <w:ilvl w:val="0"/>
          <w:numId w:val="2"/>
        </w:numPr>
        <w:spacing w:after="100" w:line="290"/>
      </w:pPr>
      <w:r>
        <w:rPr>
          <w:rFonts w:ascii="Archivo" w:cs="Archivo" w:eastAsia="Archivo" w:hAnsi="Archivo"/>
          <w:sz w:val="21"/>
          <w:szCs w:val="21"/>
        </w:rPr>
        <w:t xml:space="preserve">1. ¿El fenómeno ha sido calificado oficialmente como acontecimiento extraordinario?</w:t>
      </w:r>
    </w:p>
    <w:p>
      <w:pPr>
        <w:pStyle w:val="ListParagraph"/>
        <w:numPr>
          <w:ilvl w:val="0"/>
          <w:numId w:val="2"/>
        </w:numPr>
        <w:spacing w:after="100" w:line="290"/>
      </w:pPr>
      <w:r>
        <w:rPr>
          <w:rFonts w:ascii="Archivo" w:cs="Archivo" w:eastAsia="Archivo" w:hAnsi="Archivo"/>
          <w:sz w:val="21"/>
          <w:szCs w:val="21"/>
        </w:rPr>
        <w:t xml:space="preserve">2. ¿La póliza de hogar estaba vigente y al corriente de pago del recargo en la fecha del siniestro?</w:t>
      </w:r>
    </w:p>
    <w:p>
      <w:pPr>
        <w:pStyle w:val="ListParagraph"/>
        <w:numPr>
          <w:ilvl w:val="0"/>
          <w:numId w:val="2"/>
        </w:numPr>
        <w:spacing w:after="100" w:line="290"/>
      </w:pPr>
      <w:r>
        <w:rPr>
          <w:rFonts w:ascii="Archivo" w:cs="Archivo" w:eastAsia="Archivo" w:hAnsi="Archivo"/>
          <w:sz w:val="21"/>
          <w:szCs w:val="21"/>
        </w:rPr>
        <w:t xml:space="preserve">3. ¿El daño obedece al fenómeno extraordinario o a un vicio/defecto constructivo preexistente?</w:t>
      </w:r>
    </w:p>
    <w:p>
      <w:pPr>
        <w:pStyle w:val="ListParagraph"/>
        <w:numPr>
          <w:ilvl w:val="0"/>
          <w:numId w:val="2"/>
        </w:numPr>
        <w:spacing w:after="100" w:line="290"/>
      </w:pPr>
      <w:r>
        <w:rPr>
          <w:rFonts w:ascii="Archivo" w:cs="Archivo" w:eastAsia="Archivo" w:hAnsi="Archivo"/>
          <w:sz w:val="21"/>
          <w:szCs w:val="21"/>
        </w:rPr>
        <w:t xml:space="preserve">4. ¿Las sumas aseguradas de la póliza privada son suficientes, dado que limitan también la cobertura del Consorcio?</w:t>
      </w:r>
    </w:p>
    <w:p>
      <w:pPr>
        <w:pStyle w:val="ListParagraph"/>
        <w:numPr>
          <w:ilvl w:val="0"/>
          <w:numId w:val="2"/>
        </w:numPr>
        <w:spacing w:after="100" w:line="290"/>
      </w:pPr>
      <w:r>
        <w:rPr>
          <w:rFonts w:ascii="Archivo" w:cs="Archivo" w:eastAsia="Archivo" w:hAnsi="Archivo"/>
          <w:sz w:val="21"/>
          <w:szCs w:val="21"/>
        </w:rPr>
        <w:t xml:space="preserve">5. ¿Se ha presentado la reclamación ante el organismo competente (Consorcio o aseguradora privada) según la calificación del riesgo?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la reseña de esta corriente en la Revista Española de Seguros, publicación periódica de la Sección Española de la Asociación Internacional de Derecho de Seguros (SEAIDA).</w:t>
      </w:r>
    </w:p>
  </w:footnote>
  <w:footnote w:id="7">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 w:id="8">
    <w:p>
      <w:r>
        <w:rPr>
          <w:rStyle w:val="FootnoteReference"/>
        </w:rPr>
        <w:footnoteRef/>
      </w:r>
      <w:r>
        <w:rPr>
          <w:rFonts w:ascii="Archivo" w:cs="Archivo" w:eastAsia="Archivo" w:hAnsi="Archivo"/>
          <w:sz w:val="17"/>
          <w:szCs w:val="17"/>
        </w:rPr>
        <w:t xml:space="preserve">La disociación entre tomador, asegurado y beneficiario, extraña a otras figuras contractuales, es una de las notas más singulares del contrato de seguro; sobre su fundamento estructural, vid. SÁNCHEZ CALERO, F. (dir.), Ley de Contrato de Seguro. Comentarios..., op. cit., ad art. 7.</w:t>
      </w:r>
    </w:p>
  </w:footnote>
  <w:footnote w:id="9">
    <w:p>
      <w:r>
        <w:rPr>
          <w:rStyle w:val="FootnoteReference"/>
        </w:rPr>
        <w:footnoteRef/>
      </w:r>
      <w:r>
        <w:rPr>
          <w:rFonts w:ascii="Archivo" w:cs="Archivo" w:eastAsia="Archivo" w:hAnsi="Archivo"/>
          <w:sz w:val="17"/>
          <w:szCs w:val="17"/>
        </w:rPr>
        <w:t xml:space="preserve">La función del interés asegurable es doble: de un lado, causal (evita que el seguro degenere en apuesta); de otro, preventiva (desincentiva la provocación intencionada del siniestro por quien no sufre pérdida alguna con su producción); cfr. VEIGA COPO, A. B., Tratado del Contrato de Seguro, op. cit., tomo I, capítulo dedicado al interés en el seguro.</w:t>
      </w:r>
    </w:p>
  </w:footnote>
  <w:footnote w:id="10">
    <w:p>
      <w:r>
        <w:rPr>
          <w:rStyle w:val="FootnoteReference"/>
        </w:rPr>
        <w:footnoteRef/>
      </w:r>
      <w:r>
        <w:rPr>
          <w:rFonts w:ascii="Archivo" w:cs="Archivo" w:eastAsia="Archivo" w:hAnsi="Archivo"/>
          <w:sz w:val="17"/>
          <w:szCs w:val="17"/>
        </w:rPr>
        <w:t xml:space="preserve">Antes de la reforma de 2023, el precepto obligaba al tomador a declarar «todas las circunstancias por él conocidas que puedan influir en la valoración del riesgo», lo que la práctica aseguradora instrumentalizaba mediante cuestionarios de alcance muy amplio; la reforma de 2023 reforzó el modelo de «declaración-cuestionario» en detrimento del modelo de «declaración espontánea», acercando el régimen español al de otros ordenamientos de nuestro entorno; sobre esta evolución, vid. SÁNCHEZ CALERO, F. (dir.), op. cit., ad art. 10, en sus últimas actualizaciones.</w:t>
      </w:r>
    </w:p>
  </w:footnote>
  <w:footnote w:id="11">
    <w:p>
      <w:r>
        <w:rPr>
          <w:rStyle w:val="FootnoteReference"/>
        </w:rPr>
        <w:footnoteRef/>
      </w:r>
      <w:r>
        <w:rPr>
          <w:rFonts w:ascii="Archivo" w:cs="Archivo" w:eastAsia="Archivo" w:hAnsi="Archivo"/>
          <w:sz w:val="17"/>
          <w:szCs w:val="17"/>
        </w:rPr>
        <w:t xml:space="preserve">La STS, Sala de lo Civil, de 16 de marzo de 2016 (ROJ: STS 1208/2016; ECLI:ES:TS:2016:1208; MP: Orduña Moreno) —que recoge, a su vez, la doctrina de las SSTS 1200/2007, de 15 de noviembre, y 600/2006, de 1 de junio— resume el criterio con especial claridad: el art. 10 LCS «ha concebido más que un deber de declaración, un deber de contestación o respuesta del tomador de lo que se le pregunta por el asegurador», de manera que no basta la simple declaración genérica de «buen estado de salud» o «riesgo normal» sin preguntas específicas, ni exonera al asegurador el hecho de que el cuestionario lo cumplimente materialmente un mediador o el personal de una entidad financiera actuando por su cuenta; cfr. BATALLER GRAU, J. et al., op. cit., ad art. 10.</w:t>
      </w:r>
    </w:p>
  </w:footnote>
  <w:footnote w:id="12">
    <w:p>
      <w:r>
        <w:rPr>
          <w:rStyle w:val="FootnoteReference"/>
        </w:rPr>
        <w:footnoteRef/>
      </w:r>
      <w:r>
        <w:rPr>
          <w:rFonts w:ascii="Archivo" w:cs="Archivo" w:eastAsia="Archivo" w:hAnsi="Archivo"/>
          <w:sz w:val="17"/>
          <w:szCs w:val="17"/>
        </w:rPr>
        <w:t xml:space="preserve">El control de incorporación opera con independencia de que el adherente sea o no consumidor, a diferencia del control de contenido (cláusulas abusivas), reservado a los adherentes que ostenten la condición de consumidor o usuario; cfr. capítulo 21 de esta obra.</w:t>
      </w:r>
    </w:p>
  </w:footnote>
  <w:footnote w:id="13">
    <w:p>
      <w:r>
        <w:rPr>
          <w:rStyle w:val="FootnoteReference"/>
        </w:rPr>
        <w:footnoteRef/>
      </w:r>
      <w:r>
        <w:rPr>
          <w:rFonts w:ascii="Archivo" w:cs="Archivo" w:eastAsia="Archivo" w:hAnsi="Archivo"/>
          <w:sz w:val="17"/>
          <w:szCs w:val="17"/>
        </w:rPr>
        <w:t xml:space="preserve">La regla contra proferentem tiene una larga tradición en el derecho romano (in dubio contra stipulatorem) y se ha convertido, en el derecho contractual moderno, en instrumento privilegiado de control de las condiciones generales predispuestas; sobre su función en el contrato de seguro, vid. VEIGA COPO, A. B., Condiciones generales y particulares en el contrato de seguro, op. cit., capítulo dedicado a la interpretación del contrato de seguro.</w:t>
      </w:r>
    </w:p>
  </w:footnote>
  <w:footnote w:id="14">
    <w:p>
      <w:r>
        <w:rPr>
          <w:rStyle w:val="FootnoteReference"/>
        </w:rPr>
        <w:footnoteRef/>
      </w:r>
      <w:r>
        <w:rPr>
          <w:rFonts w:ascii="Archivo" w:cs="Archivo" w:eastAsia="Archivo" w:hAnsi="Archivo"/>
          <w:sz w:val="17"/>
          <w:szCs w:val="17"/>
        </w:rPr>
        <w:t xml:space="preserve">La aplicación supletoria de las disposiciones específicas del seguro de incendio (arts. 45-49 LCS) al seguro multirriesgo, en la parte relativa a esta garantía, es doctrina y práctica pacífica; cfr. SÁNCHEZ CALERO, F. (dir.), op. cit., ad art. 45, sobre la naturaleza de estas normas como «núcleo mínimo» irrenunciable del seguro de incendio cualquiera que sea el producto en que se integre.</w:t>
      </w:r>
    </w:p>
  </w:footnote>
  <w:footnote w:id="15">
    <w:p>
      <w:r>
        <w:rPr>
          <w:rStyle w:val="FootnoteReference"/>
        </w:rPr>
        <w:footnoteRef/>
      </w:r>
      <w:r>
        <w:rPr>
          <w:rFonts w:ascii="Archivo" w:cs="Archivo" w:eastAsia="Archivo" w:hAnsi="Archivo"/>
          <w:sz w:val="17"/>
          <w:szCs w:val="17"/>
        </w:rPr>
        <w:t xml:space="preserve">La amplitud de la cobertura del art. 48 LCS a favor del asegurado, cubriendo incluso su propia negligencia leve, es una de las notas que distinguen históricamente al seguro de incendio de otras modalidades de seguro de daños, heredada de la tradición aseguradora continental; cfr. VEIGA COPO, A. B., Tratado del Contrato de Seguro, op. cit., tomo dedicado a los seguros de daños patrimoniales, capítulo sobre el seguro de incendio.</w:t>
      </w:r>
    </w:p>
  </w:footnote>
  <w:footnote w:id="16">
    <w:p>
      <w:r>
        <w:rPr>
          <w:rStyle w:val="FootnoteReference"/>
        </w:rPr>
        <w:footnoteRef/>
      </w:r>
      <w:r>
        <w:rPr>
          <w:rFonts w:ascii="Archivo" w:cs="Archivo" w:eastAsia="Archivo" w:hAnsi="Archivo"/>
          <w:sz w:val="17"/>
          <w:szCs w:val="17"/>
        </w:rPr>
        <w:t xml:space="preserve">La ausencia de régimen legal específico obliga a proyectar sobre esta garantía, con mayor intensidad que sobre otras, el régimen general de los arts. 1 a 44 LCS (disposiciones generales del seguro contra daños) y, muy especialmente, el art. 3 LCS sobre condiciones generales y limitativas, estudiado en los capítulos 1 y 4; cfr. BATALLER GRAU, J. et al., op. cit., epígrafe introductorio al comentario de las coberturas atípicas del seguro multirriesgo.</w:t>
      </w:r>
    </w:p>
  </w:footnote>
  <w:footnote w:id="17">
    <w:p>
      <w:r>
        <w:rPr>
          <w:rStyle w:val="FootnoteReference"/>
        </w:rPr>
        <w:footnoteRef/>
      </w:r>
      <w:r>
        <w:rPr>
          <w:rFonts w:ascii="Archivo" w:cs="Archivo" w:eastAsia="Archivo" w:hAnsi="Archivo"/>
          <w:sz w:val="17"/>
          <w:szCs w:val="17"/>
        </w:rPr>
        <w:t xml:space="preserve">Sobre la distinción entre daño continuado (que no cierra el plazo de prescripción hasta la consolidación del resultado definitivo) y daño permanente de producción instantánea (cuyo plazo corre desde el conocimiento inicial), con abundante cita de precedentes, vid. la reseña doctrinal de esta distinción en Revista Española de Seguros, op. cit.</w:t>
      </w:r>
    </w:p>
  </w:footnote>
  <w:footnote w:id="18">
    <w:p>
      <w:r>
        <w:rPr>
          <w:rStyle w:val="FootnoteReference"/>
        </w:rPr>
        <w:footnoteRef/>
      </w:r>
      <w:r>
        <w:rPr>
          <w:rFonts w:ascii="Archivo" w:cs="Archivo" w:eastAsia="Archivo" w:hAnsi="Archivo"/>
          <w:sz w:val="17"/>
          <w:szCs w:val="17"/>
        </w:rPr>
        <w:t xml:space="preserve">El art. 50 LCS emplea la expresión «sustracción ilegítima» y remite a «cualquiera de sus formas» de comisión del delito, lo que en la práctica aseguradora se interpreta en sentido amplio, comprensivo tanto del robo con fuerza o violencia como, cuando así se pacte, del hurto y de la apropiación indebida; sobre esta amplitud conceptual, cfr. SÁNCHEZ CALERO, F. (dir.), op. cit., ad art. 50.</w:t>
      </w:r>
    </w:p>
  </w:footnote>
  <w:footnote w:id="19">
    <w:p>
      <w:r>
        <w:rPr>
          <w:rStyle w:val="FootnoteReference"/>
        </w:rPr>
        <w:footnoteRef/>
      </w:r>
      <w:r>
        <w:rPr>
          <w:rFonts w:ascii="Archivo" w:cs="Archivo" w:eastAsia="Archivo" w:hAnsi="Archivo"/>
          <w:sz w:val="17"/>
          <w:szCs w:val="17"/>
        </w:rPr>
        <w:t xml:space="preserve">El sistema dual español —aseguramiento privado de riesgos ordinarios y cobertura pública complementaria de riesgos catastróficos mediante recargo obligatorio— es una de las señas de identidad del ordenamiento asegurador español, sin equivalente exacto en otros ordenamientos de nuestro entorno; sobre su fundamento y funcionamiento, vid. VEIGA COPO, A. B., Tratado del Contrato de Seguro, op. cit., tomo dedicado al Consorcio de Compensación de Seguros.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2026-08-10T10:44:28.094Z</dcterms:created>
  <dcterms:modified xsi:type="dcterms:W3CDTF">2026-08-10T10:44:28.110Z</dcterms:modified>
</cp:coreProperties>
</file>

<file path=docProps/custom.xml><?xml version="1.0" encoding="utf-8"?>
<Properties xmlns="http://schemas.openxmlformats.org/officeDocument/2006/custom-properties" xmlns:vt="http://schemas.openxmlformats.org/officeDocument/2006/docPropsVTypes"/>
</file>