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2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36</w:t>
      </w:r>
    </w:p>
    <w:p>
      <w:pPr>
        <w:pStyle w:val="Author"/>
      </w:pPr>
      <w:r>
        <w:t xml:space="preserve">Волков</w:t>
      </w:r>
      <w:r>
        <w:t xml:space="preserve"> </w:t>
      </w:r>
      <w:r>
        <w:t xml:space="preserve">Фрол</w:t>
      </w:r>
      <w:r>
        <w:t xml:space="preserve"> </w:t>
      </w:r>
      <w:r>
        <w:t xml:space="preserve">НПИбд-01-19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-fig. 1). По какой именно гиперболе пойдет война, зависит от начальной точки.</w:t>
      </w:r>
    </w:p>
    <w:p>
      <w:pPr>
        <w:pStyle w:val="CaptionedFigure"/>
      </w:pPr>
      <w:bookmarkStart w:id="25" w:name="fig:001"/>
      <w:r>
        <w:drawing>
          <wp:inline>
            <wp:extent cx="3065929" cy="2397418"/>
            <wp:effectExtent b="0" l="0" r="0" t="0"/>
            <wp:docPr descr="Figure 1: Жесткая модель войны" title="" id="23" name="Picture"/>
            <a:graphic>
              <a:graphicData uri="http://schemas.openxmlformats.org/drawingml/2006/picture">
                <pic:pic>
                  <pic:nvPicPr>
                    <pic:cNvPr descr="images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929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b</m:t>
                </m:r>
              </m:num>
              <m:den>
                <m:r>
                  <m:t>2</m:t>
                </m:r>
              </m:den>
            </m:f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−</m:t>
            </m:r>
            <m:r>
              <m:t>c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9" w:name="fig:002"/>
      <w:r>
        <w:drawing>
          <wp:inline>
            <wp:extent cx="2981405" cy="2205317"/>
            <wp:effectExtent b="0" l="0" r="0" t="0"/>
            <wp:docPr descr="Figure 2: Фазовые траектории для второго случая" title="" id="27" name="Picture"/>
            <a:graphic>
              <a:graphicData uri="http://schemas.openxmlformats.org/drawingml/2006/picture">
                <pic:pic>
                  <pic:nvPicPr>
                    <pic:cNvPr descr="images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r>
          <m:t>c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30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22022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33033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0.401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0.707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8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0.606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0.502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31"/>
    <w:bookmarkStart w:id="36" w:name="код-програм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//начальные условия</w:t>
      </w:r>
      <w:r>
        <w:br/>
      </w:r>
      <w:r>
        <w:rPr>
          <w:rStyle w:val="VerbatimChar"/>
        </w:rPr>
        <w:t xml:space="preserve">x0 = 22022;//численность первой армии</w:t>
      </w:r>
      <w:r>
        <w:br/>
      </w:r>
      <w:r>
        <w:rPr>
          <w:rStyle w:val="VerbatimChar"/>
        </w:rPr>
        <w:t xml:space="preserve">y0 = 33033;//численность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0.401;//константа,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 = 0.707;//эффективность боевых действий армии у</w:t>
      </w:r>
      <w:r>
        <w:br/>
      </w:r>
      <w:r>
        <w:rPr>
          <w:rStyle w:val="VerbatimChar"/>
        </w:rPr>
        <w:t xml:space="preserve">c = 0.606;//эффективность боевых действий армии х</w:t>
      </w:r>
      <w:r>
        <w:br/>
      </w:r>
      <w:r>
        <w:rPr>
          <w:rStyle w:val="VerbatimChar"/>
        </w:rPr>
        <w:t xml:space="preserve">h = 0.502;//константа,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tmax = 1;//предельный момент времени</w:t>
      </w:r>
      <w:r>
        <w:br/>
      </w:r>
      <w:r>
        <w:rPr>
          <w:rStyle w:val="VerbatimChar"/>
        </w:rPr>
        <w:t xml:space="preserve">dt = 0.05;//шаг изменения времени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 = P(t)//возможность подхода подкрепления к армии х</w:t>
      </w:r>
      <w:r>
        <w:br/>
      </w:r>
      <w:r>
        <w:rPr>
          <w:rStyle w:val="VerbatimChar"/>
        </w:rPr>
        <w:t xml:space="preserve">p = sin(8*t);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 = Q(t)//возможность подхода подкрепления к армии у</w:t>
      </w:r>
      <w:r>
        <w:br/>
      </w:r>
      <w:r>
        <w:rPr>
          <w:rStyle w:val="VerbatimChar"/>
        </w:rPr>
        <w:t xml:space="preserve">q = cos(6*t);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 = syst(t, y)</w:t>
      </w:r>
      <w:r>
        <w:br/>
      </w:r>
      <w:r>
        <w:rPr>
          <w:rStyle w:val="VerbatimChar"/>
        </w:rPr>
        <w:t xml:space="preserve">dy(1) = - a*y(1) - b*y(2) + P(t);//изменение численности первой арми</w:t>
      </w:r>
      <w:r>
        <w:br/>
      </w:r>
      <w:r>
        <w:rPr>
          <w:rStyle w:val="VerbatimChar"/>
        </w:rPr>
        <w:t xml:space="preserve">dy(2) = - c*y(1) - h*y(2) + Q(t);//изменение численности второйармии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y = ode(v0,t0,t,syst);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х(синий)</w:t>
      </w:r>
      <w:r>
        <w:br/>
      </w:r>
      <w:r>
        <w:rPr>
          <w:rStyle w:val="VerbatimChar"/>
        </w:rPr>
        <w:t xml:space="preserve">xtitle('Модель боевых действий № 1','Шаг','Численность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35" w:name="fig:003"/>
      <w:r>
        <w:drawing>
          <wp:inline>
            <wp:extent cx="5334000" cy="4247302"/>
            <wp:effectExtent b="0" l="0" r="0" t="0"/>
            <wp:docPr descr="Figure 3: График численности для случая 1" title="" id="33" name="Picture"/>
            <a:graphic>
              <a:graphicData uri="http://schemas.openxmlformats.org/drawingml/2006/picture">
                <pic:pic>
                  <pic:nvPicPr>
                    <pic:cNvPr descr="images/USAvsNATO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(красная).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0.343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0.895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0.699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0.433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36"/>
    <w:bookmarkStart w:id="41" w:name="код-программы-1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//начальные условия</w:t>
      </w:r>
      <w:r>
        <w:br/>
      </w:r>
      <w:r>
        <w:rPr>
          <w:rStyle w:val="VerbatimChar"/>
        </w:rPr>
        <w:t xml:space="preserve">x0 = 22022;//численность первой армии</w:t>
      </w:r>
      <w:r>
        <w:br/>
      </w:r>
      <w:r>
        <w:rPr>
          <w:rStyle w:val="VerbatimChar"/>
        </w:rPr>
        <w:t xml:space="preserve">y0 = 33033;//численность второй армии</w:t>
      </w:r>
      <w:r>
        <w:br/>
      </w:r>
      <w:r>
        <w:rPr>
          <w:rStyle w:val="VerbatimChar"/>
        </w:rPr>
        <w:t xml:space="preserve">t0 = 0;//начальный момент времени</w:t>
      </w:r>
      <w:r>
        <w:br/>
      </w:r>
      <w:r>
        <w:rPr>
          <w:rStyle w:val="VerbatimChar"/>
        </w:rPr>
        <w:t xml:space="preserve">a = 0.343;//константа,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 = 0.895;//эффективность боевых действий армии у</w:t>
      </w:r>
      <w:r>
        <w:br/>
      </w:r>
      <w:r>
        <w:rPr>
          <w:rStyle w:val="VerbatimChar"/>
        </w:rPr>
        <w:t xml:space="preserve">c = 0.699;//эффективность боевых действий армии х</w:t>
      </w:r>
      <w:r>
        <w:br/>
      </w:r>
      <w:r>
        <w:rPr>
          <w:rStyle w:val="VerbatimChar"/>
        </w:rPr>
        <w:t xml:space="preserve">h = 0.433;//константа,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tmax = 1;//предельный момент времени +-</w:t>
      </w:r>
      <w:r>
        <w:br/>
      </w:r>
      <w:r>
        <w:rPr>
          <w:rStyle w:val="VerbatimChar"/>
        </w:rPr>
        <w:t xml:space="preserve">dt = 0.05;//шаг изменения времени +-</w:t>
      </w:r>
      <w:r>
        <w:br/>
      </w:r>
      <w:r>
        <w:rPr>
          <w:rStyle w:val="VerbatimChar"/>
        </w:rPr>
        <w:t xml:space="preserve">t = [t0:dt:tmax];</w:t>
      </w:r>
      <w:r>
        <w:br/>
      </w:r>
      <w:r>
        <w:rPr>
          <w:rStyle w:val="VerbatimChar"/>
        </w:rPr>
        <w:t xml:space="preserve">function p = P(t)//возможность подхода подкрепления к армии х</w:t>
      </w:r>
      <w:r>
        <w:br/>
      </w:r>
      <w:r>
        <w:rPr>
          <w:rStyle w:val="VerbatimChar"/>
        </w:rPr>
        <w:t xml:space="preserve">p = 2*sin(2*t);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function q = Q(t)//возможность подхода подкрепления к армии у</w:t>
      </w:r>
      <w:r>
        <w:br/>
      </w:r>
      <w:r>
        <w:rPr>
          <w:rStyle w:val="VerbatimChar"/>
        </w:rPr>
        <w:t xml:space="preserve">q = 2*cos(t);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//Система дифференциальных уравнений</w:t>
      </w:r>
      <w:r>
        <w:br/>
      </w:r>
      <w:r>
        <w:rPr>
          <w:rStyle w:val="VerbatimChar"/>
        </w:rPr>
        <w:t xml:space="preserve">function dy = syst(t, y)</w:t>
      </w:r>
      <w:r>
        <w:br/>
      </w:r>
      <w:r>
        <w:rPr>
          <w:rStyle w:val="VerbatimChar"/>
        </w:rPr>
        <w:t xml:space="preserve">dy(1) = - a*y(1) - b*y(2) + P(t);//изменение численности первой арми</w:t>
      </w:r>
      <w:r>
        <w:br/>
      </w:r>
      <w:r>
        <w:rPr>
          <w:rStyle w:val="VerbatimChar"/>
        </w:rPr>
        <w:t xml:space="preserve">dy(2) = - c*y(1)*y(2) - h*y(2) + Q(t);//изменение численности второйармии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v0 = [x0;y0];//Вектор начальных условий</w:t>
      </w:r>
      <w:r>
        <w:br/>
      </w:r>
      <w:r>
        <w:rPr>
          <w:rStyle w:val="VerbatimChar"/>
        </w:rPr>
        <w:t xml:space="preserve">//Решение системы</w:t>
      </w:r>
      <w:r>
        <w:br/>
      </w:r>
      <w:r>
        <w:rPr>
          <w:rStyle w:val="VerbatimChar"/>
        </w:rPr>
        <w:t xml:space="preserve">y = ode(v0,t0,t,syst);</w:t>
      </w:r>
      <w:r>
        <w:br/>
      </w:r>
      <w:r>
        <w:rPr>
          <w:rStyle w:val="VerbatimChar"/>
        </w:rPr>
        <w:t xml:space="preserve">//Построение графиков решений</w:t>
      </w:r>
      <w:r>
        <w:br/>
      </w:r>
      <w:r>
        <w:rPr>
          <w:rStyle w:val="VerbatimChar"/>
        </w:rPr>
        <w:t xml:space="preserve">scf(0);</w:t>
      </w:r>
      <w:r>
        <w:br/>
      </w:r>
      <w:r>
        <w:rPr>
          <w:rStyle w:val="VerbatimChar"/>
        </w:rPr>
        <w:t xml:space="preserve">plot2d(t,y(1,:),style=2);//График изменения численности армии х(синий)</w:t>
      </w:r>
      <w:r>
        <w:br/>
      </w:r>
      <w:r>
        <w:rPr>
          <w:rStyle w:val="VerbatimChar"/>
        </w:rPr>
        <w:t xml:space="preserve">xtitle('Модель боевых действий № 2','Шаг','Численность армии');</w:t>
      </w:r>
      <w:r>
        <w:br/>
      </w:r>
      <w:r>
        <w:rPr>
          <w:rStyle w:val="VerbatimChar"/>
        </w:rPr>
        <w:t xml:space="preserve">plot2d(t,y(2,:), style = 5);//График изменения численности армии у(красный)</w:t>
      </w:r>
      <w:r>
        <w:br/>
      </w:r>
      <w:r>
        <w:rPr>
          <w:rStyle w:val="VerbatimChar"/>
        </w:rPr>
        <w:t xml:space="preserve">xgrid();</w:t>
      </w:r>
    </w:p>
    <w:p>
      <w:pPr>
        <w:pStyle w:val="CaptionedFigure"/>
      </w:pPr>
      <w:bookmarkStart w:id="40" w:name="fig:004"/>
      <w:r>
        <w:drawing>
          <wp:inline>
            <wp:extent cx="5334000" cy="4068792"/>
            <wp:effectExtent b="0" l="0" r="0" t="0"/>
            <wp:docPr descr="Figure 4: График численности для случая 2" title="" id="38" name="Picture"/>
            <a:graphic>
              <a:graphicData uri="http://schemas.openxmlformats.org/drawingml/2006/picture">
                <pic:pic>
                  <pic:nvPicPr>
                    <pic:cNvPr descr="images/yvsx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(синяя).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рассматриваемых случаях.</w:t>
      </w:r>
    </w:p>
    <w:bookmarkEnd w:id="41"/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3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4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45">
        <w:r>
          <w:rPr>
            <w:rStyle w:val="Hyperlink"/>
          </w:rPr>
          <w:t xml:space="preserve">Элементарные модели боя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hyperlink" Id="rId45" Target="https://intuit.ru/studies/educational_groups/594/courses/499/lecture/11353?page=7" TargetMode="External" /><Relationship Type="http://schemas.openxmlformats.org/officeDocument/2006/relationships/hyperlink" Id="rId43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4" Target="https://zen.yandex.ru/media/id/5fd3c685994c494848984b63/differencialnye-uravneniia-dinamiki-boia-5fd4bcc45a2c8e1f2cc208f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intuit.ru/studies/educational_groups/594/courses/499/lecture/11353?page=7" TargetMode="External" /><Relationship Type="http://schemas.openxmlformats.org/officeDocument/2006/relationships/hyperlink" Id="rId43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4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Волков Фрол НПИбд-01-19</dc:creator>
  <dc:language>ru-RU</dc:language>
  <cp:keywords/>
  <dcterms:created xsi:type="dcterms:W3CDTF">2022-02-26T17:38:38Z</dcterms:created>
  <dcterms:modified xsi:type="dcterms:W3CDTF">2022-02-26T17:38:38Z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\toc">
    <vt:lpwstr>True</vt:lpwstr>
  </property>
  <property fmtid="{D5CDD505-2E9C-101B-9397-08002B2CF9AE}" pid="3" name="\toc-title">
    <vt:lpwstr>Содержание</vt:lpwstr>
  </property>
  <property fmtid="{D5CDD505-2E9C-101B-9397-08002B2CF9AE}" pid="4" name="autoEqnLabels">
    <vt:lpwstr>False</vt:lpwstr>
  </property>
  <property fmtid="{D5CDD505-2E9C-101B-9397-08002B2CF9AE}" pid="5" name="autoSectionLabels">
    <vt:lpwstr>False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equationNumberTeX">
    <vt:lpwstr>qquad</vt:lpwstr>
  </property>
  <property fmtid="{D5CDD505-2E9C-101B-9397-08002B2CF9AE}" pid="20" name="figLabels">
    <vt:lpwstr>arabic</vt:lpwstr>
  </property>
  <property fmtid="{D5CDD505-2E9C-101B-9397-08002B2CF9AE}" pid="21" name="figPrefix">
    <vt:lpwstr/>
  </property>
  <property fmtid="{D5CDD505-2E9C-101B-9397-08002B2CF9AE}" pid="22" name="figPrefixTemplate">
    <vt:lpwstr>p i</vt:lpwstr>
  </property>
  <property fmtid="{D5CDD505-2E9C-101B-9397-08002B2CF9AE}" pid="23" name="figureTemplate">
    <vt:lpwstr>figureTitle ititleDelim t</vt:lpwstr>
  </property>
  <property fmtid="{D5CDD505-2E9C-101B-9397-08002B2CF9AE}" pid="24" name="figureTitle">
    <vt:lpwstr>Figure</vt:lpwstr>
  </property>
  <property fmtid="{D5CDD505-2E9C-101B-9397-08002B2CF9AE}" pid="25" name="fontsize">
    <vt:lpwstr>12pt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estretch">
    <vt:lpwstr>1.5</vt:lpwstr>
  </property>
  <property fmtid="{D5CDD505-2E9C-101B-9397-08002B2CF9AE}" pid="30" name="linkReferences">
    <vt:lpwstr>False</vt:lpwstr>
  </property>
  <property fmtid="{D5CDD505-2E9C-101B-9397-08002B2CF9AE}" pid="31" name="listingTemplate">
    <vt:lpwstr>listingTitle ititleDelim t</vt:lpwstr>
  </property>
  <property fmtid="{D5CDD505-2E9C-101B-9397-08002B2CF9AE}" pid="32" name="listingTitle">
    <vt:lpwstr>Listing</vt:lpwstr>
  </property>
  <property fmtid="{D5CDD505-2E9C-101B-9397-08002B2CF9AE}" pid="33" name="listings">
    <vt:lpwstr>False</vt:lpwstr>
  </property>
  <property fmtid="{D5CDD505-2E9C-101B-9397-08002B2CF9AE}" pid="34" name="lof">
    <vt:lpwstr>True</vt:lpwstr>
  </property>
  <property fmtid="{D5CDD505-2E9C-101B-9397-08002B2CF9AE}" pid="35" name="lofTitle">
    <vt:lpwstr>List of Figures</vt:lpwstr>
  </property>
  <property fmtid="{D5CDD505-2E9C-101B-9397-08002B2CF9AE}" pid="36" name="lolTitle">
    <vt:lpwstr>List of Listings</vt:lpwstr>
  </property>
  <property fmtid="{D5CDD505-2E9C-101B-9397-08002B2CF9AE}" pid="37" name="lotTitle">
    <vt:lpwstr>List of Tables</vt:lpwstr>
  </property>
  <property fmtid="{D5CDD505-2E9C-101B-9397-08002B2CF9AE}" pid="38" name="lstLabels">
    <vt:lpwstr>arabic</vt:lpwstr>
  </property>
  <property fmtid="{D5CDD505-2E9C-101B-9397-08002B2CF9AE}" pid="39" name="lstPrefix">
    <vt:lpwstr/>
  </property>
  <property fmtid="{D5CDD505-2E9C-101B-9397-08002B2CF9AE}" pid="40" name="lstPrefixTemplate">
    <vt:lpwstr>p i</vt:lpwstr>
  </property>
  <property fmtid="{D5CDD505-2E9C-101B-9397-08002B2CF9AE}" pid="41" name="mainfont">
    <vt:lpwstr>PT Serif</vt:lpwstr>
  </property>
  <property fmtid="{D5CDD505-2E9C-101B-9397-08002B2CF9AE}" pid="42" name="mainfontoptions">
    <vt:lpwstr>Ligatures=TeX</vt:lpwstr>
  </property>
  <property fmtid="{D5CDD505-2E9C-101B-9397-08002B2CF9AE}" pid="43" name="monofont">
    <vt:lpwstr>PT Mono</vt:lpwstr>
  </property>
  <property fmtid="{D5CDD505-2E9C-101B-9397-08002B2CF9AE}" pid="44" name="monofontoptions">
    <vt:lpwstr>Scale=MatchLowercase</vt:lpwstr>
  </property>
  <property fmtid="{D5CDD505-2E9C-101B-9397-08002B2CF9AE}" pid="45" name="nameInLink">
    <vt:lpwstr>False</vt:lpwstr>
  </property>
  <property fmtid="{D5CDD505-2E9C-101B-9397-08002B2CF9AE}" pid="46" name="numberSections">
    <vt:lpwstr>False</vt:lpwstr>
  </property>
  <property fmtid="{D5CDD505-2E9C-101B-9397-08002B2CF9AE}" pid="47" name="pairDelim">
    <vt:lpwstr>, </vt:lpwstr>
  </property>
  <property fmtid="{D5CDD505-2E9C-101B-9397-08002B2CF9AE}" pid="48" name="papersize">
    <vt:lpwstr>a4paper</vt:lpwstr>
  </property>
  <property fmtid="{D5CDD505-2E9C-101B-9397-08002B2CF9AE}" pid="49" name="pdf-engine">
    <vt:lpwstr>lualatex</vt:lpwstr>
  </property>
  <property fmtid="{D5CDD505-2E9C-101B-9397-08002B2CF9AE}" pid="50" name="polyglossia-lang">
    <vt:lpwstr>russian</vt:lpwstr>
  </property>
  <property fmtid="{D5CDD505-2E9C-101B-9397-08002B2CF9AE}" pid="51" name="polyglossia-otherlangs">
    <vt:lpwstr>english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omanfont">
    <vt:lpwstr>PT Serif</vt:lpwstr>
  </property>
  <property fmtid="{D5CDD505-2E9C-101B-9397-08002B2CF9AE}" pid="56" name="romanfontoptions">
    <vt:lpwstr>Ligatures=TeX</vt:lpwstr>
  </property>
  <property fmtid="{D5CDD505-2E9C-101B-9397-08002B2CF9AE}" pid="57" name="sansfont">
    <vt:lpwstr>PT Sans</vt:lpwstr>
  </property>
  <property fmtid="{D5CDD505-2E9C-101B-9397-08002B2CF9AE}" pid="58" name="sansfontoptions">
    <vt:lpwstr>Ligatures=TeX,Scale=MatchLowercase</vt:lpwstr>
  </property>
  <property fmtid="{D5CDD505-2E9C-101B-9397-08002B2CF9AE}" pid="59" name="secHeaderDelim">
    <vt:lpwstr> </vt:lpwstr>
  </property>
  <property fmtid="{D5CDD505-2E9C-101B-9397-08002B2CF9AE}" pid="60" name="secHeaderTemplate">
    <vt:lpwstr>isecHeaderDelim[n]t</vt:lpwstr>
  </property>
  <property fmtid="{D5CDD505-2E9C-101B-9397-08002B2CF9AE}" pid="61" name="secLabels">
    <vt:lpwstr>arabic</vt:lpwstr>
  </property>
  <property fmtid="{D5CDD505-2E9C-101B-9397-08002B2CF9AE}" pid="62" name="secPrefix">
    <vt:lpwstr/>
  </property>
  <property fmtid="{D5CDD505-2E9C-101B-9397-08002B2CF9AE}" pid="63" name="secPrefixTemplate">
    <vt:lpwstr>p i</vt:lpwstr>
  </property>
  <property fmtid="{D5CDD505-2E9C-101B-9397-08002B2CF9AE}" pid="64" name="sectionsDepth">
    <vt:lpwstr>0</vt:lpwstr>
  </property>
  <property fmtid="{D5CDD505-2E9C-101B-9397-08002B2CF9AE}" pid="65" name="subfigGrid">
    <vt:lpwstr>False</vt:lpwstr>
  </property>
  <property fmtid="{D5CDD505-2E9C-101B-9397-08002B2CF9AE}" pid="66" name="subfigLabels">
    <vt:lpwstr>alpha a</vt:lpwstr>
  </property>
  <property fmtid="{D5CDD505-2E9C-101B-9397-08002B2CF9AE}" pid="67" name="subfigureChildTemplate">
    <vt:lpwstr>i</vt:lpwstr>
  </property>
  <property fmtid="{D5CDD505-2E9C-101B-9397-08002B2CF9AE}" pid="68" name="subfigureRefIndexTemplate">
    <vt:lpwstr>isuf (s)</vt:lpwstr>
  </property>
  <property fmtid="{D5CDD505-2E9C-101B-9397-08002B2CF9AE}" pid="69" name="subfigureTemplate">
    <vt:lpwstr>figureTitle ititleDelim t. ccs</vt:lpwstr>
  </property>
  <property fmtid="{D5CDD505-2E9C-101B-9397-08002B2CF9AE}" pid="70" name="subtitle">
    <vt:lpwstr>Модель боевых действий - вариант 36</vt:lpwstr>
  </property>
  <property fmtid="{D5CDD505-2E9C-101B-9397-08002B2CF9AE}" pid="71" name="tableEqns">
    <vt:lpwstr>False</vt:lpwstr>
  </property>
  <property fmtid="{D5CDD505-2E9C-101B-9397-08002B2CF9AE}" pid="72" name="tableTemplate">
    <vt:lpwstr>tableTitle ititleDelim t</vt:lpwstr>
  </property>
  <property fmtid="{D5CDD505-2E9C-101B-9397-08002B2CF9AE}" pid="73" name="tableTitle">
    <vt:lpwstr>Table</vt:lpwstr>
  </property>
  <property fmtid="{D5CDD505-2E9C-101B-9397-08002B2CF9AE}" pid="74" name="tblLabels">
    <vt:lpwstr>arabic</vt:lpwstr>
  </property>
  <property fmtid="{D5CDD505-2E9C-101B-9397-08002B2CF9AE}" pid="75" name="tblPrefix">
    <vt:lpwstr/>
  </property>
  <property fmtid="{D5CDD505-2E9C-101B-9397-08002B2CF9AE}" pid="76" name="tblPrefixTemplate">
    <vt:lpwstr>p i</vt:lpwstr>
  </property>
  <property fmtid="{D5CDD505-2E9C-101B-9397-08002B2CF9AE}" pid="77" name="titleDelim">
    <vt:lpwstr>:</vt:lpwstr>
  </property>
  <property fmtid="{D5CDD505-2E9C-101B-9397-08002B2CF9AE}" pid="78" name="toc_depth">
    <vt:lpwstr>2</vt:lpwstr>
  </property>
</Properties>
</file>