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This implementation does not need 2 vms, it only supports roaming when used locally in one VM, and it simply happens when you do the docker-compose up, </w:t>
      </w:r>
    </w:p>
    <w:p>
      <w:pPr>
        <w:pStyle w:val="Normal"/>
        <w:bidi w:val="0"/>
        <w:jc w:val="start"/>
        <w:rPr/>
      </w:pPr>
      <w:r>
        <w:rPr/>
        <w:t>so it doesn’t support roaming between two vms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35</Words>
  <Characters>163</Characters>
  <CharactersWithSpaces>197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2026-02-20T12:47:35Z</dcterms:created>
  <dc:creator/>
  <dc:description/>
  <dc:language>en-US</dc:language>
  <cp:lastModifiedBy/>
  <dcterms:modified xsi:type="dcterms:W3CDTF">2026-02-20T12:48:56Z</dcterms:modified>
  <cp:revision>1</cp:revision>
  <dc:subject/>
  <dc:title/>
</cp:coreProperties>
</file>