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00" w:after="80"/>
      </w:pPr>
      <w:r>
        <w:rPr>
          <w:rFonts w:ascii="Times New Roman" w:hAnsi="Times New Roman" w:eastAsia="微软雅黑"/>
          <w:b/>
          <w:i w:val="0"/>
          <w:color w:val="4E7EBA"/>
          <w:sz w:val="40"/>
        </w:rPr>
        <w:t>experiments · 对照实验记录表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4E7EBA"/>
          <w:sz w:val="32"/>
        </w:rPr>
        <w:t>实测进度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文件</w:t>
            </w:r>
          </w:p>
        </w:tc>
        <w:tc>
          <w:tcPr>
            <w:tcW w:type="dxa" w:w="432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状态</w:t>
            </w:r>
          </w:p>
        </w:tc>
      </w:tr>
      <w:tr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Consolas" w:hAnsi="Consolas" w:eastAsia="Consolas"/>
                <w:b w:val="0"/>
                <w:i w:val="0"/>
                <w:color w:val="B03050"/>
                <w:sz w:val="19"/>
              </w:rPr>
              <w:t>peft_compare.csv</w:t>
            </w:r>
          </w:p>
        </w:tc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full / lora / qlora 三行已在单卡 RTX 3080 Ti(12G) + Qwen2.5-0.5B 上实测填好</w:t>
            </w: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 xml:space="preserve">，完整配置、原始日志、逐秒显存采样与复现脚本见 </w:t>
            </w:r>
            <w:r>
              <w:rPr>
                <w:rFonts w:ascii="Times New Roman" w:hAnsi="Times New Roman" w:eastAsia="宋体"/>
                <w:b w:val="0"/>
                <w:i w:val="0"/>
                <w:color w:val="1155CC"/>
                <w:sz w:val="20"/>
              </w:rPr>
              <w:t>peft_lab/</w:t>
            </w: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；freeze/adapter/prefix/p_tuning/dora 未实测、留空</w:t>
            </w:r>
          </w:p>
        </w:tc>
      </w:tr>
      <w:tr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Consolas" w:hAnsi="Consolas" w:eastAsia="Consolas"/>
                <w:b w:val="0"/>
                <w:i w:val="0"/>
                <w:color w:val="B03050"/>
                <w:sz w:val="19"/>
              </w:rPr>
              <w:t>alignment_compare.csv</w:t>
            </w:r>
          </w:p>
        </w:tc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sft / dpo 两行已在单卡 RTX 3080 Ti(12G) + Qwen2.5-0.5B 上实测填好</w:t>
            </w: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 xml:space="preserve">，配置/日志/奖励曲线见 </w:t>
            </w:r>
            <w:r>
              <w:rPr>
                <w:rFonts w:ascii="Times New Roman" w:hAnsi="Times New Roman" w:eastAsia="宋体"/>
                <w:b w:val="0"/>
                <w:i w:val="0"/>
                <w:color w:val="1155CC"/>
                <w:sz w:val="20"/>
              </w:rPr>
              <w:t>lign_lab/</w:t>
            </w: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；ppo/kto/orpo/simpo 未实测、留空</w:t>
            </w:r>
          </w:p>
        </w:tc>
      </w:tr>
      <w:tr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Consolas" w:hAnsi="Consolas" w:eastAsia="Consolas"/>
                <w:b w:val="0"/>
                <w:i w:val="0"/>
                <w:color w:val="B03050"/>
                <w:sz w:val="19"/>
              </w:rPr>
              <w:t>distributed_compare.csv</w:t>
            </w:r>
          </w:p>
        </w:tc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空白模板，待多卡环境实测</w:t>
            </w:r>
          </w:p>
        </w:tc>
      </w:tr>
      <w:tr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Consolas" w:hAnsi="Consolas" w:eastAsia="Consolas"/>
                <w:b w:val="0"/>
                <w:i w:val="0"/>
                <w:color w:val="B03050"/>
                <w:sz w:val="19"/>
              </w:rPr>
              <w:t>quant_infer.csv</w:t>
            </w:r>
          </w:p>
        </w:tc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bf16(fp16 同属 16bit) / NF4-4bit 两行已实测</w:t>
            </w: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 xml:space="preserve">（模型显存/PPL/TTFT/TPOT/吞吐），脚本与日志见 </w:t>
            </w:r>
            <w:r>
              <w:rPr>
                <w:rFonts w:ascii="Times New Roman" w:hAnsi="Times New Roman" w:eastAsia="宋体"/>
                <w:b w:val="0"/>
                <w:i w:val="0"/>
                <w:color w:val="1155CC"/>
                <w:sz w:val="20"/>
              </w:rPr>
              <w:t>quant_lab/</w:t>
            </w: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；gptq/awq/vllm_fp16 未实测、留空</w:t>
            </w:r>
          </w:p>
        </w:tc>
      </w:tr>
    </w:tbl>
    <w:p>
      <w:pPr>
        <w:spacing w:after="40"/>
      </w:pP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4E7EBA"/>
          <w:sz w:val="32"/>
        </w:rPr>
        <w:t>这些表是什么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四张 csv 是</w:t>
      </w:r>
      <w:r>
        <w:rPr>
          <w:rFonts w:ascii="Times New Roman" w:hAnsi="Times New Roman" w:eastAsia="宋体"/>
          <w:b/>
          <w:i w:val="0"/>
          <w:sz w:val="22"/>
        </w:rPr>
        <w:t>对照实验记录表</w:t>
      </w:r>
      <w:r>
        <w:rPr>
          <w:rFonts w:ascii="Times New Roman" w:hAnsi="Times New Roman" w:eastAsia="宋体"/>
          <w:b w:val="0"/>
          <w:i w:val="0"/>
          <w:sz w:val="22"/>
        </w:rPr>
        <w:t xml:space="preserve">：方法原理与定性选型结论见 </w:t>
      </w:r>
      <w:r>
        <w:rPr>
          <w:rFonts w:ascii="Times New Roman" w:hAnsi="Times New Roman" w:eastAsia="宋体"/>
          <w:b w:val="0"/>
          <w:i w:val="0"/>
          <w:color w:val="1155CC"/>
          <w:sz w:val="22"/>
        </w:rPr>
        <w:t>../notes/peft-distributed-quant.md</w:t>
      </w:r>
      <w:r>
        <w:rPr>
          <w:rFonts w:ascii="Times New Roman" w:hAnsi="Times New Roman" w:eastAsia="宋体"/>
          <w:b w:val="0"/>
          <w:i w:val="0"/>
          <w:sz w:val="22"/>
        </w:rPr>
        <w:t xml:space="preserve"> 与 </w:t>
      </w:r>
      <w:r>
        <w:rPr>
          <w:rFonts w:ascii="Times New Roman" w:hAnsi="Times New Roman" w:eastAsia="宋体"/>
          <w:b w:val="0"/>
          <w:i w:val="0"/>
          <w:color w:val="1155CC"/>
          <w:sz w:val="22"/>
        </w:rPr>
        <w:t>../notes/alignment.md</w:t>
      </w:r>
      <w:r>
        <w:rPr>
          <w:rFonts w:ascii="Times New Roman" w:hAnsi="Times New Roman" w:eastAsia="宋体"/>
          <w:b w:val="0"/>
          <w:i w:val="0"/>
          <w:sz w:val="22"/>
        </w:rPr>
        <w:t>，这里只记录在你自己环境里跑出的量化数字。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文件</w:t>
            </w:r>
          </w:p>
        </w:tc>
        <w:tc>
          <w:tcPr>
            <w:tcW w:type="dxa" w:w="288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对照维度</w:t>
            </w:r>
          </w:p>
        </w:tc>
        <w:tc>
          <w:tcPr>
            <w:tcW w:type="dxa" w:w="288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关键列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Consolas" w:hAnsi="Consolas" w:eastAsia="Consolas"/>
                <w:b w:val="0"/>
                <w:i w:val="0"/>
                <w:color w:val="B03050"/>
                <w:sz w:val="19"/>
              </w:rPr>
              <w:t>alignment_compare.csv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SFT/DPO/PPO/KTO/ORPO/SimPO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是否要 RM/ref、数据类型、显存、耗时、最终 loss、胜率、稳定性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Consolas" w:hAnsi="Consolas" w:eastAsia="Consolas"/>
                <w:b w:val="0"/>
                <w:i w:val="0"/>
                <w:color w:val="B03050"/>
                <w:sz w:val="19"/>
              </w:rPr>
              <w:t>peft_compare.csv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Full/Freeze/LoRA/QLoRA/Adapter/Prefix/P-Tuning/DoRA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可训参数、参数占比、显存、耗时、评测分、推理是否带额外结构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Consolas" w:hAnsi="Consolas" w:eastAsia="Consolas"/>
                <w:b w:val="0"/>
                <w:i w:val="0"/>
                <w:color w:val="B03050"/>
                <w:sz w:val="19"/>
              </w:rPr>
              <w:t>distributed_compare.csv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DDP / ZeRO-1/2/3 / TP / PP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每卡显存、吞吐 tok/s、通信占比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Consolas" w:hAnsi="Consolas" w:eastAsia="Consolas"/>
                <w:b w:val="0"/>
                <w:i w:val="0"/>
                <w:color w:val="B03050"/>
                <w:sz w:val="19"/>
              </w:rPr>
              <w:t>quant_infer.csv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FP16/GPTQ/AWQ/vLLM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模型体积、PPL、首 Token 延迟、TPOT、吞吐、并发</w:t>
            </w:r>
          </w:p>
        </w:tc>
      </w:tr>
    </w:tbl>
    <w:p>
      <w:pPr>
        <w:spacing w:after="40"/>
      </w:pP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4E7EBA"/>
          <w:sz w:val="32"/>
        </w:rPr>
        <w:t>为什么大部分格子留空而不是抄“参考数字”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显存、延迟、吞吐</w:t>
      </w:r>
      <w:r>
        <w:rPr>
          <w:rFonts w:ascii="Times New Roman" w:hAnsi="Times New Roman" w:eastAsia="宋体"/>
          <w:b/>
          <w:i w:val="0"/>
          <w:sz w:val="22"/>
        </w:rPr>
        <w:t>强依赖</w:t>
      </w:r>
      <w:r>
        <w:rPr>
          <w:rFonts w:ascii="Times New Roman" w:hAnsi="Times New Roman" w:eastAsia="宋体"/>
          <w:b w:val="0"/>
          <w:i w:val="0"/>
          <w:sz w:val="22"/>
        </w:rPr>
        <w:t>模型规模、序列长度、batch、显卡型号和驱动版本，直接抄网上的数字既不可复现也容易误导。正确做法是在</w:t>
      </w:r>
      <w:r>
        <w:rPr>
          <w:rFonts w:ascii="Times New Roman" w:hAnsi="Times New Roman" w:eastAsia="宋体"/>
          <w:b/>
          <w:i w:val="0"/>
          <w:sz w:val="22"/>
        </w:rPr>
        <w:t>统一口径</w:t>
      </w:r>
      <w:r>
        <w:rPr>
          <w:rFonts w:ascii="Times New Roman" w:hAnsi="Times New Roman" w:eastAsia="宋体"/>
          <w:b w:val="0"/>
          <w:i w:val="0"/>
          <w:sz w:val="22"/>
        </w:rPr>
        <w:t>下实测填入——这也正是“对照实验”的价值。已实测的各组同样遵循该原则，每个数字都能在对应实验包（</w:t>
      </w:r>
      <w:r>
        <w:rPr>
          <w:rFonts w:ascii="Consolas" w:hAnsi="Consolas" w:eastAsia="Consolas"/>
          <w:b w:val="0"/>
          <w:i w:val="0"/>
          <w:color w:val="B03050"/>
          <w:sz w:val="21"/>
        </w:rPr>
        <w:t>peft_lab/</w:t>
      </w:r>
      <w:r>
        <w:rPr>
          <w:rFonts w:ascii="Times New Roman" w:hAnsi="Times New Roman" w:eastAsia="宋体"/>
          <w:b w:val="0"/>
          <w:i w:val="0"/>
          <w:sz w:val="22"/>
        </w:rPr>
        <w:t>、</w:t>
      </w:r>
      <w:r>
        <w:rPr>
          <w:rFonts w:ascii="Consolas" w:hAnsi="Consolas" w:eastAsia="Consolas"/>
          <w:b w:val="0"/>
          <w:i w:val="0"/>
          <w:color w:val="B03050"/>
          <w:sz w:val="21"/>
        </w:rPr>
        <w:t>align_lab/</w:t>
      </w:r>
      <w:r>
        <w:rPr>
          <w:rFonts w:ascii="Times New Roman" w:hAnsi="Times New Roman" w:eastAsia="宋体"/>
          <w:b w:val="0"/>
          <w:i w:val="0"/>
          <w:sz w:val="22"/>
        </w:rPr>
        <w:t>、</w:t>
      </w:r>
      <w:r>
        <w:rPr>
          <w:rFonts w:ascii="Consolas" w:hAnsi="Consolas" w:eastAsia="Consolas"/>
          <w:b w:val="0"/>
          <w:i w:val="0"/>
          <w:color w:val="B03050"/>
          <w:sz w:val="21"/>
        </w:rPr>
        <w:t>quant_lab/</w:t>
      </w:r>
      <w:r>
        <w:rPr>
          <w:rFonts w:ascii="Times New Roman" w:hAnsi="Times New Roman" w:eastAsia="宋体"/>
          <w:b w:val="0"/>
          <w:i w:val="0"/>
          <w:sz w:val="22"/>
        </w:rPr>
        <w:t xml:space="preserve">）的 </w:t>
      </w:r>
      <w:r>
        <w:rPr>
          <w:rFonts w:ascii="Consolas" w:hAnsi="Consolas" w:eastAsia="Consolas"/>
          <w:b w:val="0"/>
          <w:i w:val="0"/>
          <w:color w:val="B03050"/>
          <w:sz w:val="21"/>
        </w:rPr>
        <w:t>logs/</w:t>
      </w:r>
      <w:r>
        <w:rPr>
          <w:rFonts w:ascii="Times New Roman" w:hAnsi="Times New Roman" w:eastAsia="宋体"/>
          <w:b w:val="0"/>
          <w:i w:val="0"/>
          <w:sz w:val="22"/>
        </w:rPr>
        <w:t xml:space="preserve"> 或结果 json 里找到出处。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4E7EBA"/>
          <w:sz w:val="32"/>
        </w:rPr>
        <w:t>填表方法（保证可比）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/>
          <w:i w:val="0"/>
          <w:sz w:val="22"/>
        </w:rPr>
        <w:t>一次只改一个变量</w:t>
      </w:r>
      <w:r>
        <w:rPr>
          <w:rFonts w:ascii="Times New Roman" w:hAnsi="Times New Roman" w:eastAsia="宋体"/>
          <w:b w:val="0"/>
          <w:i w:val="0"/>
          <w:sz w:val="22"/>
        </w:rPr>
        <w:t>，其余超参/数据/步数/随机种子尽量固定；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 w:val="0"/>
          <w:i w:val="0"/>
          <w:sz w:val="22"/>
        </w:rPr>
        <w:t xml:space="preserve">每组都记录配置文件、启动命令、框架日志与 </w:t>
      </w:r>
      <w:r>
        <w:rPr>
          <w:rFonts w:ascii="Consolas" w:hAnsi="Consolas" w:eastAsia="Consolas"/>
          <w:b w:val="0"/>
          <w:i w:val="0"/>
          <w:color w:val="B03050"/>
          <w:sz w:val="21"/>
        </w:rPr>
        <w:t>nvidia-smi</w:t>
      </w:r>
      <w:r>
        <w:rPr>
          <w:rFonts w:ascii="Times New Roman" w:hAnsi="Times New Roman" w:eastAsia="宋体"/>
          <w:b w:val="0"/>
          <w:i w:val="0"/>
          <w:sz w:val="22"/>
        </w:rPr>
        <w:t xml:space="preserve"> 峰值显存；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 w:val="0"/>
          <w:i w:val="0"/>
          <w:sz w:val="22"/>
        </w:rPr>
        <w:t>显存统一取训练全程峰值（MB），耗时统一取纯训练时间（排除首次加载/编译）；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4. </w:t>
      </w:r>
      <w:r>
        <w:rPr>
          <w:rFonts w:ascii="Times New Roman" w:hAnsi="Times New Roman" w:eastAsia="宋体"/>
          <w:b w:val="0"/>
          <w:i w:val="0"/>
          <w:sz w:val="22"/>
        </w:rPr>
        <w:t>推理指标固定输入/输出长度与并发，TTFT、TPOT、吞吐的定义见选型笔记第三部分；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5. </w:t>
      </w:r>
      <w:r>
        <w:rPr>
          <w:rFonts w:ascii="Times New Roman" w:hAnsi="Times New Roman" w:eastAsia="宋体"/>
          <w:b w:val="0"/>
          <w:i w:val="0"/>
          <w:sz w:val="22"/>
        </w:rPr>
        <w:t>每组至少跑 2 次取均值，异常值（后台占用、热降频）要标注；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6. </w:t>
      </w:r>
      <w:r>
        <w:rPr>
          <w:rFonts w:ascii="Times New Roman" w:hAnsi="Times New Roman" w:eastAsia="宋体"/>
          <w:b/>
          <w:i w:val="0"/>
          <w:sz w:val="22"/>
        </w:rPr>
        <w:t>micro-batch、梯度累积、评测 batch 也要各组一致</w:t>
      </w:r>
      <w:r>
        <w:rPr>
          <w:rFonts w:ascii="Times New Roman" w:hAnsi="Times New Roman" w:eastAsia="宋体"/>
          <w:b w:val="0"/>
          <w:i w:val="0"/>
          <w:sz w:val="22"/>
        </w:rPr>
        <w:t>（全局 batch = micro-batch × 累积步数 × 卡数），否则显存与 loss 不可比——peft_lab 的 README 第 7 节记录了忽略这一点导致的假象。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4E7EBA"/>
          <w:sz w:val="32"/>
        </w:rPr>
        <w:t>推荐最小对照路径（配合 configs 模板与 peft_lab 实例）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Consolas" w:hAnsi="Consolas" w:eastAsia="Consolas"/>
          <w:b w:val="0"/>
          <w:i w:val="0"/>
          <w:color w:val="B03050"/>
          <w:sz w:val="21"/>
        </w:rPr>
        <w:t>sft_full</w:t>
      </w:r>
      <w:r>
        <w:rPr>
          <w:rFonts w:ascii="Times New Roman" w:hAnsi="Times New Roman" w:eastAsia="宋体"/>
          <w:b w:val="0"/>
          <w:i w:val="0"/>
          <w:sz w:val="22"/>
        </w:rPr>
        <w:t xml:space="preserve"> vs </w:t>
      </w:r>
      <w:r>
        <w:rPr>
          <w:rFonts w:ascii="Consolas" w:hAnsi="Consolas" w:eastAsia="Consolas"/>
          <w:b w:val="0"/>
          <w:i w:val="0"/>
          <w:color w:val="B03050"/>
          <w:sz w:val="21"/>
        </w:rPr>
        <w:t>sft_lora</w:t>
      </w:r>
      <w:r>
        <w:rPr>
          <w:rFonts w:ascii="Times New Roman" w:hAnsi="Times New Roman" w:eastAsia="宋体"/>
          <w:b w:val="0"/>
          <w:i w:val="0"/>
          <w:sz w:val="22"/>
        </w:rPr>
        <w:t xml:space="preserve"> vs </w:t>
      </w:r>
      <w:r>
        <w:rPr>
          <w:rFonts w:ascii="Consolas" w:hAnsi="Consolas" w:eastAsia="Consolas"/>
          <w:b w:val="0"/>
          <w:i w:val="0"/>
          <w:color w:val="B03050"/>
          <w:sz w:val="21"/>
        </w:rPr>
        <w:t>sft_qlora</w:t>
      </w:r>
      <w:r>
        <w:rPr>
          <w:rFonts w:ascii="Times New Roman" w:hAnsi="Times New Roman" w:eastAsia="宋体"/>
          <w:b w:val="0"/>
          <w:i w:val="0"/>
          <w:sz w:val="22"/>
        </w:rPr>
        <w:t xml:space="preserve">：填 </w:t>
      </w:r>
      <w:r>
        <w:rPr>
          <w:rFonts w:ascii="Consolas" w:hAnsi="Consolas" w:eastAsia="Consolas"/>
          <w:b w:val="0"/>
          <w:i w:val="0"/>
          <w:color w:val="B03050"/>
          <w:sz w:val="21"/>
        </w:rPr>
        <w:t>peft_compare.csv</w:t>
      </w:r>
      <w:r>
        <w:rPr>
          <w:rFonts w:ascii="Times New Roman" w:hAnsi="Times New Roman" w:eastAsia="宋体"/>
          <w:b w:val="0"/>
          <w:i w:val="0"/>
          <w:sz w:val="22"/>
        </w:rPr>
        <w:t>，直观看到参数与显存差异（</w:t>
      </w:r>
      <w:r>
        <w:rPr>
          <w:rFonts w:ascii="Times New Roman" w:hAnsi="Times New Roman" w:eastAsia="宋体"/>
          <w:b/>
          <w:i w:val="0"/>
          <w:sz w:val="22"/>
        </w:rPr>
        <w:t xml:space="preserve">本仓库已给出完整实例，见 </w:t>
      </w:r>
      <w:r>
        <w:rPr>
          <w:rFonts w:ascii="Consolas" w:hAnsi="Consolas" w:eastAsia="Consolas"/>
          <w:b/>
          <w:i w:val="0"/>
          <w:color w:val="B03050"/>
          <w:sz w:val="21"/>
        </w:rPr>
        <w:t>peft_lab/</w:t>
      </w:r>
      <w:r>
        <w:rPr>
          <w:rFonts w:ascii="Times New Roman" w:hAnsi="Times New Roman" w:eastAsia="宋体"/>
          <w:b w:val="0"/>
          <w:i w:val="0"/>
          <w:sz w:val="22"/>
        </w:rPr>
        <w:t>）；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 w:val="0"/>
          <w:i w:val="0"/>
          <w:sz w:val="22"/>
        </w:rPr>
        <w:t xml:space="preserve">同一 SFT 起点切 </w:t>
      </w:r>
      <w:r>
        <w:rPr>
          <w:rFonts w:ascii="Consolas" w:hAnsi="Consolas" w:eastAsia="Consolas"/>
          <w:b w:val="0"/>
          <w:i w:val="0"/>
          <w:color w:val="B03050"/>
          <w:sz w:val="21"/>
        </w:rPr>
        <w:t>dpo/kto/orpo</w:t>
      </w:r>
      <w:r>
        <w:rPr>
          <w:rFonts w:ascii="Times New Roman" w:hAnsi="Times New Roman" w:eastAsia="宋体"/>
          <w:b w:val="0"/>
          <w:i w:val="0"/>
          <w:sz w:val="22"/>
        </w:rPr>
        <w:t xml:space="preserve">：填 </w:t>
      </w:r>
      <w:r>
        <w:rPr>
          <w:rFonts w:ascii="Consolas" w:hAnsi="Consolas" w:eastAsia="Consolas"/>
          <w:b w:val="0"/>
          <w:i w:val="0"/>
          <w:color w:val="B03050"/>
          <w:sz w:val="21"/>
        </w:rPr>
        <w:t>alignment_compare.csv</w:t>
      </w:r>
      <w:r>
        <w:rPr>
          <w:rFonts w:ascii="Times New Roman" w:hAnsi="Times New Roman" w:eastAsia="宋体"/>
          <w:b w:val="0"/>
          <w:i w:val="0"/>
          <w:sz w:val="22"/>
        </w:rPr>
        <w:t>（</w:t>
      </w:r>
      <w:r>
        <w:rPr>
          <w:rFonts w:ascii="Times New Roman" w:hAnsi="Times New Roman" w:eastAsia="宋体"/>
          <w:b/>
          <w:i w:val="0"/>
          <w:sz w:val="22"/>
        </w:rPr>
        <w:t xml:space="preserve">SFT vs DPO 已给出完整实例，见 </w:t>
      </w:r>
      <w:r>
        <w:rPr>
          <w:rFonts w:ascii="Consolas" w:hAnsi="Consolas" w:eastAsia="Consolas"/>
          <w:b/>
          <w:i w:val="0"/>
          <w:color w:val="B03050"/>
          <w:sz w:val="21"/>
        </w:rPr>
        <w:t>align_lab/</w:t>
      </w:r>
      <w:r>
        <w:rPr>
          <w:rFonts w:ascii="Times New Roman" w:hAnsi="Times New Roman" w:eastAsia="宋体"/>
          <w:b w:val="0"/>
          <w:i w:val="0"/>
          <w:sz w:val="22"/>
        </w:rPr>
        <w:t>）；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 w:val="0"/>
          <w:i w:val="0"/>
          <w:sz w:val="22"/>
        </w:rPr>
        <w:t xml:space="preserve">单卡 vs </w:t>
      </w:r>
      <w:r>
        <w:rPr>
          <w:rFonts w:ascii="Consolas" w:hAnsi="Consolas" w:eastAsia="Consolas"/>
          <w:b w:val="0"/>
          <w:i w:val="0"/>
          <w:color w:val="B03050"/>
          <w:sz w:val="21"/>
        </w:rPr>
        <w:t>torchrun</w:t>
      </w:r>
      <w:r>
        <w:rPr>
          <w:rFonts w:ascii="Times New Roman" w:hAnsi="Times New Roman" w:eastAsia="宋体"/>
          <w:b w:val="0"/>
          <w:i w:val="0"/>
          <w:sz w:val="22"/>
        </w:rPr>
        <w:t xml:space="preserve"> 两卡 + </w:t>
      </w:r>
      <w:r>
        <w:rPr>
          <w:rFonts w:ascii="Consolas" w:hAnsi="Consolas" w:eastAsia="Consolas"/>
          <w:b w:val="0"/>
          <w:i w:val="0"/>
          <w:color w:val="B03050"/>
          <w:sz w:val="21"/>
        </w:rPr>
        <w:t>ds_zero2.json</w:t>
      </w:r>
      <w:r>
        <w:rPr>
          <w:rFonts w:ascii="Times New Roman" w:hAnsi="Times New Roman" w:eastAsia="宋体"/>
          <w:b w:val="0"/>
          <w:i w:val="0"/>
          <w:sz w:val="22"/>
        </w:rPr>
        <w:t xml:space="preserve">：填 </w:t>
      </w:r>
      <w:r>
        <w:rPr>
          <w:rFonts w:ascii="Consolas" w:hAnsi="Consolas" w:eastAsia="Consolas"/>
          <w:b w:val="0"/>
          <w:i w:val="0"/>
          <w:color w:val="B03050"/>
          <w:sz w:val="21"/>
        </w:rPr>
        <w:t>distributed_compare.csv</w:t>
      </w:r>
      <w:r>
        <w:rPr>
          <w:rFonts w:ascii="Times New Roman" w:hAnsi="Times New Roman" w:eastAsia="宋体"/>
          <w:b w:val="0"/>
          <w:i w:val="0"/>
          <w:sz w:val="22"/>
        </w:rPr>
        <w:t>；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4. </w:t>
      </w:r>
      <w:r>
        <w:rPr>
          <w:rFonts w:ascii="Times New Roman" w:hAnsi="Times New Roman" w:eastAsia="宋体"/>
          <w:b w:val="0"/>
          <w:i w:val="0"/>
          <w:sz w:val="22"/>
        </w:rPr>
        <w:t xml:space="preserve">FP16 vs GPTQ/AWQ，再用 vLLM 起服务：填 </w:t>
      </w:r>
      <w:r>
        <w:rPr>
          <w:rFonts w:ascii="Consolas" w:hAnsi="Consolas" w:eastAsia="Consolas"/>
          <w:b w:val="0"/>
          <w:i w:val="0"/>
          <w:color w:val="B03050"/>
          <w:sz w:val="21"/>
        </w:rPr>
        <w:t>quant_infer.csv</w:t>
      </w:r>
      <w:r>
        <w:rPr>
          <w:rFonts w:ascii="Times New Roman" w:hAnsi="Times New Roman" w:eastAsia="宋体"/>
          <w:b w:val="0"/>
          <w:i w:val="0"/>
          <w:sz w:val="22"/>
        </w:rPr>
        <w:t>（</w:t>
      </w:r>
      <w:r>
        <w:rPr>
          <w:rFonts w:ascii="Times New Roman" w:hAnsi="Times New Roman" w:eastAsia="宋体"/>
          <w:b/>
          <w:i w:val="0"/>
          <w:sz w:val="22"/>
        </w:rPr>
        <w:t xml:space="preserve">bf16 vs NF4-4bit 已给出完整实例，见 </w:t>
      </w:r>
      <w:r>
        <w:rPr>
          <w:rFonts w:ascii="Consolas" w:hAnsi="Consolas" w:eastAsia="Consolas"/>
          <w:b/>
          <w:i w:val="0"/>
          <w:color w:val="B03050"/>
          <w:sz w:val="21"/>
        </w:rPr>
        <w:t>quant_lab/</w:t>
      </w:r>
      <w:r>
        <w:rPr>
          <w:rFonts w:ascii="Times New Roman" w:hAnsi="Times New Roman" w:eastAsia="宋体"/>
          <w:b w:val="0"/>
          <w:i w:val="0"/>
          <w:sz w:val="22"/>
        </w:rPr>
        <w:t>）。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每次实验建议像 </w:t>
      </w:r>
      <w:r>
        <w:rPr>
          <w:rFonts w:ascii="Consolas" w:hAnsi="Consolas" w:eastAsia="Consolas"/>
          <w:b w:val="0"/>
          <w:i w:val="0"/>
          <w:color w:val="B03050"/>
          <w:sz w:val="20"/>
        </w:rPr>
        <w:t>peft_lab/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、</w:t>
      </w:r>
      <w:r>
        <w:rPr>
          <w:rFonts w:ascii="Consolas" w:hAnsi="Consolas" w:eastAsia="Consolas"/>
          <w:b w:val="0"/>
          <w:i w:val="0"/>
          <w:color w:val="B03050"/>
          <w:sz w:val="20"/>
        </w:rPr>
        <w:t>align_lab/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、</w:t>
      </w:r>
      <w:r>
        <w:rPr>
          <w:rFonts w:ascii="Consolas" w:hAnsi="Consolas" w:eastAsia="Consolas"/>
          <w:b w:val="0"/>
          <w:i w:val="0"/>
          <w:color w:val="B03050"/>
          <w:sz w:val="20"/>
        </w:rPr>
        <w:t>quant_lab/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 一样另存 </w:t>
      </w:r>
      <w:r>
        <w:rPr>
          <w:rFonts w:ascii="Consolas" w:hAnsi="Consolas" w:eastAsia="Consolas"/>
          <w:b w:val="0"/>
          <w:i w:val="0"/>
          <w:color w:val="B03050"/>
          <w:sz w:val="20"/>
        </w:rPr>
        <w:t>logs/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（原始日志）与显存采样，csv 里只填汇总值，做到每个数字都能回溯到日志。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4E7EB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E7EB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E7EB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E7EB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eastAsia="微软雅黑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eastAsia="微软雅黑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