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62D02DF0" w14:textId="77777777" w:rsidR="00F56903" w:rsidRPr="00894A05" w:rsidRDefault="00F56903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5FDC758E" w:rsidR="004A4332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2796C040" w14:textId="77777777" w:rsidR="00F56903" w:rsidRPr="00894A05" w:rsidRDefault="00F56903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</w:p>
    <w:p w14:paraId="06613F78" w14:textId="7B28E1EC" w:rsidR="004A4332" w:rsidRPr="005E63F4" w:rsidRDefault="004A4332" w:rsidP="00290665">
      <w:pPr>
        <w:pStyle w:val="a3"/>
        <w:spacing w:line="360" w:lineRule="auto"/>
        <w:ind w:firstLine="360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F56903">
      <w:pPr>
        <w:pStyle w:val="a3"/>
        <w:spacing w:line="360" w:lineRule="auto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F56903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305731C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 xml:space="preserve">- Количество измерений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 xml:space="preserve">. </w:t>
      </w:r>
    </w:p>
    <w:p w14:paraId="37D913F8" w14:textId="111BF5F1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Количество аналитических отчетов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</w:p>
    <w:p w14:paraId="16DC2B4B" w14:textId="44CE63E3" w:rsidR="00D609B7" w:rsidRPr="005E63F4" w:rsidRDefault="001C0C3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682B733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</w:t>
            </w:r>
            <w:r w:rsidR="00B1316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F5690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6A2B9F6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>*</w:t>
      </w:r>
    </w:p>
    <w:p w14:paraId="259C8BCA" w14:textId="37C70C32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5A592BE4" w14:textId="268EDF9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5224DEB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данных*</w:t>
      </w:r>
    </w:p>
    <w:p w14:paraId="51523527" w14:textId="6B815FDB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3D1EA259" w14:textId="5D47500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3D676A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7530C8E6" w:rsid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мероприятия</w:t>
      </w:r>
    </w:p>
    <w:p w14:paraId="6B98048E" w14:textId="72768D95" w:rsidR="00E44094" w:rsidRDefault="00E44094" w:rsidP="00E44094">
      <w:pPr>
        <w:spacing w:after="0" w:line="360" w:lineRule="auto"/>
        <w:rPr>
          <w:rFonts w:ascii="Times New Roman" w:eastAsia="Times New Roman" w:hAnsi="Times New Roman" w:cs="Times New Roman"/>
          <w:color w:val="3B3B3B"/>
          <w:lang w:eastAsia="ru-RU"/>
        </w:rPr>
      </w:pPr>
      <w:r w:rsidRP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A2A77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A2A77">
        <w:rPr>
          <w:rFonts w:ascii="Times New Roman" w:eastAsia="Times New Roman" w:hAnsi="Times New Roman" w:cs="Times New Roman"/>
          <w:lang w:eastAsia="ru-RU"/>
        </w:rPr>
        <w:br/>
        <w:t xml:space="preserve">- организация доступа к </w:t>
      </w:r>
      <w:r w:rsidR="00600498" w:rsidRPr="009A2A77">
        <w:rPr>
          <w:rFonts w:ascii="Times New Roman" w:eastAsia="Times New Roman" w:hAnsi="Times New Roman" w:cs="Times New Roman"/>
          <w:lang w:eastAsia="ru-RU"/>
        </w:rPr>
        <w:t>Сайту</w:t>
      </w:r>
      <w:r w:rsidRPr="009A2A77">
        <w:rPr>
          <w:rFonts w:ascii="Times New Roman" w:eastAsia="Times New Roman" w:hAnsi="Times New Roman" w:cs="Times New Roman"/>
          <w:lang w:eastAsia="ru-RU"/>
        </w:rPr>
        <w:t xml:space="preserve"> 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Default="009A2A77" w:rsidP="00E4409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в информационном обеспечении</w:t>
      </w:r>
    </w:p>
    <w:p w14:paraId="6B2F5482" w14:textId="531005B8" w:rsidR="009A2A77" w:rsidRDefault="009A2A77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9A2A77" w:rsidRDefault="008D5005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0FCF39E" w14:textId="6C63FDE4" w:rsidR="008D5005" w:rsidRPr="00046DC6" w:rsidRDefault="008D5005" w:rsidP="008D5005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270F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эскизного проекта</w:t>
            </w:r>
          </w:p>
        </w:tc>
      </w:tr>
      <w:tr w:rsidR="0068270F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эскизному проекту</w:t>
            </w:r>
          </w:p>
        </w:tc>
      </w:tr>
      <w:tr w:rsidR="0068270F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технического проекта</w:t>
            </w:r>
          </w:p>
        </w:tc>
      </w:tr>
      <w:tr w:rsidR="0068270F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техническому проекту</w:t>
            </w:r>
          </w:p>
        </w:tc>
      </w:tr>
      <w:tr w:rsidR="0068270F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Схема функциональной структуры</w:t>
            </w:r>
          </w:p>
        </w:tc>
      </w:tr>
      <w:tr w:rsidR="0068270F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эксплуатационных документов</w:t>
            </w:r>
          </w:p>
        </w:tc>
      </w:tr>
      <w:tr w:rsidR="0068270F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машинных носителей информации</w:t>
            </w:r>
          </w:p>
        </w:tc>
      </w:tr>
      <w:tr w:rsidR="0068270F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Паспорт</w:t>
            </w:r>
          </w:p>
        </w:tc>
      </w:tr>
      <w:tr w:rsidR="0068270F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0930E9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Общее описание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ИММО</w:t>
            </w:r>
          </w:p>
        </w:tc>
      </w:tr>
      <w:tr w:rsidR="0068270F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Технологическая инструкция</w:t>
            </w:r>
          </w:p>
        </w:tc>
      </w:tr>
      <w:tr w:rsidR="0068270F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Руководство пользователя</w:t>
            </w:r>
          </w:p>
        </w:tc>
      </w:tr>
      <w:tr w:rsidR="0068270F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68270F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4D91853" w14:textId="1DF9AFFF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Инструкция по формированию и ведению </w:t>
            </w: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Сайта</w:t>
            </w:r>
          </w:p>
        </w:tc>
      </w:tr>
      <w:tr w:rsidR="0068270F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Состав выходных данных (сообщений)</w:t>
            </w:r>
          </w:p>
        </w:tc>
      </w:tr>
      <w:tr w:rsidR="0068270F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BFADE84" w14:textId="7888029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Каталог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Сайта</w:t>
            </w:r>
          </w:p>
        </w:tc>
      </w:tr>
      <w:tr w:rsidR="0068270F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Программа и методика испытаний</w:t>
            </w:r>
          </w:p>
        </w:tc>
      </w:tr>
      <w:tr w:rsidR="0068270F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Спецификация</w:t>
            </w:r>
          </w:p>
        </w:tc>
      </w:tr>
      <w:tr w:rsidR="0068270F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программ</w:t>
            </w:r>
          </w:p>
        </w:tc>
      </w:tr>
      <w:tr w:rsidR="0068270F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Текст программ</w:t>
            </w:r>
          </w:p>
        </w:tc>
      </w:tr>
      <w:tr w:rsidR="0068270F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в опытную эксплуатацию</w:t>
            </w:r>
          </w:p>
        </w:tc>
      </w:tr>
      <w:tr w:rsidR="0068270F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Протокол испытаний</w:t>
            </w:r>
          </w:p>
        </w:tc>
      </w:tr>
      <w:tr w:rsidR="0068270F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9CF04FE" w14:textId="5A01D8CA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ИММО в эксплуатацию</w:t>
            </w:r>
          </w:p>
        </w:tc>
      </w:tr>
      <w:tr w:rsidR="0068270F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завершения работ</w:t>
            </w:r>
          </w:p>
        </w:tc>
      </w:tr>
    </w:tbl>
    <w:p w14:paraId="6ED7F230" w14:textId="2844B5CD" w:rsidR="00D4056D" w:rsidRPr="00203393" w:rsidRDefault="00D4056D" w:rsidP="007A2BB3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203393">
        <w:rPr>
          <w:rFonts w:ascii="Times New Roman" w:eastAsia="Times New Roman" w:hAnsi="Times New Roman" w:cs="Times New Roman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203393">
        <w:rPr>
          <w:rFonts w:ascii="Times New Roman" w:eastAsia="Times New Roman" w:hAnsi="Times New Roman" w:cs="Times New Roman"/>
          <w:lang w:eastAsia="ru-RU"/>
        </w:rPr>
        <w:br/>
      </w:r>
    </w:p>
    <w:p w14:paraId="78DFCA2E" w14:textId="16054722" w:rsidR="00D4056D" w:rsidRPr="00203393" w:rsidRDefault="00D4056D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D4056D" w:rsidRPr="0020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35B5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BE7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49D5"/>
    <w:rsid w:val="004F5A41"/>
    <w:rsid w:val="00501A38"/>
    <w:rsid w:val="005058D8"/>
    <w:rsid w:val="00522BE0"/>
    <w:rsid w:val="005235FD"/>
    <w:rsid w:val="00546DED"/>
    <w:rsid w:val="00576BBD"/>
    <w:rsid w:val="00580FBE"/>
    <w:rsid w:val="00584297"/>
    <w:rsid w:val="005A0C5D"/>
    <w:rsid w:val="005A44AF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36338"/>
    <w:rsid w:val="00641329"/>
    <w:rsid w:val="00651B92"/>
    <w:rsid w:val="00656C45"/>
    <w:rsid w:val="006818B2"/>
    <w:rsid w:val="0068270F"/>
    <w:rsid w:val="006C1603"/>
    <w:rsid w:val="006E212E"/>
    <w:rsid w:val="006E5291"/>
    <w:rsid w:val="00714B54"/>
    <w:rsid w:val="00725658"/>
    <w:rsid w:val="00726815"/>
    <w:rsid w:val="00734949"/>
    <w:rsid w:val="00746A35"/>
    <w:rsid w:val="00750FF0"/>
    <w:rsid w:val="0076101D"/>
    <w:rsid w:val="00777D5E"/>
    <w:rsid w:val="00797F7F"/>
    <w:rsid w:val="007A2BB3"/>
    <w:rsid w:val="007C3173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D5005"/>
    <w:rsid w:val="008E272C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2A77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1316E"/>
    <w:rsid w:val="00B250B3"/>
    <w:rsid w:val="00B349D9"/>
    <w:rsid w:val="00B3567A"/>
    <w:rsid w:val="00B50986"/>
    <w:rsid w:val="00B52EC9"/>
    <w:rsid w:val="00B80D74"/>
    <w:rsid w:val="00B836BB"/>
    <w:rsid w:val="00B8585C"/>
    <w:rsid w:val="00B917AD"/>
    <w:rsid w:val="00B93CFF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4056D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44094"/>
    <w:rsid w:val="00E60ECA"/>
    <w:rsid w:val="00E63647"/>
    <w:rsid w:val="00E6745F"/>
    <w:rsid w:val="00E72DE1"/>
    <w:rsid w:val="00E74AC9"/>
    <w:rsid w:val="00E87AFC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56903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19</Pages>
  <Words>4840</Words>
  <Characters>27590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201</cp:revision>
  <dcterms:created xsi:type="dcterms:W3CDTF">2024-01-24T12:09:00Z</dcterms:created>
  <dcterms:modified xsi:type="dcterms:W3CDTF">2024-02-11T21:55:00Z</dcterms:modified>
</cp:coreProperties>
</file>