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595959"/>
          <w:sz w:val="18"/>
        </w:rPr>
        <w:t>BOOTCAMP DATA · RUSH 1 — DATAVIZ STUDIO</w:t>
      </w:r>
    </w:p>
    <w:p>
      <w:pPr>
        <w:spacing w:after="40"/>
      </w:pPr>
      <w:r>
        <w:rPr>
          <w:b/>
          <w:color w:val="1F3864"/>
          <w:sz w:val="40"/>
        </w:rPr>
        <w:t>Qu'est-ce qui fait performer un contenu TikTok ?</w:t>
      </w:r>
    </w:p>
    <w:p>
      <w:pPr>
        <w:spacing w:after="40"/>
      </w:pPr>
      <w:r>
        <w:rPr>
          <w:color w:val="595959"/>
          <w:sz w:val="24"/>
        </w:rPr>
        <w:t>Présentation écrite du classeur client, en remplacement de la soutenance orale</w:t>
      </w:r>
    </w:p>
    <w:p>
      <w:pPr>
        <w:spacing w:after="280"/>
      </w:pPr>
      <w:r>
        <w:rPr>
          <w:color w:val="595959"/>
          <w:sz w:val="19"/>
        </w:rPr>
        <w:t>Livrable présenté : Dataviz_Studio_TikTok_Client.xlsx · Seif-allah Fares · octobre 2026</w:t>
      </w:r>
    </w:p>
    <w:p>
      <w:pPr>
        <w:spacing w:after="200"/>
      </w:pPr>
      <w:r>
        <w:rPr/>
        <w:t>Le client, une marque grand public, prépare une campagne TikTok et veut savoir ce qui fait réellement performer un contenu avant de choisir ses créateurs. Ce document présente le classeur qui répond à cette question, dans l'ordre où je l'aurais présenté à l'oral : la problématique, les données, la définition du succès, l'analyse, la réponse, puis ses limites et le traitement des données personnelles.</w:t>
      </w:r>
    </w:p>
    <w:tbl>
      <w:tblPr>
        <w:tblW w:type="dxa" w:w="9526"/>
        <w:jc w:val="center"/>
        <w:tblLayout w:type="fixed"/>
        <w:tblLook w:firstColumn="1" w:firstRow="1" w:lastColumn="0" w:lastRow="0" w:noHBand="0" w:noVBand="1" w:val="04A0"/>
      </w:tblPr>
      <w:tblGrid>
        <w:gridCol w:w="9526"/>
      </w:tblGrid>
      <w:tr>
        <w:tc>
          <w:tcPr>
            <w:tcW w:type="dxa" w:w="9524"/>
            <w:shd w:val="clear" w:color="auto" w:fill="EEF3FA"/>
            <w:tcBorders>
              <w:top w:val="nil"/>
              <w:bottom w:val="nil"/>
              <w:right w:val="nil"/>
              <w:left w:val="single" w:sz="24" w:space="0" w:color="1F3864"/>
            </w:tcBorders>
            <w:tcMar>
              <w:top w:w="120" w:type="dxa"/>
              <w:bottom w:w="100" w:type="dxa"/>
              <w:left w:w="220" w:type="dxa"/>
              <w:right w:w="180" w:type="dxa"/>
            </w:tcMar>
          </w:tcPr>
          <w:p>
            <w:pPr>
              <w:spacing w:after="80"/>
            </w:pPr>
            <w:r>
              <w:rPr>
                <w:b/>
                <w:color w:val="1F3864"/>
                <w:sz w:val="22"/>
              </w:rPr>
              <w:t>La réponse en cinq points (onglet Synthèse)</w:t>
            </w:r>
          </w:p>
          <w:p>
            <w:pPr>
              <w:spacing w:after="60"/>
            </w:pPr>
            <w:r>
              <w:rPr>
                <w:b/>
                <w:sz w:val="20"/>
              </w:rPr>
              <w:t>1. La taille du compte ne fait pas la portée.</w:t>
            </w:r>
            <w:r>
              <w:rPr>
                <w:sz w:val="20"/>
              </w:rPr>
              <w:t xml:space="preserve"> ρ = +0,28 entre abonnés et vues : 36 fois plus d'abonnés ne donnent que 1,3 fois plus de vues médianes.</w:t>
            </w:r>
          </w:p>
          <w:p>
            <w:pPr>
              <w:spacing w:after="60"/>
            </w:pPr>
            <w:r>
              <w:rPr>
                <w:b/>
                <w:sz w:val="20"/>
              </w:rPr>
              <w:t>2. Les petits comptes font davantage réagir.</w:t>
            </w:r>
            <w:r>
              <w:rPr>
                <w:sz w:val="20"/>
              </w:rPr>
              <w:t xml:space="preserve"> 19,1 % d'engagement médian sous 1 M d'abonnés, contre 13,2 % au-delà de 8 M.</w:t>
            </w:r>
          </w:p>
          <w:p>
            <w:pPr>
              <w:spacing w:after="60"/>
            </w:pPr>
            <w:r>
              <w:rPr>
                <w:b/>
                <w:sz w:val="20"/>
              </w:rPr>
              <w:t>3. Les « recettes » de publication n'y changent rien.</w:t>
            </w:r>
            <w:r>
              <w:rPr>
                <w:sz w:val="20"/>
              </w:rPr>
              <w:t xml:space="preserve"> −0,7 pt d'engagement avec #fyp ou #foryou (p = 0,32) ; jour, heure et appel à l'action : aucun effet mesurable.</w:t>
            </w:r>
          </w:p>
          <w:p>
            <w:pPr>
              <w:spacing w:after="60"/>
            </w:pPr>
            <w:r>
              <w:rPr>
                <w:b/>
                <w:sz w:val="20"/>
              </w:rPr>
              <w:t>4. Seul levier qui ressort : des vidéos un peu plus longues.</w:t>
            </w:r>
            <w:r>
              <w:rPr>
                <w:sz w:val="20"/>
              </w:rPr>
              <w:t xml:space="preserve"> +5,5 pts d'engagement au-delà de 15 s dans les tendances (p = 0,02), non confirmé dans les autres échantillons : une piste à tester, pas une règle.</w:t>
            </w:r>
          </w:p>
          <w:p>
            <w:pPr>
              <w:spacing w:after="60"/>
            </w:pPr>
            <w:r>
              <w:rPr>
                <w:b/>
                <w:sz w:val="20"/>
              </w:rPr>
              <w:t>5. Aucun sujet ne gagne à coup sûr.</w:t>
            </w:r>
            <w:r>
              <w:rPr>
                <w:sz w:val="20"/>
              </w:rPr>
              <w:t xml:space="preserve"> 4,2 pts d'écart au plus entre sujets (p = 0,33) : choisir le sujet pour la marque, puis le créateur pour son engagement.</w:t>
            </w:r>
          </w:p>
        </w:tc>
      </w:tr>
    </w:tbl>
    <w:p>
      <w:pPr>
        <w:spacing w:after="40"/>
      </w:pPr>
    </w:p>
    <w:p>
      <w:pPr>
        <w:spacing w:after="80"/>
      </w:pPr>
      <w:r>
        <w:rPr>
          <w:b/>
        </w:rPr>
        <w:t>Ce que je recommande pour la campagne</w:t>
      </w:r>
      <w:r>
        <w:rPr/>
        <w:t xml:space="preserve"> : choisir les créateurs sur leur taux d'engagement mesuré sur plusieurs vidéos plutôt que sur leurs abonnés ; inclure des comptes de moins de 3 M d'abonnés ; laisser le créateur libre du format ; tester en A/B des vidéos de 15 à 60 s.</w:t>
      </w:r>
    </w:p>
    <w:p>
      <w:r>
        <w:br w:type="page"/>
      </w:r>
    </w:p>
    <w:p>
      <w:pPr>
        <w:pStyle w:val="Heading1"/>
      </w:pPr>
      <w:r>
        <w:t>1. La problématique</w:t>
      </w:r>
    </w:p>
    <w:p>
      <w:r>
        <w:rPr/>
        <w:t>Les marques consacrent une part croissante de leur budget aux créateurs TikTok et les choisissent souvent au jugé : un grand nombre d'abonnés, une vidéo virale montrée en réunion. L'agence vend la promesse inverse : choisir sur des preuves. Le manager ne code pas et travaille dans Excel ; il doit comprendre les facteurs de succès en quelques minutes, puis pouvoir transmettre une version du classeur au client.</w:t>
      </w:r>
    </w:p>
    <w:p>
      <w:r>
        <w:rPr>
          <w:b/>
          <w:color w:val="1F3864"/>
        </w:rPr>
        <w:t>Problématique : qu'est-ce qui distingue les contenus et les créateurs TikTok les plus performants, et sur quoi une marque peut-elle réellement agir pour choisir ses créateurs ?</w:t>
      </w:r>
    </w:p>
    <w:p>
      <w:pPr>
        <w:keepNext/>
        <w:spacing w:after="60"/>
      </w:pPr>
      <w:r>
        <w:rPr/>
        <w:t>Pour y répondre, le classeur établit successivement :</w:t>
      </w:r>
    </w:p>
    <w:p>
      <w:pPr>
        <w:pStyle w:val="ListBullet"/>
        <w:spacing w:after="60"/>
      </w:pPr>
      <w:r>
        <w:rPr/>
        <w:t>ce que veut dire « réussir » sur TikTok, puisque les données ne le disent pas ;</w:t>
      </w:r>
    </w:p>
    <w:p>
      <w:pPr>
        <w:pStyle w:val="ListBullet"/>
        <w:spacing w:after="60"/>
      </w:pPr>
      <w:r>
        <w:rPr/>
        <w:t>quels facteurs sont liés au succès, chacun avec un chiffre placé à côté de sa conclusion, y compris ceux qui n'ont aucun effet ;</w:t>
      </w:r>
    </w:p>
    <w:p>
      <w:pPr>
        <w:pStyle w:val="ListBullet"/>
        <w:spacing w:after="60"/>
      </w:pPr>
      <w:r>
        <w:rPr/>
        <w:t>ce que les données permettent de répondre à l'objection « les gros comptes gagneraient de toute façon », et ce qu'elles ne permettent pas de dire ;</w:t>
      </w:r>
    </w:p>
    <w:p>
      <w:pPr>
        <w:pStyle w:val="ListBullet"/>
        <w:spacing w:after="60"/>
      </w:pPr>
      <w:r>
        <w:rPr/>
        <w:t>ce que le créateur contrôle, par opposition à ce qui est une conséquence de son succès ;</w:t>
      </w:r>
    </w:p>
    <w:p>
      <w:pPr>
        <w:pStyle w:val="ListBullet"/>
        <w:spacing w:after="60"/>
      </w:pPr>
      <w:r>
        <w:rPr/>
        <w:t>quels créateurs se distinguent dans chaque catégorie de contenu, et pourquoi ;</w:t>
      </w:r>
    </w:p>
    <w:p>
      <w:pPr>
        <w:pStyle w:val="ListBullet"/>
        <w:spacing w:after="60"/>
      </w:pPr>
      <w:r>
        <w:rPr/>
        <w:t>ce que ces données ne peuvent pas dire, vu la façon dont elles ont été collectées ;</w:t>
      </w:r>
    </w:p>
    <w:p>
      <w:pPr>
        <w:pStyle w:val="ListBullet"/>
        <w:spacing w:after="60"/>
      </w:pPr>
      <w:r>
        <w:rPr/>
        <w:t>ce que la version envoyée au client peut contenir au regard du RGPD.</w:t>
      </w:r>
    </w:p>
    <w:p>
      <w:pPr>
        <w:pStyle w:val="Heading1"/>
      </w:pPr>
      <w:r>
        <w:t>2. Les données : ce que j'ai retenu et pourquoi</w:t>
      </w:r>
    </w:p>
    <w:p>
      <w:r>
        <w:rPr/>
        <w:t>Le collecteur de l'agence a extrait cinq fichiers de la partie publique de TikTok en août 2021. Il ne voit que ce que la plateforme met en avant comme populaire : ces données décrivent des contenus qui ont déjà réussi. J'ai retenu trois extraits sur cinq.</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8"/>
        <w:gridCol w:w="1644"/>
        <w:gridCol w:w="1361"/>
        <w:gridCol w:w="4593"/>
      </w:tblGrid>
      <w:tr>
        <w:trPr>
          <w:cantSplit/>
          <w:tblHeader w:val="true"/>
        </w:trPr>
        <w:tc>
          <w:tcPr>
            <w:tcW w:type="dxa" w:w="1928"/>
            <w:shd w:val="clear" w:color="auto" w:fill="1F3864"/>
            <w:vAlign w:val="center"/>
          </w:tcPr>
          <w:p>
            <w:pPr>
              <w:spacing w:after="0"/>
            </w:pPr>
            <w:r>
              <w:rPr>
                <w:b/>
                <w:color w:val="FFFFFF"/>
                <w:sz w:val="17"/>
              </w:rPr>
              <w:t>Extrait</w:t>
            </w:r>
          </w:p>
        </w:tc>
        <w:tc>
          <w:tcPr>
            <w:tcW w:type="dxa" w:w="1644"/>
            <w:shd w:val="clear" w:color="auto" w:fill="1F3864"/>
            <w:vAlign w:val="center"/>
          </w:tcPr>
          <w:p>
            <w:pPr>
              <w:spacing w:after="0"/>
            </w:pPr>
            <w:r>
              <w:rPr>
                <w:b/>
                <w:color w:val="FFFFFF"/>
                <w:sz w:val="17"/>
              </w:rPr>
              <w:t>Contenu</w:t>
            </w:r>
          </w:p>
        </w:tc>
        <w:tc>
          <w:tcPr>
            <w:tcW w:type="dxa" w:w="1361"/>
            <w:shd w:val="clear" w:color="auto" w:fill="1F3864"/>
            <w:vAlign w:val="center"/>
          </w:tcPr>
          <w:p>
            <w:pPr>
              <w:spacing w:after="0"/>
            </w:pPr>
            <w:r>
              <w:rPr>
                <w:b/>
                <w:color w:val="FFFFFF"/>
                <w:sz w:val="17"/>
              </w:rPr>
              <w:t>Rôle</w:t>
            </w:r>
          </w:p>
        </w:tc>
        <w:tc>
          <w:tcPr>
            <w:tcW w:type="dxa" w:w="4592"/>
            <w:shd w:val="clear" w:color="auto" w:fill="1F3864"/>
            <w:vAlign w:val="center"/>
          </w:tcPr>
          <w:p>
            <w:pPr>
              <w:spacing w:after="0"/>
            </w:pPr>
            <w:r>
              <w:rPr>
                <w:b/>
                <w:color w:val="FFFFFF"/>
                <w:sz w:val="17"/>
              </w:rPr>
              <w:t>Pourquoi</w:t>
            </w:r>
          </w:p>
        </w:tc>
      </w:tr>
      <w:tr>
        <w:trPr>
          <w:cantSplit/>
        </w:trPr>
        <w:tc>
          <w:tcPr>
            <w:tcW w:type="dxa" w:w="1928"/>
            <w:vAlign w:val="center"/>
          </w:tcPr>
          <w:p>
            <w:pPr>
              <w:spacing w:after="0" w:line="240" w:lineRule="auto"/>
            </w:pPr>
            <w:r>
              <w:rPr>
                <w:b/>
                <w:sz w:val="17"/>
              </w:rPr>
              <w:t>Vidéos tendances</w:t>
            </w:r>
          </w:p>
        </w:tc>
        <w:tc>
          <w:tcPr>
            <w:tcW w:type="dxa" w:w="1644"/>
            <w:vAlign w:val="center"/>
          </w:tcPr>
          <w:p>
            <w:pPr>
              <w:spacing w:after="0" w:line="240" w:lineRule="auto"/>
            </w:pPr>
            <w:r>
              <w:rPr>
                <w:sz w:val="17"/>
              </w:rPr>
              <w:t>100 vidéos, 84 créateurs</w:t>
            </w:r>
          </w:p>
        </w:tc>
        <w:tc>
          <w:tcPr>
            <w:tcW w:type="dxa" w:w="1361"/>
            <w:vAlign w:val="center"/>
          </w:tcPr>
          <w:p>
            <w:pPr>
              <w:spacing w:after="0" w:line="240" w:lineRule="auto"/>
            </w:pPr>
            <w:r>
              <w:rPr>
                <w:sz w:val="17"/>
              </w:rPr>
              <w:t>Principal</w:t>
            </w:r>
          </w:p>
        </w:tc>
        <w:tc>
          <w:tcPr>
            <w:tcW w:type="dxa" w:w="4592"/>
            <w:vAlign w:val="center"/>
          </w:tcPr>
          <w:p>
            <w:pPr>
              <w:spacing w:after="0" w:line="240" w:lineRule="auto"/>
            </w:pPr>
            <w:r>
              <w:rPr>
                <w:sz w:val="17"/>
              </w:rPr>
              <w:t>Les vidéos mises en avant par l'algorithme, les plus récentes : la meilleure image de « ce qui performe ». Contient les métriques et les leviers, mais pas les abonnés.</w:t>
            </w:r>
          </w:p>
        </w:tc>
      </w:tr>
      <w:tr>
        <w:trPr>
          <w:cantSplit/>
        </w:trPr>
        <w:tc>
          <w:tcPr>
            <w:tcW w:type="dxa" w:w="1928"/>
            <w:vAlign w:val="center"/>
            <w:shd w:val="clear" w:color="auto" w:fill="F3F5F9"/>
          </w:tcPr>
          <w:p>
            <w:pPr>
              <w:spacing w:after="0" w:line="240" w:lineRule="auto"/>
            </w:pPr>
            <w:r>
              <w:rPr>
                <w:b/>
                <w:sz w:val="17"/>
              </w:rPr>
              <w:t>Top 100 #funny</w:t>
            </w:r>
          </w:p>
        </w:tc>
        <w:tc>
          <w:tcPr>
            <w:tcW w:type="dxa" w:w="1644"/>
            <w:vAlign w:val="center"/>
            <w:shd w:val="clear" w:color="auto" w:fill="F3F5F9"/>
          </w:tcPr>
          <w:p>
            <w:pPr>
              <w:spacing w:after="0" w:line="240" w:lineRule="auto"/>
            </w:pPr>
            <w:r>
              <w:rPr>
                <w:sz w:val="17"/>
              </w:rPr>
              <w:t>100 vidéos, 79 créateurs</w:t>
            </w:r>
          </w:p>
        </w:tc>
        <w:tc>
          <w:tcPr>
            <w:tcW w:type="dxa" w:w="1361"/>
            <w:vAlign w:val="center"/>
            <w:shd w:val="clear" w:color="auto" w:fill="F3F5F9"/>
          </w:tcPr>
          <w:p>
            <w:pPr>
              <w:spacing w:after="0" w:line="240" w:lineRule="auto"/>
            </w:pPr>
            <w:r>
              <w:rPr>
                <w:sz w:val="17"/>
              </w:rPr>
              <w:t>Contrôle et gros comptes</w:t>
            </w:r>
          </w:p>
        </w:tc>
        <w:tc>
          <w:tcPr>
            <w:tcW w:type="dxa" w:w="4592"/>
            <w:vAlign w:val="center"/>
            <w:shd w:val="clear" w:color="auto" w:fill="F3F5F9"/>
          </w:tcPr>
          <w:p>
            <w:pPr>
              <w:spacing w:after="0" w:line="240" w:lineRule="auto"/>
            </w:pPr>
            <w:r>
              <w:rPr>
                <w:sz w:val="17"/>
              </w:rPr>
              <w:t>Seul extrait avec le nombre d'abonnés et la musique. Biais : un seul registre et un tri par likes (au moins 6,8 M de likes).</w:t>
            </w:r>
          </w:p>
        </w:tc>
      </w:tr>
      <w:tr>
        <w:trPr>
          <w:cantSplit/>
        </w:trPr>
        <w:tc>
          <w:tcPr>
            <w:tcW w:type="dxa" w:w="1928"/>
            <w:vAlign w:val="center"/>
          </w:tcPr>
          <w:p>
            <w:pPr>
              <w:spacing w:after="0" w:line="240" w:lineRule="auto"/>
            </w:pPr>
            <w:r>
              <w:rPr>
                <w:b/>
                <w:sz w:val="17"/>
              </w:rPr>
              <w:t>Vidéos likées par le compte officiel</w:t>
            </w:r>
          </w:p>
        </w:tc>
        <w:tc>
          <w:tcPr>
            <w:tcW w:type="dxa" w:w="1644"/>
            <w:vAlign w:val="center"/>
          </w:tcPr>
          <w:p>
            <w:pPr>
              <w:spacing w:after="0" w:line="240" w:lineRule="auto"/>
            </w:pPr>
            <w:r>
              <w:rPr>
                <w:sz w:val="17"/>
              </w:rPr>
              <w:t>100 vidéos, 92 créateurs</w:t>
            </w:r>
          </w:p>
        </w:tc>
        <w:tc>
          <w:tcPr>
            <w:tcW w:type="dxa" w:w="1361"/>
            <w:vAlign w:val="center"/>
          </w:tcPr>
          <w:p>
            <w:pPr>
              <w:spacing w:after="0" w:line="240" w:lineRule="auto"/>
            </w:pPr>
            <w:r>
              <w:rPr>
                <w:sz w:val="17"/>
              </w:rPr>
              <w:t>Contrôle</w:t>
            </w:r>
          </w:p>
        </w:tc>
        <w:tc>
          <w:tcPr>
            <w:tcW w:type="dxa" w:w="4592"/>
            <w:vAlign w:val="center"/>
          </w:tcPr>
          <w:p>
            <w:pPr>
              <w:spacing w:after="0" w:line="240" w:lineRule="auto"/>
            </w:pPr>
            <w:r>
              <w:rPr>
                <w:sz w:val="17"/>
              </w:rPr>
              <w:t>Même format que les tendances, mais une sélection éditoriale : sert à vérifier qu'un effet se répète.</w:t>
            </w:r>
          </w:p>
        </w:tc>
      </w:tr>
      <w:tr>
        <w:trPr>
          <w:cantSplit/>
        </w:trPr>
        <w:tc>
          <w:tcPr>
            <w:tcW w:type="dxa" w:w="1928"/>
            <w:vAlign w:val="center"/>
            <w:shd w:val="clear" w:color="auto" w:fill="F3F5F9"/>
          </w:tcPr>
          <w:p>
            <w:pPr>
              <w:spacing w:after="0" w:line="240" w:lineRule="auto"/>
            </w:pPr>
            <w:r>
              <w:rPr>
                <w:b/>
                <w:sz w:val="17"/>
              </w:rPr>
              <w:t>Auteurs tendance</w:t>
            </w:r>
          </w:p>
        </w:tc>
        <w:tc>
          <w:tcPr>
            <w:tcW w:type="dxa" w:w="1644"/>
            <w:vAlign w:val="center"/>
            <w:shd w:val="clear" w:color="auto" w:fill="F3F5F9"/>
          </w:tcPr>
          <w:p>
            <w:pPr>
              <w:spacing w:after="0" w:line="240" w:lineRule="auto"/>
            </w:pPr>
            <w:r>
              <w:rPr>
                <w:sz w:val="17"/>
              </w:rPr>
              <w:t>100 lignes, 92 auteurs</w:t>
            </w:r>
          </w:p>
        </w:tc>
        <w:tc>
          <w:tcPr>
            <w:tcW w:type="dxa" w:w="1361"/>
            <w:vAlign w:val="center"/>
            <w:shd w:val="clear" w:color="auto" w:fill="F3F5F9"/>
          </w:tcPr>
          <w:p>
            <w:pPr>
              <w:spacing w:after="0" w:line="240" w:lineRule="auto"/>
            </w:pPr>
            <w:r>
              <w:rPr>
                <w:sz w:val="17"/>
              </w:rPr>
              <w:t>Écarté</w:t>
            </w:r>
          </w:p>
        </w:tc>
        <w:tc>
          <w:tcPr>
            <w:tcW w:type="dxa" w:w="4592"/>
            <w:vAlign w:val="center"/>
            <w:shd w:val="clear" w:color="auto" w:fill="F3F5F9"/>
          </w:tcPr>
          <w:p>
            <w:pPr>
              <w:spacing w:after="0" w:line="240" w:lineRule="auto"/>
            </w:pPr>
            <w:r>
              <w:rPr>
                <w:sz w:val="17"/>
              </w:rPr>
              <w:t>Aucune métrique de performance, surtout des données personnelles (bios avec e-mails, téléphones, comptes de paiement). Le garder contredirait la minimisation.</w:t>
            </w:r>
          </w:p>
        </w:tc>
      </w:tr>
      <w:tr>
        <w:trPr>
          <w:cantSplit/>
        </w:trPr>
        <w:tc>
          <w:tcPr>
            <w:tcW w:type="dxa" w:w="1928"/>
            <w:vAlign w:val="center"/>
          </w:tcPr>
          <w:p>
            <w:pPr>
              <w:spacing w:after="0" w:line="240" w:lineRule="auto"/>
            </w:pPr>
            <w:r>
              <w:rPr>
                <w:b/>
                <w:sz w:val="17"/>
              </w:rPr>
              <w:t>Vidéos du compte officiel</w:t>
            </w:r>
          </w:p>
        </w:tc>
        <w:tc>
          <w:tcPr>
            <w:tcW w:type="dxa" w:w="1644"/>
            <w:vAlign w:val="center"/>
          </w:tcPr>
          <w:p>
            <w:pPr>
              <w:spacing w:after="0" w:line="240" w:lineRule="auto"/>
            </w:pPr>
            <w:r>
              <w:rPr>
                <w:sz w:val="17"/>
              </w:rPr>
              <w:t>100 vidéos, 1 compte</w:t>
            </w:r>
          </w:p>
        </w:tc>
        <w:tc>
          <w:tcPr>
            <w:tcW w:type="dxa" w:w="1361"/>
            <w:vAlign w:val="center"/>
          </w:tcPr>
          <w:p>
            <w:pPr>
              <w:spacing w:after="0" w:line="240" w:lineRule="auto"/>
            </w:pPr>
            <w:r>
              <w:rPr>
                <w:sz w:val="17"/>
              </w:rPr>
              <w:t>Écarté</w:t>
            </w:r>
          </w:p>
        </w:tc>
        <w:tc>
          <w:tcPr>
            <w:tcW w:type="dxa" w:w="4592"/>
            <w:vAlign w:val="center"/>
          </w:tcPr>
          <w:p>
            <w:pPr>
              <w:spacing w:after="0" w:line="240" w:lineRule="auto"/>
            </w:pPr>
            <w:r>
              <w:rPr>
                <w:sz w:val="17"/>
              </w:rPr>
              <w:t>Un acteur institutionnel unique qui promeut la plateforme, pas un créateur qu'une marque peut recruter.</w:t>
            </w:r>
          </w:p>
        </w:tc>
      </w:tr>
    </w:tbl>
    <w:p>
      <w:pPr>
        <w:spacing w:after="40"/>
      </w:pPr>
    </w:p>
    <w:p>
      <w:r>
        <w:rPr/>
        <w:t xml:space="preserve">Les trois extraits retenus forment une table de </w:t>
      </w:r>
      <w:r>
        <w:rPr>
          <w:b/>
        </w:rPr>
        <w:t>300 vidéos</w:t>
      </w:r>
      <w:r>
        <w:rPr/>
        <w:t xml:space="preserve"> (onglet Données). La préparation a consisté à uniformiser les colonnes, à retrouver la date de publication encodée dans l'identifiant de chaque vidéo, puis à calculer des variables dérivées : taux d'engagement, classe de durée, nombre de hashtags, hashtags génériques (#fyp, #foryou, #viral…), longueur de la légende, mention ou duo, question ou appel à l'action, week-end, créneau horaire, tranche d'abonnés, vues par abonné. Chaque créateur reçoit un sujet déduit des mots-clés de ses hashtags et légendes. Les fichiers bruts ne sont jamais modifiés.</w:t>
      </w:r>
    </w:p>
    <w:p>
      <w:r>
        <w:rPr/>
        <w:t>Deux précautions de lecture : la plateforme arrondit ses compteurs (2 à 3 chiffres significatifs), donc les petits écarts ne sont pas interprétables ; et les trois échantillons, construits différemment, sont comparés entre eux mais jamais additionnés, sauf pour les vues cumulées par créateur.</w:t>
      </w:r>
    </w:p>
    <w:p>
      <w:pPr>
        <w:pStyle w:val="Heading1"/>
      </w:pPr>
      <w:r>
        <w:t>3. Définir le succès</w:t>
      </w:r>
    </w:p>
    <w:p>
      <w:pPr>
        <w:keepNext/>
        <w:spacing w:after="60"/>
      </w:pPr>
      <w:r>
        <w:rPr/>
        <w:t xml:space="preserve">Le succès n'est défini nulle part dans les données : je l'ai défini comme le </w:t>
      </w:r>
      <w:r>
        <w:rPr>
          <w:b/>
        </w:rPr>
        <w:t>taux d'engagement = (likes + commentaires + partages) ÷ vues</w:t>
      </w:r>
      <w:r>
        <w:rPr/>
        <w:t>, c'est-à-dire la part des personnes touchées qui réagissent activement. Trois raisons :</w:t>
      </w:r>
    </w:p>
    <w:p>
      <w:pPr>
        <w:pStyle w:val="ListBullet"/>
        <w:spacing w:after="60"/>
      </w:pPr>
      <w:r>
        <w:rPr/>
        <w:t>c'est la réaction du public qu'achète une marque, pas seulement l'affichage ;</w:t>
      </w:r>
    </w:p>
    <w:p>
      <w:pPr>
        <w:pStyle w:val="ListBullet"/>
        <w:spacing w:after="60"/>
      </w:pPr>
      <w:r>
        <w:rPr/>
        <w:t>c'est un ratio : il ne favorise pas mécaniquement les gros comptes ni les vidéos en ligne depuis longtemps (dans les tendances, l'âge d'une vidéo est lié à ses vues, ρ = +0,24, mais pas à son engagement, ρ = −0,15, non significatif) ;</w:t>
      </w:r>
    </w:p>
    <w:p>
      <w:pPr>
        <w:pStyle w:val="ListBullet"/>
        <w:spacing w:after="60"/>
      </w:pPr>
      <w:r>
        <w:rPr/>
        <w:t>dans les tendances, l'engagement va de pair avec la portée (ρ = +0,21). Les vues restent affichées partout, à côté de l'engagement.</w:t>
      </w:r>
    </w:p>
    <w:p>
      <w:pPr>
        <w:keepNext/>
        <w:spacing w:after="80"/>
      </w:pPr>
      <w:r>
        <w:rPr/>
        <w:t xml:space="preserve">Un </w:t>
      </w:r>
      <w:r>
        <w:rPr>
          <w:b/>
        </w:rPr>
        <w:t>top performer</w:t>
      </w:r>
      <w:r>
        <w:rPr/>
        <w:t xml:space="preserve"> est une vidéo qui se classe dans le quart supérieur des taux d'engagement de son échantillon. Le seuil est calculé séparément pour chaque échantillon, car leurs niveaux diffèrent selon la façon dont ils ont été constitués. Avec 100 vidéos, le quart supérieur donne 25 vidéos par échantillon, assez pour comparer.</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835"/>
        <w:gridCol w:w="1701"/>
        <w:gridCol w:w="1701"/>
        <w:gridCol w:w="1588"/>
        <w:gridCol w:w="1701"/>
      </w:tblGrid>
      <w:tr>
        <w:trPr>
          <w:cantSplit/>
          <w:tblHeader w:val="true"/>
        </w:trPr>
        <w:tc>
          <w:tcPr>
            <w:tcW w:type="dxa" w:w="2835"/>
            <w:shd w:val="clear" w:color="auto" w:fill="1F3864"/>
            <w:vAlign w:val="center"/>
          </w:tcPr>
          <w:p>
            <w:pPr>
              <w:spacing w:after="0"/>
            </w:pPr>
            <w:r>
              <w:rPr>
                <w:b/>
                <w:color w:val="FFFFFF"/>
                <w:sz w:val="18"/>
              </w:rPr>
              <w:t>Échantillon</w:t>
            </w:r>
          </w:p>
        </w:tc>
        <w:tc>
          <w:tcPr>
            <w:tcW w:type="dxa" w:w="1701"/>
            <w:shd w:val="clear" w:color="auto" w:fill="1F3864"/>
            <w:vAlign w:val="center"/>
          </w:tcPr>
          <w:p>
            <w:pPr>
              <w:spacing w:after="0"/>
              <w:jc w:val="center"/>
            </w:pPr>
            <w:r>
              <w:rPr>
                <w:b/>
                <w:color w:val="FFFFFF"/>
                <w:sz w:val="18"/>
              </w:rPr>
              <w:t>Seuil top performer</w:t>
            </w:r>
          </w:p>
        </w:tc>
        <w:tc>
          <w:tcPr>
            <w:tcW w:type="dxa" w:w="1701"/>
            <w:shd w:val="clear" w:color="auto" w:fill="1F3864"/>
            <w:vAlign w:val="center"/>
          </w:tcPr>
          <w:p>
            <w:pPr>
              <w:spacing w:after="0"/>
              <w:jc w:val="center"/>
            </w:pPr>
            <w:r>
              <w:rPr>
                <w:b/>
                <w:color w:val="FFFFFF"/>
                <w:sz w:val="18"/>
              </w:rPr>
              <w:t>Engagement médian</w:t>
            </w:r>
          </w:p>
        </w:tc>
        <w:tc>
          <w:tcPr>
            <w:tcW w:type="dxa" w:w="1587"/>
            <w:shd w:val="clear" w:color="auto" w:fill="1F3864"/>
            <w:vAlign w:val="center"/>
          </w:tcPr>
          <w:p>
            <w:pPr>
              <w:spacing w:after="0"/>
              <w:jc w:val="center"/>
            </w:pPr>
            <w:r>
              <w:rPr>
                <w:b/>
                <w:color w:val="FFFFFF"/>
                <w:sz w:val="18"/>
              </w:rPr>
              <w:t>Vues médianes</w:t>
            </w:r>
          </w:p>
        </w:tc>
        <w:tc>
          <w:tcPr>
            <w:tcW w:type="dxa" w:w="1701"/>
            <w:shd w:val="clear" w:color="auto" w:fill="1F3864"/>
            <w:vAlign w:val="center"/>
          </w:tcPr>
          <w:p>
            <w:pPr>
              <w:spacing w:after="0"/>
              <w:jc w:val="center"/>
            </w:pPr>
            <w:r>
              <w:rPr>
                <w:b/>
                <w:color w:val="FFFFFF"/>
                <w:sz w:val="18"/>
              </w:rPr>
              <w:t>Créateurs distincts</w:t>
            </w:r>
          </w:p>
        </w:tc>
      </w:tr>
      <w:tr>
        <w:trPr>
          <w:cantSplit/>
        </w:trPr>
        <w:tc>
          <w:tcPr>
            <w:tcW w:type="dxa" w:w="2835"/>
            <w:vAlign w:val="center"/>
          </w:tcPr>
          <w:p>
            <w:pPr>
              <w:spacing w:after="0" w:line="240" w:lineRule="auto"/>
            </w:pPr>
            <w:r>
              <w:rPr>
                <w:b/>
                <w:sz w:val="18"/>
              </w:rPr>
              <w:t>Tendances</w:t>
            </w:r>
          </w:p>
        </w:tc>
        <w:tc>
          <w:tcPr>
            <w:tcW w:type="dxa" w:w="1701"/>
            <w:vAlign w:val="center"/>
          </w:tcPr>
          <w:p>
            <w:pPr>
              <w:spacing w:after="0" w:line="240" w:lineRule="auto"/>
              <w:jc w:val="center"/>
            </w:pPr>
            <w:r>
              <w:rPr>
                <w:sz w:val="18"/>
              </w:rPr>
              <w:t>15,6 %</w:t>
            </w:r>
          </w:p>
        </w:tc>
        <w:tc>
          <w:tcPr>
            <w:tcW w:type="dxa" w:w="1701"/>
            <w:vAlign w:val="center"/>
          </w:tcPr>
          <w:p>
            <w:pPr>
              <w:spacing w:after="0" w:line="240" w:lineRule="auto"/>
              <w:jc w:val="center"/>
            </w:pPr>
            <w:r>
              <w:rPr>
                <w:sz w:val="18"/>
              </w:rPr>
              <w:t>10,7 %</w:t>
            </w:r>
          </w:p>
        </w:tc>
        <w:tc>
          <w:tcPr>
            <w:tcW w:type="dxa" w:w="1587"/>
            <w:vAlign w:val="center"/>
          </w:tcPr>
          <w:p>
            <w:pPr>
              <w:spacing w:after="0" w:line="240" w:lineRule="auto"/>
              <w:jc w:val="center"/>
            </w:pPr>
            <w:r>
              <w:rPr>
                <w:sz w:val="18"/>
              </w:rPr>
              <w:t>10,4 M</w:t>
            </w:r>
          </w:p>
        </w:tc>
        <w:tc>
          <w:tcPr>
            <w:tcW w:type="dxa" w:w="1701"/>
            <w:vAlign w:val="center"/>
          </w:tcPr>
          <w:p>
            <w:pPr>
              <w:spacing w:after="0" w:line="240" w:lineRule="auto"/>
              <w:jc w:val="center"/>
            </w:pPr>
            <w:r>
              <w:rPr>
                <w:sz w:val="18"/>
              </w:rPr>
              <w:t>84</w:t>
            </w:r>
          </w:p>
        </w:tc>
      </w:tr>
      <w:tr>
        <w:trPr>
          <w:cantSplit/>
        </w:trPr>
        <w:tc>
          <w:tcPr>
            <w:tcW w:type="dxa" w:w="2835"/>
            <w:vAlign w:val="center"/>
            <w:shd w:val="clear" w:color="auto" w:fill="F3F5F9"/>
          </w:tcPr>
          <w:p>
            <w:pPr>
              <w:spacing w:after="0" w:line="240" w:lineRule="auto"/>
            </w:pPr>
            <w:r>
              <w:rPr>
                <w:b/>
                <w:sz w:val="18"/>
              </w:rPr>
              <w:t>Likées par le compte officiel</w:t>
            </w:r>
          </w:p>
        </w:tc>
        <w:tc>
          <w:tcPr>
            <w:tcW w:type="dxa" w:w="1701"/>
            <w:vAlign w:val="center"/>
            <w:shd w:val="clear" w:color="auto" w:fill="F3F5F9"/>
          </w:tcPr>
          <w:p>
            <w:pPr>
              <w:spacing w:after="0" w:line="240" w:lineRule="auto"/>
              <w:jc w:val="center"/>
            </w:pPr>
            <w:r>
              <w:rPr>
                <w:sz w:val="18"/>
              </w:rPr>
              <w:t>24,3 %</w:t>
            </w:r>
          </w:p>
        </w:tc>
        <w:tc>
          <w:tcPr>
            <w:tcW w:type="dxa" w:w="1701"/>
            <w:vAlign w:val="center"/>
            <w:shd w:val="clear" w:color="auto" w:fill="F3F5F9"/>
          </w:tcPr>
          <w:p>
            <w:pPr>
              <w:spacing w:after="0" w:line="240" w:lineRule="auto"/>
              <w:jc w:val="center"/>
            </w:pPr>
            <w:r>
              <w:rPr>
                <w:sz w:val="18"/>
              </w:rPr>
              <w:t>18,3 %</w:t>
            </w:r>
          </w:p>
        </w:tc>
        <w:tc>
          <w:tcPr>
            <w:tcW w:type="dxa" w:w="1587"/>
            <w:vAlign w:val="center"/>
            <w:shd w:val="clear" w:color="auto" w:fill="F3F5F9"/>
          </w:tcPr>
          <w:p>
            <w:pPr>
              <w:spacing w:after="0" w:line="240" w:lineRule="auto"/>
              <w:jc w:val="center"/>
            </w:pPr>
            <w:r>
              <w:rPr>
                <w:sz w:val="18"/>
              </w:rPr>
              <w:t>5,7 M</w:t>
            </w:r>
          </w:p>
        </w:tc>
        <w:tc>
          <w:tcPr>
            <w:tcW w:type="dxa" w:w="1701"/>
            <w:vAlign w:val="center"/>
            <w:shd w:val="clear" w:color="auto" w:fill="F3F5F9"/>
          </w:tcPr>
          <w:p>
            <w:pPr>
              <w:spacing w:after="0" w:line="240" w:lineRule="auto"/>
              <w:jc w:val="center"/>
            </w:pPr>
            <w:r>
              <w:rPr>
                <w:sz w:val="18"/>
              </w:rPr>
              <w:t>92</w:t>
            </w:r>
          </w:p>
        </w:tc>
      </w:tr>
      <w:tr>
        <w:trPr>
          <w:cantSplit/>
        </w:trPr>
        <w:tc>
          <w:tcPr>
            <w:tcW w:type="dxa" w:w="2835"/>
            <w:vAlign w:val="center"/>
          </w:tcPr>
          <w:p>
            <w:pPr>
              <w:spacing w:after="0" w:line="240" w:lineRule="auto"/>
            </w:pPr>
            <w:r>
              <w:rPr>
                <w:b/>
                <w:sz w:val="18"/>
              </w:rPr>
              <w:t>Top 100 #funny</w:t>
            </w:r>
          </w:p>
        </w:tc>
        <w:tc>
          <w:tcPr>
            <w:tcW w:type="dxa" w:w="1701"/>
            <w:vAlign w:val="center"/>
          </w:tcPr>
          <w:p>
            <w:pPr>
              <w:spacing w:after="0" w:line="240" w:lineRule="auto"/>
              <w:jc w:val="center"/>
            </w:pPr>
            <w:r>
              <w:rPr>
                <w:sz w:val="18"/>
              </w:rPr>
              <w:t>20,5 %</w:t>
            </w:r>
          </w:p>
        </w:tc>
        <w:tc>
          <w:tcPr>
            <w:tcW w:type="dxa" w:w="1701"/>
            <w:vAlign w:val="center"/>
          </w:tcPr>
          <w:p>
            <w:pPr>
              <w:spacing w:after="0" w:line="240" w:lineRule="auto"/>
              <w:jc w:val="center"/>
            </w:pPr>
            <w:r>
              <w:rPr>
                <w:sz w:val="18"/>
              </w:rPr>
              <w:t>16,3 %</w:t>
            </w:r>
          </w:p>
        </w:tc>
        <w:tc>
          <w:tcPr>
            <w:tcW w:type="dxa" w:w="1587"/>
            <w:vAlign w:val="center"/>
          </w:tcPr>
          <w:p>
            <w:pPr>
              <w:spacing w:after="0" w:line="240" w:lineRule="auto"/>
              <w:jc w:val="center"/>
            </w:pPr>
            <w:r>
              <w:rPr>
                <w:sz w:val="18"/>
              </w:rPr>
              <w:t>53,7 M</w:t>
            </w:r>
          </w:p>
        </w:tc>
        <w:tc>
          <w:tcPr>
            <w:tcW w:type="dxa" w:w="1701"/>
            <w:vAlign w:val="center"/>
          </w:tcPr>
          <w:p>
            <w:pPr>
              <w:spacing w:after="0" w:line="240" w:lineRule="auto"/>
              <w:jc w:val="center"/>
            </w:pPr>
            <w:r>
              <w:rPr>
                <w:sz w:val="18"/>
              </w:rPr>
              <w:t>79</w:t>
            </w:r>
          </w:p>
        </w:tc>
      </w:tr>
    </w:tbl>
    <w:p>
      <w:pPr>
        <w:spacing w:after="40"/>
      </w:pPr>
    </w:p>
    <w:p>
      <w:r>
        <w:rPr/>
        <w:t>Limite de cette définition : le top 100 #funny ne contient que des vidéos à plus de 6,8 M de likes. À likes presque constants, l'engagement y baisse mécaniquement quand les vues montent (ρ = −0,82). Cet échantillon sert donc surtout à répondre à la question des gros comptes, avec les vues et les vues par abonné.</w:t>
      </w:r>
    </w:p>
    <w:p>
      <w:pPr>
        <w:pStyle w:val="Heading1"/>
      </w:pPr>
      <w:r>
        <w:t>4. Méthode d'analyse</w:t>
      </w:r>
    </w:p>
    <w:p>
      <w:pPr>
        <w:pStyle w:val="ListBullet"/>
        <w:spacing w:after="60"/>
      </w:pPr>
      <w:r>
        <w:rPr>
          <w:b/>
        </w:rPr>
        <w:t>Médianes plutôt que moyennes</w:t>
      </w:r>
      <w:r>
        <w:rPr/>
        <w:t xml:space="preserve"> : vues et likes sont très asymétriques (quelques vidéos dépassent 100 M de vues).</w:t>
      </w:r>
    </w:p>
    <w:p>
      <w:pPr>
        <w:pStyle w:val="ListBullet"/>
        <w:spacing w:after="60"/>
      </w:pPr>
      <w:r>
        <w:rPr>
          <w:b/>
        </w:rPr>
        <w:t>Facteur oui/non</w:t>
      </w:r>
      <w:r>
        <w:rPr/>
        <w:t xml:space="preserve"> (par exemple « durée supérieure à 15 s ») : écart de taux d'engagement médian entre les vidéos qui ont la caractéristique et les autres, en points, et test de Mann-Whitney. </w:t>
      </w:r>
      <w:r>
        <w:rPr>
          <w:b/>
        </w:rPr>
        <w:t>Facteur continu</w:t>
      </w:r>
      <w:r>
        <w:rPr/>
        <w:t xml:space="preserve"> : corrélation de rang ρ de Spearman, de −1 à +1 (moins de 0,3 en valeur absolue = lien faible). </w:t>
      </w:r>
      <w:r>
        <w:rPr>
          <w:b/>
        </w:rPr>
        <w:t>Facteur à plusieurs modalités</w:t>
      </w:r>
      <w:r>
        <w:rPr/>
        <w:t xml:space="preserve"> (jour, créneau, sujet) : écart entre la meilleure et la moins bonne modalité, test de Kruskal-Wallis.</w:t>
      </w:r>
    </w:p>
    <w:p>
      <w:pPr>
        <w:pStyle w:val="ListBullet"/>
        <w:spacing w:after="60"/>
      </w:pPr>
      <w:r>
        <w:rPr>
          <w:b/>
        </w:rPr>
        <w:t>Seuil</w:t>
      </w:r>
      <w:r>
        <w:rPr/>
        <w:t xml:space="preserve"> : un effet est retenu si p &lt; 0,05, c'est-à-dire moins d'une chance sur 20 d'observer un tel écart par hasard.</w:t>
      </w:r>
    </w:p>
    <w:p>
      <w:pPr>
        <w:pStyle w:val="ListBullet"/>
        <w:spacing w:after="60"/>
      </w:pPr>
      <w:r>
        <w:rPr>
          <w:b/>
        </w:rPr>
        <w:t>Verdict</w:t>
      </w:r>
      <w:r>
        <w:rPr/>
        <w:t xml:space="preserve"> : « effet confirmé » s'il est significatif dans au moins deux échantillons, dans le même sens ; « effet isolé » dans un seul ; « contradictoire » si les sens s'opposent ; sinon « aucun effet mesurable ». Une quarantaine de tests ont été menés : environ deux « faux positifs » sont attendus par hasard, donc un effet isolé est une piste, pas une preuve.</w:t>
      </w:r>
    </w:p>
    <w:p>
      <w:pPr>
        <w:pStyle w:val="ListBullet"/>
        <w:spacing w:after="60"/>
      </w:pPr>
      <w:r>
        <w:rPr>
          <w:b/>
        </w:rPr>
        <w:t>Dans le classeur</w:t>
      </w:r>
      <w:r>
        <w:rPr/>
        <w:t>, les chiffres sont des formules Excel calculées sur l'onglet Données (environ 4 850 formules). Seules les p-values des tests de Mann-Whitney et de Kruskal-Wallis, et deux corrélations, viennent de Python, car Excel ne propose pas ces tests. Excel et Python ont été recoupés : mêmes valeurs sur toutes les cellules numériques.</w:t>
      </w:r>
    </w:p>
    <w:p>
      <w:pPr>
        <w:pStyle w:val="Heading1"/>
      </w:pPr>
      <w:r>
        <w:t>5. Ce que montrent les données</w:t>
      </w:r>
    </w:p>
    <w:p>
      <w:pPr>
        <w:pStyle w:val="Heading2"/>
      </w:pPr>
      <w:r>
        <w:t>5.1 Ce que le créateur contrôle : presque rien ne change l'engagement</w:t>
      </w:r>
    </w:p>
    <w:p>
      <w:pPr>
        <w:keepNext/>
        <w:spacing w:after="80"/>
      </w:pPr>
      <w:r>
        <w:rPr/>
        <w:t xml:space="preserve">J'ai testé </w:t>
      </w:r>
      <w:r>
        <w:rPr>
          <w:b/>
        </w:rPr>
        <w:t>15 leviers</w:t>
      </w:r>
      <w:r>
        <w:rPr/>
        <w:t xml:space="preserve"> que le créateur maîtrise, dans les trois échantillons. Résultat : </w:t>
      </w:r>
      <w:r>
        <w:rPr>
          <w:b/>
        </w:rPr>
        <w:t>aucun effet confirmé, 3 effets isolés, 1 résultat contradictoire et 11 leviers sans effet mesurable.</w:t>
      </w:r>
      <w:r>
        <w:rPr/>
        <w:t xml:space="preserve"> Les résultats sans effet sont gardés : ils disent au client ce qu'il est inutile d'imposer dans un brief. En gras, les résultats significatifs (p &lt; 0,05).</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65"/>
        <w:gridCol w:w="1899"/>
        <w:gridCol w:w="1899"/>
        <w:gridCol w:w="1899"/>
        <w:gridCol w:w="1162"/>
      </w:tblGrid>
      <w:tr>
        <w:trPr>
          <w:cantSplit/>
          <w:tblHeader w:val="true"/>
        </w:trPr>
        <w:tc>
          <w:tcPr>
            <w:tcW w:type="dxa" w:w="2665"/>
            <w:shd w:val="clear" w:color="auto" w:fill="1F3864"/>
            <w:vAlign w:val="center"/>
          </w:tcPr>
          <w:p>
            <w:pPr>
              <w:spacing w:after="0"/>
            </w:pPr>
            <w:r>
              <w:rPr>
                <w:b/>
                <w:color w:val="FFFFFF"/>
                <w:sz w:val="16"/>
              </w:rPr>
              <w:t>Levier testé</w:t>
            </w:r>
          </w:p>
        </w:tc>
        <w:tc>
          <w:tcPr>
            <w:tcW w:type="dxa" w:w="1899"/>
            <w:shd w:val="clear" w:color="auto" w:fill="1F3864"/>
            <w:vAlign w:val="center"/>
          </w:tcPr>
          <w:p>
            <w:pPr>
              <w:spacing w:after="0"/>
              <w:jc w:val="center"/>
            </w:pPr>
            <w:r>
              <w:rPr>
                <w:b/>
                <w:color w:val="FFFFFF"/>
                <w:sz w:val="16"/>
              </w:rPr>
              <w:t>Tendances</w:t>
            </w:r>
          </w:p>
        </w:tc>
        <w:tc>
          <w:tcPr>
            <w:tcW w:type="dxa" w:w="1899"/>
            <w:shd w:val="clear" w:color="auto" w:fill="1F3864"/>
            <w:vAlign w:val="center"/>
          </w:tcPr>
          <w:p>
            <w:pPr>
              <w:spacing w:after="0"/>
              <w:jc w:val="center"/>
            </w:pPr>
            <w:r>
              <w:rPr>
                <w:b/>
                <w:color w:val="FFFFFF"/>
                <w:sz w:val="16"/>
              </w:rPr>
              <w:t>Likées</w:t>
            </w:r>
          </w:p>
        </w:tc>
        <w:tc>
          <w:tcPr>
            <w:tcW w:type="dxa" w:w="1899"/>
            <w:shd w:val="clear" w:color="auto" w:fill="1F3864"/>
            <w:vAlign w:val="center"/>
          </w:tcPr>
          <w:p>
            <w:pPr>
              <w:spacing w:after="0"/>
              <w:jc w:val="center"/>
            </w:pPr>
            <w:r>
              <w:rPr>
                <w:b/>
                <w:color w:val="FFFFFF"/>
                <w:sz w:val="16"/>
              </w:rPr>
              <w:t>Top #funny</w:t>
            </w:r>
          </w:p>
        </w:tc>
        <w:tc>
          <w:tcPr>
            <w:tcW w:type="dxa" w:w="1162"/>
            <w:shd w:val="clear" w:color="auto" w:fill="1F3864"/>
            <w:vAlign w:val="center"/>
          </w:tcPr>
          <w:p>
            <w:pPr>
              <w:spacing w:after="0"/>
            </w:pPr>
            <w:r>
              <w:rPr>
                <w:b/>
                <w:color w:val="FFFFFF"/>
                <w:sz w:val="16"/>
              </w:rPr>
              <w:t>Verdict</w:t>
            </w:r>
          </w:p>
        </w:tc>
      </w:tr>
      <w:tr>
        <w:trPr>
          <w:cantSplit/>
        </w:trPr>
        <w:tc>
          <w:tcPr>
            <w:tcW w:type="dxa" w:w="2665"/>
            <w:vAlign w:val="center"/>
          </w:tcPr>
          <w:p>
            <w:pPr>
              <w:spacing w:after="0" w:line="240" w:lineRule="auto"/>
            </w:pPr>
            <w:r>
              <w:rPr>
                <w:b/>
                <w:sz w:val="16"/>
              </w:rPr>
              <w:t>Durée supérieure à 15 s</w:t>
            </w:r>
          </w:p>
        </w:tc>
        <w:tc>
          <w:tcPr>
            <w:tcW w:type="dxa" w:w="1899"/>
            <w:vAlign w:val="center"/>
          </w:tcPr>
          <w:p>
            <w:pPr>
              <w:spacing w:after="0" w:line="240" w:lineRule="auto"/>
              <w:jc w:val="center"/>
            </w:pPr>
            <w:r>
              <w:rPr>
                <w:b/>
                <w:sz w:val="16"/>
              </w:rPr>
              <w:t>+5,5 pts · p = 0,02</w:t>
            </w:r>
          </w:p>
        </w:tc>
        <w:tc>
          <w:tcPr>
            <w:tcW w:type="dxa" w:w="1899"/>
            <w:vAlign w:val="center"/>
          </w:tcPr>
          <w:p>
            <w:pPr>
              <w:spacing w:after="0" w:line="240" w:lineRule="auto"/>
              <w:jc w:val="center"/>
            </w:pPr>
            <w:r>
              <w:rPr>
                <w:sz w:val="16"/>
              </w:rPr>
              <w:t>−0,4 pt · p = 0,53</w:t>
            </w:r>
          </w:p>
        </w:tc>
        <w:tc>
          <w:tcPr>
            <w:tcW w:type="dxa" w:w="1899"/>
            <w:vAlign w:val="center"/>
          </w:tcPr>
          <w:p>
            <w:pPr>
              <w:spacing w:after="0" w:line="240" w:lineRule="auto"/>
              <w:jc w:val="center"/>
            </w:pPr>
            <w:r>
              <w:rPr>
                <w:sz w:val="16"/>
              </w:rPr>
              <w:t>+0,5 pt · p = 0,80</w:t>
            </w:r>
          </w:p>
        </w:tc>
        <w:tc>
          <w:tcPr>
            <w:tcW w:type="dxa" w:w="1162"/>
            <w:vAlign w:val="center"/>
          </w:tcPr>
          <w:p>
            <w:pPr>
              <w:spacing w:after="0" w:line="240" w:lineRule="auto"/>
            </w:pPr>
            <w:r>
              <w:rPr>
                <w:sz w:val="16"/>
              </w:rPr>
              <w:t>Effet isolé</w:t>
            </w:r>
          </w:p>
        </w:tc>
      </w:tr>
      <w:tr>
        <w:trPr>
          <w:cantSplit/>
        </w:trPr>
        <w:tc>
          <w:tcPr>
            <w:tcW w:type="dxa" w:w="2665"/>
            <w:vAlign w:val="center"/>
            <w:shd w:val="clear" w:color="auto" w:fill="F3F5F9"/>
          </w:tcPr>
          <w:p>
            <w:pPr>
              <w:spacing w:after="0" w:line="240" w:lineRule="auto"/>
            </w:pPr>
            <w:r>
              <w:rPr>
                <w:b/>
                <w:sz w:val="16"/>
              </w:rPr>
              <w:t>Durée (en secondes)</w:t>
            </w:r>
          </w:p>
        </w:tc>
        <w:tc>
          <w:tcPr>
            <w:tcW w:type="dxa" w:w="1899"/>
            <w:vAlign w:val="center"/>
            <w:shd w:val="clear" w:color="auto" w:fill="F3F5F9"/>
          </w:tcPr>
          <w:p>
            <w:pPr>
              <w:spacing w:after="0" w:line="240" w:lineRule="auto"/>
              <w:jc w:val="center"/>
            </w:pPr>
            <w:r>
              <w:rPr>
                <w:sz w:val="16"/>
              </w:rPr>
              <w:t>ρ = +0,11 · p = 0,26</w:t>
            </w:r>
          </w:p>
        </w:tc>
        <w:tc>
          <w:tcPr>
            <w:tcW w:type="dxa" w:w="1899"/>
            <w:vAlign w:val="center"/>
            <w:shd w:val="clear" w:color="auto" w:fill="F3F5F9"/>
          </w:tcPr>
          <w:p>
            <w:pPr>
              <w:spacing w:after="0" w:line="240" w:lineRule="auto"/>
              <w:jc w:val="center"/>
            </w:pPr>
            <w:r>
              <w:rPr>
                <w:sz w:val="16"/>
              </w:rPr>
              <w:t>ρ = −0,07 · p = 0,48</w:t>
            </w:r>
          </w:p>
        </w:tc>
        <w:tc>
          <w:tcPr>
            <w:tcW w:type="dxa" w:w="1899"/>
            <w:vAlign w:val="center"/>
            <w:shd w:val="clear" w:color="auto" w:fill="F3F5F9"/>
          </w:tcPr>
          <w:p>
            <w:pPr>
              <w:spacing w:after="0" w:line="240" w:lineRule="auto"/>
              <w:jc w:val="center"/>
            </w:pPr>
            <w:r>
              <w:rPr>
                <w:b/>
                <w:sz w:val="16"/>
              </w:rPr>
              <w:t>ρ = +0,22 · p = 0,03</w:t>
            </w:r>
          </w:p>
        </w:tc>
        <w:tc>
          <w:tcPr>
            <w:tcW w:type="dxa" w:w="1162"/>
            <w:vAlign w:val="center"/>
            <w:shd w:val="clear" w:color="auto" w:fill="F3F5F9"/>
          </w:tcPr>
          <w:p>
            <w:pPr>
              <w:spacing w:after="0" w:line="240" w:lineRule="auto"/>
            </w:pPr>
            <w:r>
              <w:rPr>
                <w:sz w:val="16"/>
              </w:rPr>
              <w:t>Effet isolé</w:t>
            </w:r>
          </w:p>
        </w:tc>
      </w:tr>
      <w:tr>
        <w:trPr>
          <w:cantSplit/>
        </w:trPr>
        <w:tc>
          <w:tcPr>
            <w:tcW w:type="dxa" w:w="2665"/>
            <w:vAlign w:val="center"/>
          </w:tcPr>
          <w:p>
            <w:pPr>
              <w:spacing w:after="0" w:line="240" w:lineRule="auto"/>
            </w:pPr>
            <w:r>
              <w:rPr>
                <w:b/>
                <w:sz w:val="16"/>
              </w:rPr>
              <w:t>Hashtags génériques (#fyp, #foryou, #viral…)</w:t>
            </w:r>
          </w:p>
        </w:tc>
        <w:tc>
          <w:tcPr>
            <w:tcW w:type="dxa" w:w="1899"/>
            <w:vAlign w:val="center"/>
          </w:tcPr>
          <w:p>
            <w:pPr>
              <w:spacing w:after="0" w:line="240" w:lineRule="auto"/>
              <w:jc w:val="center"/>
            </w:pPr>
            <w:r>
              <w:rPr>
                <w:sz w:val="16"/>
              </w:rPr>
              <w:t>−0,7 pt · p = 0,32</w:t>
            </w:r>
          </w:p>
        </w:tc>
        <w:tc>
          <w:tcPr>
            <w:tcW w:type="dxa" w:w="1899"/>
            <w:vAlign w:val="center"/>
          </w:tcPr>
          <w:p>
            <w:pPr>
              <w:spacing w:after="0" w:line="240" w:lineRule="auto"/>
              <w:jc w:val="center"/>
            </w:pPr>
            <w:r>
              <w:rPr>
                <w:sz w:val="16"/>
              </w:rPr>
              <w:t>+1,2 pt · p = 0,22</w:t>
            </w:r>
          </w:p>
        </w:tc>
        <w:tc>
          <w:tcPr>
            <w:tcW w:type="dxa" w:w="1899"/>
            <w:vAlign w:val="center"/>
          </w:tcPr>
          <w:p>
            <w:pPr>
              <w:spacing w:after="0" w:line="240" w:lineRule="auto"/>
              <w:jc w:val="center"/>
            </w:pPr>
            <w:r>
              <w:rPr>
                <w:sz w:val="16"/>
              </w:rPr>
              <w:t>−0,5 pt · p = 0,50</w:t>
            </w:r>
          </w:p>
        </w:tc>
        <w:tc>
          <w:tcPr>
            <w:tcW w:type="dxa" w:w="1162"/>
            <w:vAlign w:val="center"/>
          </w:tcPr>
          <w:p>
            <w:pPr>
              <w:spacing w:after="0" w:line="240" w:lineRule="auto"/>
            </w:pPr>
            <w:r>
              <w:rPr>
                <w:sz w:val="16"/>
              </w:rPr>
              <w:t>Aucun effet</w:t>
            </w:r>
          </w:p>
        </w:tc>
      </w:tr>
      <w:tr>
        <w:trPr>
          <w:cantSplit/>
        </w:trPr>
        <w:tc>
          <w:tcPr>
            <w:tcW w:type="dxa" w:w="2665"/>
            <w:vAlign w:val="center"/>
            <w:shd w:val="clear" w:color="auto" w:fill="F3F5F9"/>
          </w:tcPr>
          <w:p>
            <w:pPr>
              <w:spacing w:after="0" w:line="240" w:lineRule="auto"/>
            </w:pPr>
            <w:r>
              <w:rPr>
                <w:b/>
                <w:sz w:val="16"/>
              </w:rPr>
              <w:t>Nombre de hashtags</w:t>
            </w:r>
          </w:p>
        </w:tc>
        <w:tc>
          <w:tcPr>
            <w:tcW w:type="dxa" w:w="1899"/>
            <w:vAlign w:val="center"/>
            <w:shd w:val="clear" w:color="auto" w:fill="F3F5F9"/>
          </w:tcPr>
          <w:p>
            <w:pPr>
              <w:spacing w:after="0" w:line="240" w:lineRule="auto"/>
              <w:jc w:val="center"/>
            </w:pPr>
            <w:r>
              <w:rPr>
                <w:sz w:val="16"/>
              </w:rPr>
              <w:t>ρ = −0,06 · p = 0,55</w:t>
            </w:r>
          </w:p>
        </w:tc>
        <w:tc>
          <w:tcPr>
            <w:tcW w:type="dxa" w:w="1899"/>
            <w:vAlign w:val="center"/>
            <w:shd w:val="clear" w:color="auto" w:fill="F3F5F9"/>
          </w:tcPr>
          <w:p>
            <w:pPr>
              <w:spacing w:after="0" w:line="240" w:lineRule="auto"/>
              <w:jc w:val="center"/>
            </w:pPr>
            <w:r>
              <w:rPr>
                <w:sz w:val="16"/>
              </w:rPr>
              <w:t>ρ = −0,02 · p = 0,88</w:t>
            </w:r>
          </w:p>
        </w:tc>
        <w:tc>
          <w:tcPr>
            <w:tcW w:type="dxa" w:w="1899"/>
            <w:vAlign w:val="center"/>
            <w:shd w:val="clear" w:color="auto" w:fill="F3F5F9"/>
          </w:tcPr>
          <w:p>
            <w:pPr>
              <w:spacing w:after="0" w:line="240" w:lineRule="auto"/>
              <w:jc w:val="center"/>
            </w:pPr>
            <w:r>
              <w:rPr>
                <w:b/>
                <w:sz w:val="16"/>
              </w:rPr>
              <w:t>ρ = −0,28 · p = 0,005</w:t>
            </w:r>
          </w:p>
        </w:tc>
        <w:tc>
          <w:tcPr>
            <w:tcW w:type="dxa" w:w="1162"/>
            <w:vAlign w:val="center"/>
            <w:shd w:val="clear" w:color="auto" w:fill="F3F5F9"/>
          </w:tcPr>
          <w:p>
            <w:pPr>
              <w:spacing w:after="0" w:line="240" w:lineRule="auto"/>
            </w:pPr>
            <w:r>
              <w:rPr>
                <w:sz w:val="16"/>
              </w:rPr>
              <w:t>Effet isolé</w:t>
            </w:r>
          </w:p>
        </w:tc>
      </w:tr>
      <w:tr>
        <w:trPr>
          <w:cantSplit/>
        </w:trPr>
        <w:tc>
          <w:tcPr>
            <w:tcW w:type="dxa" w:w="2665"/>
            <w:vAlign w:val="center"/>
          </w:tcPr>
          <w:p>
            <w:pPr>
              <w:spacing w:after="0" w:line="240" w:lineRule="auto"/>
            </w:pPr>
            <w:r>
              <w:rPr>
                <w:b/>
                <w:sz w:val="16"/>
              </w:rPr>
              <w:t>Longueur de la légende</w:t>
            </w:r>
          </w:p>
        </w:tc>
        <w:tc>
          <w:tcPr>
            <w:tcW w:type="dxa" w:w="1899"/>
            <w:vAlign w:val="center"/>
          </w:tcPr>
          <w:p>
            <w:pPr>
              <w:spacing w:after="0" w:line="240" w:lineRule="auto"/>
              <w:jc w:val="center"/>
            </w:pPr>
            <w:r>
              <w:rPr>
                <w:sz w:val="16"/>
              </w:rPr>
              <w:t>ρ = +0,19 · p = 0,06</w:t>
            </w:r>
          </w:p>
        </w:tc>
        <w:tc>
          <w:tcPr>
            <w:tcW w:type="dxa" w:w="1899"/>
            <w:vAlign w:val="center"/>
          </w:tcPr>
          <w:p>
            <w:pPr>
              <w:spacing w:after="0" w:line="240" w:lineRule="auto"/>
              <w:jc w:val="center"/>
            </w:pPr>
            <w:r>
              <w:rPr>
                <w:b/>
                <w:sz w:val="16"/>
              </w:rPr>
              <w:t>ρ = −0,34 · p &lt; 0,001</w:t>
            </w:r>
          </w:p>
        </w:tc>
        <w:tc>
          <w:tcPr>
            <w:tcW w:type="dxa" w:w="1899"/>
            <w:vAlign w:val="center"/>
          </w:tcPr>
          <w:p>
            <w:pPr>
              <w:spacing w:after="0" w:line="240" w:lineRule="auto"/>
              <w:jc w:val="center"/>
            </w:pPr>
            <w:r>
              <w:rPr>
                <w:sz w:val="16"/>
              </w:rPr>
              <w:t>ρ = +0,01 · p = 0,92</w:t>
            </w:r>
          </w:p>
        </w:tc>
        <w:tc>
          <w:tcPr>
            <w:tcW w:type="dxa" w:w="1162"/>
            <w:vAlign w:val="center"/>
          </w:tcPr>
          <w:p>
            <w:pPr>
              <w:spacing w:after="0" w:line="240" w:lineRule="auto"/>
            </w:pPr>
            <w:r>
              <w:rPr>
                <w:sz w:val="16"/>
              </w:rPr>
              <w:t>Contradictoire</w:t>
            </w:r>
          </w:p>
        </w:tc>
      </w:tr>
      <w:tr>
        <w:trPr>
          <w:cantSplit/>
        </w:trPr>
        <w:tc>
          <w:tcPr>
            <w:tcW w:type="dxa" w:w="2665"/>
            <w:vAlign w:val="center"/>
            <w:shd w:val="clear" w:color="auto" w:fill="F3F5F9"/>
          </w:tcPr>
          <w:p>
            <w:pPr>
              <w:spacing w:after="0" w:line="240" w:lineRule="auto"/>
            </w:pPr>
            <w:r>
              <w:rPr>
                <w:b/>
                <w:sz w:val="16"/>
              </w:rPr>
              <w:t>Légende vide</w:t>
            </w:r>
          </w:p>
        </w:tc>
        <w:tc>
          <w:tcPr>
            <w:tcW w:type="dxa" w:w="1899"/>
            <w:vAlign w:val="center"/>
            <w:shd w:val="clear" w:color="auto" w:fill="F3F5F9"/>
          </w:tcPr>
          <w:p>
            <w:pPr>
              <w:spacing w:after="0" w:line="240" w:lineRule="auto"/>
              <w:jc w:val="center"/>
            </w:pPr>
            <w:r>
              <w:rPr>
                <w:sz w:val="16"/>
              </w:rPr>
              <w:t>−2,5 pts · p = 0,60</w:t>
            </w:r>
          </w:p>
        </w:tc>
        <w:tc>
          <w:tcPr>
            <w:tcW w:type="dxa" w:w="1899"/>
            <w:vAlign w:val="center"/>
            <w:shd w:val="clear" w:color="auto" w:fill="F3F5F9"/>
          </w:tcPr>
          <w:p>
            <w:pPr>
              <w:spacing w:after="0" w:line="240" w:lineRule="auto"/>
              <w:jc w:val="center"/>
            </w:pPr>
            <w:r>
              <w:rPr>
                <w:sz w:val="16"/>
              </w:rPr>
              <w:t>+2,1 pts · p = 0,16</w:t>
            </w:r>
          </w:p>
        </w:tc>
        <w:tc>
          <w:tcPr>
            <w:tcW w:type="dxa" w:w="1899"/>
            <w:vAlign w:val="center"/>
            <w:shd w:val="clear" w:color="auto" w:fill="F3F5F9"/>
          </w:tcPr>
          <w:p>
            <w:pPr>
              <w:spacing w:after="0" w:line="240" w:lineRule="auto"/>
              <w:jc w:val="center"/>
            </w:pPr>
            <w:r>
              <w:rPr>
                <w:sz w:val="16"/>
              </w:rPr>
              <w:t>—</w:t>
            </w:r>
          </w:p>
        </w:tc>
        <w:tc>
          <w:tcPr>
            <w:tcW w:type="dxa" w:w="1162"/>
            <w:vAlign w:val="center"/>
            <w:shd w:val="clear" w:color="auto" w:fill="F3F5F9"/>
          </w:tcPr>
          <w:p>
            <w:pPr>
              <w:spacing w:after="0" w:line="240" w:lineRule="auto"/>
            </w:pPr>
            <w:r>
              <w:rPr>
                <w:sz w:val="16"/>
              </w:rPr>
              <w:t>Aucun effet</w:t>
            </w:r>
          </w:p>
        </w:tc>
      </w:tr>
      <w:tr>
        <w:trPr>
          <w:cantSplit/>
        </w:trPr>
        <w:tc>
          <w:tcPr>
            <w:tcW w:type="dxa" w:w="2665"/>
            <w:vAlign w:val="center"/>
          </w:tcPr>
          <w:p>
            <w:pPr>
              <w:spacing w:after="0" w:line="240" w:lineRule="auto"/>
            </w:pPr>
            <w:r>
              <w:rPr>
                <w:b/>
                <w:sz w:val="16"/>
              </w:rPr>
              <w:t>Mention, duo, stitch ou réponse</w:t>
            </w:r>
          </w:p>
        </w:tc>
        <w:tc>
          <w:tcPr>
            <w:tcW w:type="dxa" w:w="1899"/>
            <w:vAlign w:val="center"/>
          </w:tcPr>
          <w:p>
            <w:pPr>
              <w:spacing w:after="0" w:line="240" w:lineRule="auto"/>
              <w:jc w:val="center"/>
            </w:pPr>
            <w:r>
              <w:rPr>
                <w:sz w:val="16"/>
              </w:rPr>
              <w:t>+0,5 pt · p = 0,68</w:t>
            </w:r>
          </w:p>
        </w:tc>
        <w:tc>
          <w:tcPr>
            <w:tcW w:type="dxa" w:w="1899"/>
            <w:vAlign w:val="center"/>
          </w:tcPr>
          <w:p>
            <w:pPr>
              <w:spacing w:after="0" w:line="240" w:lineRule="auto"/>
              <w:jc w:val="center"/>
            </w:pPr>
            <w:r>
              <w:rPr>
                <w:sz w:val="16"/>
              </w:rPr>
              <w:t>−2,3 pts · p = 0,16</w:t>
            </w:r>
          </w:p>
        </w:tc>
        <w:tc>
          <w:tcPr>
            <w:tcW w:type="dxa" w:w="1899"/>
            <w:vAlign w:val="center"/>
          </w:tcPr>
          <w:p>
            <w:pPr>
              <w:spacing w:after="0" w:line="240" w:lineRule="auto"/>
              <w:jc w:val="center"/>
            </w:pPr>
            <w:r>
              <w:rPr>
                <w:sz w:val="16"/>
              </w:rPr>
              <w:t>−1,1 pt · p = 0,38</w:t>
            </w:r>
          </w:p>
        </w:tc>
        <w:tc>
          <w:tcPr>
            <w:tcW w:type="dxa" w:w="1162"/>
            <w:vAlign w:val="center"/>
          </w:tcPr>
          <w:p>
            <w:pPr>
              <w:spacing w:after="0" w:line="240" w:lineRule="auto"/>
            </w:pPr>
            <w:r>
              <w:rPr>
                <w:sz w:val="16"/>
              </w:rPr>
              <w:t>Aucun effet</w:t>
            </w:r>
          </w:p>
        </w:tc>
      </w:tr>
      <w:tr>
        <w:trPr>
          <w:cantSplit/>
        </w:trPr>
        <w:tc>
          <w:tcPr>
            <w:tcW w:type="dxa" w:w="2665"/>
            <w:vAlign w:val="center"/>
            <w:shd w:val="clear" w:color="auto" w:fill="F3F5F9"/>
          </w:tcPr>
          <w:p>
            <w:pPr>
              <w:spacing w:after="0" w:line="240" w:lineRule="auto"/>
            </w:pPr>
            <w:r>
              <w:rPr>
                <w:b/>
                <w:sz w:val="16"/>
              </w:rPr>
              <w:t>Question ou appel à l'action</w:t>
            </w:r>
          </w:p>
        </w:tc>
        <w:tc>
          <w:tcPr>
            <w:tcW w:type="dxa" w:w="1899"/>
            <w:vAlign w:val="center"/>
            <w:shd w:val="clear" w:color="auto" w:fill="F3F5F9"/>
          </w:tcPr>
          <w:p>
            <w:pPr>
              <w:spacing w:after="0" w:line="240" w:lineRule="auto"/>
              <w:jc w:val="center"/>
            </w:pPr>
            <w:r>
              <w:rPr>
                <w:sz w:val="16"/>
              </w:rPr>
              <w:t>+2,0 pts · p = 0,07</w:t>
            </w:r>
          </w:p>
        </w:tc>
        <w:tc>
          <w:tcPr>
            <w:tcW w:type="dxa" w:w="1899"/>
            <w:vAlign w:val="center"/>
            <w:shd w:val="clear" w:color="auto" w:fill="F3F5F9"/>
          </w:tcPr>
          <w:p>
            <w:pPr>
              <w:spacing w:after="0" w:line="240" w:lineRule="auto"/>
              <w:jc w:val="center"/>
            </w:pPr>
            <w:r>
              <w:rPr>
                <w:sz w:val="16"/>
              </w:rPr>
              <w:t>+0,3 pt · p = 0,99</w:t>
            </w:r>
          </w:p>
        </w:tc>
        <w:tc>
          <w:tcPr>
            <w:tcW w:type="dxa" w:w="1899"/>
            <w:vAlign w:val="center"/>
            <w:shd w:val="clear" w:color="auto" w:fill="F3F5F9"/>
          </w:tcPr>
          <w:p>
            <w:pPr>
              <w:spacing w:after="0" w:line="240" w:lineRule="auto"/>
              <w:jc w:val="center"/>
            </w:pPr>
            <w:r>
              <w:rPr>
                <w:sz w:val="16"/>
              </w:rPr>
              <w:t>−2,6 pts · p = 0,12</w:t>
            </w:r>
          </w:p>
        </w:tc>
        <w:tc>
          <w:tcPr>
            <w:tcW w:type="dxa" w:w="1162"/>
            <w:vAlign w:val="center"/>
            <w:shd w:val="clear" w:color="auto" w:fill="F3F5F9"/>
          </w:tcPr>
          <w:p>
            <w:pPr>
              <w:spacing w:after="0" w:line="240" w:lineRule="auto"/>
            </w:pPr>
            <w:r>
              <w:rPr>
                <w:sz w:val="16"/>
              </w:rPr>
              <w:t>Aucun effet</w:t>
            </w:r>
          </w:p>
        </w:tc>
      </w:tr>
      <w:tr>
        <w:trPr>
          <w:cantSplit/>
        </w:trPr>
        <w:tc>
          <w:tcPr>
            <w:tcW w:type="dxa" w:w="2665"/>
            <w:vAlign w:val="center"/>
          </w:tcPr>
          <w:p>
            <w:pPr>
              <w:spacing w:after="0" w:line="240" w:lineRule="auto"/>
            </w:pPr>
            <w:r>
              <w:rPr>
                <w:b/>
                <w:sz w:val="16"/>
              </w:rPr>
              <w:t>Publication le week-end</w:t>
            </w:r>
          </w:p>
        </w:tc>
        <w:tc>
          <w:tcPr>
            <w:tcW w:type="dxa" w:w="1899"/>
            <w:vAlign w:val="center"/>
          </w:tcPr>
          <w:p>
            <w:pPr>
              <w:spacing w:after="0" w:line="240" w:lineRule="auto"/>
              <w:jc w:val="center"/>
            </w:pPr>
            <w:r>
              <w:rPr>
                <w:sz w:val="16"/>
              </w:rPr>
              <w:t>+0,2 pt · p = 0,92</w:t>
            </w:r>
          </w:p>
        </w:tc>
        <w:tc>
          <w:tcPr>
            <w:tcW w:type="dxa" w:w="1899"/>
            <w:vAlign w:val="center"/>
          </w:tcPr>
          <w:p>
            <w:pPr>
              <w:spacing w:after="0" w:line="240" w:lineRule="auto"/>
              <w:jc w:val="center"/>
            </w:pPr>
            <w:r>
              <w:rPr>
                <w:sz w:val="16"/>
              </w:rPr>
              <w:t>+2,2 pts · p = 0,21</w:t>
            </w:r>
          </w:p>
        </w:tc>
        <w:tc>
          <w:tcPr>
            <w:tcW w:type="dxa" w:w="1899"/>
            <w:vAlign w:val="center"/>
          </w:tcPr>
          <w:p>
            <w:pPr>
              <w:spacing w:after="0" w:line="240" w:lineRule="auto"/>
              <w:jc w:val="center"/>
            </w:pPr>
            <w:r>
              <w:rPr>
                <w:sz w:val="16"/>
              </w:rPr>
              <w:t>−1,0 pt · p = 0,57</w:t>
            </w:r>
          </w:p>
        </w:tc>
        <w:tc>
          <w:tcPr>
            <w:tcW w:type="dxa" w:w="1162"/>
            <w:vAlign w:val="center"/>
          </w:tcPr>
          <w:p>
            <w:pPr>
              <w:spacing w:after="0" w:line="240" w:lineRule="auto"/>
            </w:pPr>
            <w:r>
              <w:rPr>
                <w:sz w:val="16"/>
              </w:rPr>
              <w:t>Aucun effet</w:t>
            </w:r>
          </w:p>
        </w:tc>
      </w:tr>
      <w:tr>
        <w:trPr>
          <w:cantSplit/>
        </w:trPr>
        <w:tc>
          <w:tcPr>
            <w:tcW w:type="dxa" w:w="2665"/>
            <w:vAlign w:val="center"/>
            <w:shd w:val="clear" w:color="auto" w:fill="F3F5F9"/>
          </w:tcPr>
          <w:p>
            <w:pPr>
              <w:spacing w:after="0" w:line="240" w:lineRule="auto"/>
            </w:pPr>
            <w:r>
              <w:rPr>
                <w:b/>
                <w:sz w:val="16"/>
              </w:rPr>
              <w:t>Jour de publication (écart max)</w:t>
            </w:r>
          </w:p>
        </w:tc>
        <w:tc>
          <w:tcPr>
            <w:tcW w:type="dxa" w:w="1899"/>
            <w:vAlign w:val="center"/>
            <w:shd w:val="clear" w:color="auto" w:fill="F3F5F9"/>
          </w:tcPr>
          <w:p>
            <w:pPr>
              <w:spacing w:after="0" w:line="240" w:lineRule="auto"/>
              <w:jc w:val="center"/>
            </w:pPr>
            <w:r>
              <w:rPr>
                <w:sz w:val="16"/>
              </w:rPr>
              <w:t>7,4 pts · p = 0,65</w:t>
            </w:r>
          </w:p>
        </w:tc>
        <w:tc>
          <w:tcPr>
            <w:tcW w:type="dxa" w:w="1899"/>
            <w:vAlign w:val="center"/>
            <w:shd w:val="clear" w:color="auto" w:fill="F3F5F9"/>
          </w:tcPr>
          <w:p>
            <w:pPr>
              <w:spacing w:after="0" w:line="240" w:lineRule="auto"/>
              <w:jc w:val="center"/>
            </w:pPr>
            <w:r>
              <w:rPr>
                <w:sz w:val="16"/>
              </w:rPr>
              <w:t>10,9 pts · p = 0,07</w:t>
            </w:r>
          </w:p>
        </w:tc>
        <w:tc>
          <w:tcPr>
            <w:tcW w:type="dxa" w:w="1899"/>
            <w:vAlign w:val="center"/>
            <w:shd w:val="clear" w:color="auto" w:fill="F3F5F9"/>
          </w:tcPr>
          <w:p>
            <w:pPr>
              <w:spacing w:after="0" w:line="240" w:lineRule="auto"/>
              <w:jc w:val="center"/>
            </w:pPr>
            <w:r>
              <w:rPr>
                <w:sz w:val="16"/>
              </w:rPr>
              <w:t>2,0 pts · p = 0,89</w:t>
            </w:r>
          </w:p>
        </w:tc>
        <w:tc>
          <w:tcPr>
            <w:tcW w:type="dxa" w:w="1162"/>
            <w:vAlign w:val="center"/>
            <w:shd w:val="clear" w:color="auto" w:fill="F3F5F9"/>
          </w:tcPr>
          <w:p>
            <w:pPr>
              <w:spacing w:after="0" w:line="240" w:lineRule="auto"/>
            </w:pPr>
            <w:r>
              <w:rPr>
                <w:sz w:val="16"/>
              </w:rPr>
              <w:t>Aucun effet</w:t>
            </w:r>
          </w:p>
        </w:tc>
      </w:tr>
      <w:tr>
        <w:trPr>
          <w:cantSplit/>
        </w:trPr>
        <w:tc>
          <w:tcPr>
            <w:tcW w:type="dxa" w:w="2665"/>
            <w:vAlign w:val="center"/>
          </w:tcPr>
          <w:p>
            <w:pPr>
              <w:spacing w:after="0" w:line="240" w:lineRule="auto"/>
            </w:pPr>
            <w:r>
              <w:rPr>
                <w:b/>
                <w:sz w:val="16"/>
              </w:rPr>
              <w:t>Créneau horaire (écart max)</w:t>
            </w:r>
          </w:p>
        </w:tc>
        <w:tc>
          <w:tcPr>
            <w:tcW w:type="dxa" w:w="1899"/>
            <w:vAlign w:val="center"/>
          </w:tcPr>
          <w:p>
            <w:pPr>
              <w:spacing w:after="0" w:line="240" w:lineRule="auto"/>
              <w:jc w:val="center"/>
            </w:pPr>
            <w:r>
              <w:rPr>
                <w:sz w:val="16"/>
              </w:rPr>
              <w:t>1,2 pt · p = 0,41</w:t>
            </w:r>
          </w:p>
        </w:tc>
        <w:tc>
          <w:tcPr>
            <w:tcW w:type="dxa" w:w="1899"/>
            <w:vAlign w:val="center"/>
          </w:tcPr>
          <w:p>
            <w:pPr>
              <w:spacing w:after="0" w:line="240" w:lineRule="auto"/>
              <w:jc w:val="center"/>
            </w:pPr>
            <w:r>
              <w:rPr>
                <w:sz w:val="16"/>
              </w:rPr>
              <w:t>7,0 pts · p = 0,19</w:t>
            </w:r>
          </w:p>
        </w:tc>
        <w:tc>
          <w:tcPr>
            <w:tcW w:type="dxa" w:w="1899"/>
            <w:vAlign w:val="center"/>
          </w:tcPr>
          <w:p>
            <w:pPr>
              <w:spacing w:after="0" w:line="240" w:lineRule="auto"/>
              <w:jc w:val="center"/>
            </w:pPr>
            <w:r>
              <w:rPr>
                <w:sz w:val="16"/>
              </w:rPr>
              <w:t>4,8 pts · p = 0,07</w:t>
            </w:r>
          </w:p>
        </w:tc>
        <w:tc>
          <w:tcPr>
            <w:tcW w:type="dxa" w:w="1162"/>
            <w:vAlign w:val="center"/>
          </w:tcPr>
          <w:p>
            <w:pPr>
              <w:spacing w:after="0" w:line="240" w:lineRule="auto"/>
            </w:pPr>
            <w:r>
              <w:rPr>
                <w:sz w:val="16"/>
              </w:rPr>
              <w:t>Aucun effet</w:t>
            </w:r>
          </w:p>
        </w:tc>
      </w:tr>
      <w:tr>
        <w:trPr>
          <w:cantSplit/>
        </w:trPr>
        <w:tc>
          <w:tcPr>
            <w:tcW w:type="dxa" w:w="2665"/>
            <w:vAlign w:val="center"/>
            <w:shd w:val="clear" w:color="auto" w:fill="F3F5F9"/>
          </w:tcPr>
          <w:p>
            <w:pPr>
              <w:spacing w:after="0" w:line="240" w:lineRule="auto"/>
            </w:pPr>
            <w:r>
              <w:rPr>
                <w:b/>
                <w:sz w:val="16"/>
              </w:rPr>
              <w:t>Sujet du contenu (écart max)</w:t>
            </w:r>
          </w:p>
        </w:tc>
        <w:tc>
          <w:tcPr>
            <w:tcW w:type="dxa" w:w="1899"/>
            <w:vAlign w:val="center"/>
            <w:shd w:val="clear" w:color="auto" w:fill="F3F5F9"/>
          </w:tcPr>
          <w:p>
            <w:pPr>
              <w:spacing w:after="0" w:line="240" w:lineRule="auto"/>
              <w:jc w:val="center"/>
            </w:pPr>
            <w:r>
              <w:rPr>
                <w:sz w:val="16"/>
              </w:rPr>
              <w:t>4,2 pts · p = 0,33</w:t>
            </w:r>
          </w:p>
        </w:tc>
        <w:tc>
          <w:tcPr>
            <w:tcW w:type="dxa" w:w="1899"/>
            <w:vAlign w:val="center"/>
            <w:shd w:val="clear" w:color="auto" w:fill="F3F5F9"/>
          </w:tcPr>
          <w:p>
            <w:pPr>
              <w:spacing w:after="0" w:line="240" w:lineRule="auto"/>
              <w:jc w:val="center"/>
            </w:pPr>
            <w:r>
              <w:rPr>
                <w:sz w:val="16"/>
              </w:rPr>
              <w:t>—</w:t>
            </w:r>
          </w:p>
        </w:tc>
        <w:tc>
          <w:tcPr>
            <w:tcW w:type="dxa" w:w="1899"/>
            <w:vAlign w:val="center"/>
            <w:shd w:val="clear" w:color="auto" w:fill="F3F5F9"/>
          </w:tcPr>
          <w:p>
            <w:pPr>
              <w:spacing w:after="0" w:line="240" w:lineRule="auto"/>
              <w:jc w:val="center"/>
            </w:pPr>
            <w:r>
              <w:rPr>
                <w:sz w:val="16"/>
              </w:rPr>
              <w:t>4,4 pts · p = 0,39</w:t>
            </w:r>
          </w:p>
        </w:tc>
        <w:tc>
          <w:tcPr>
            <w:tcW w:type="dxa" w:w="1162"/>
            <w:vAlign w:val="center"/>
            <w:shd w:val="clear" w:color="auto" w:fill="F3F5F9"/>
          </w:tcPr>
          <w:p>
            <w:pPr>
              <w:spacing w:after="0" w:line="240" w:lineRule="auto"/>
            </w:pPr>
            <w:r>
              <w:rPr>
                <w:sz w:val="16"/>
              </w:rPr>
              <w:t>Aucun effet</w:t>
            </w:r>
          </w:p>
        </w:tc>
      </w:tr>
      <w:tr>
        <w:trPr>
          <w:cantSplit/>
        </w:trPr>
        <w:tc>
          <w:tcPr>
            <w:tcW w:type="dxa" w:w="2665"/>
            <w:vAlign w:val="center"/>
          </w:tcPr>
          <w:p>
            <w:pPr>
              <w:spacing w:after="0" w:line="240" w:lineRule="auto"/>
            </w:pPr>
            <w:r>
              <w:rPr>
                <w:b/>
                <w:sz w:val="16"/>
              </w:rPr>
              <w:t>Son original plutôt que musique existante</w:t>
            </w:r>
          </w:p>
        </w:tc>
        <w:tc>
          <w:tcPr>
            <w:tcW w:type="dxa" w:w="1899"/>
            <w:vAlign w:val="center"/>
          </w:tcPr>
          <w:p>
            <w:pPr>
              <w:spacing w:after="0" w:line="240" w:lineRule="auto"/>
              <w:jc w:val="center"/>
            </w:pPr>
            <w:r>
              <w:rPr>
                <w:sz w:val="16"/>
              </w:rPr>
              <w:t>—</w:t>
            </w:r>
          </w:p>
        </w:tc>
        <w:tc>
          <w:tcPr>
            <w:tcW w:type="dxa" w:w="1899"/>
            <w:vAlign w:val="center"/>
          </w:tcPr>
          <w:p>
            <w:pPr>
              <w:spacing w:after="0" w:line="240" w:lineRule="auto"/>
              <w:jc w:val="center"/>
            </w:pPr>
            <w:r>
              <w:rPr>
                <w:sz w:val="16"/>
              </w:rPr>
              <w:t>—</w:t>
            </w:r>
          </w:p>
        </w:tc>
        <w:tc>
          <w:tcPr>
            <w:tcW w:type="dxa" w:w="1899"/>
            <w:vAlign w:val="center"/>
          </w:tcPr>
          <w:p>
            <w:pPr>
              <w:spacing w:after="0" w:line="240" w:lineRule="auto"/>
              <w:jc w:val="center"/>
            </w:pPr>
            <w:r>
              <w:rPr>
                <w:sz w:val="16"/>
              </w:rPr>
              <w:t>−3,3 pts · p = 0,07</w:t>
            </w:r>
          </w:p>
        </w:tc>
        <w:tc>
          <w:tcPr>
            <w:tcW w:type="dxa" w:w="1162"/>
            <w:vAlign w:val="center"/>
          </w:tcPr>
          <w:p>
            <w:pPr>
              <w:spacing w:after="0" w:line="240" w:lineRule="auto"/>
            </w:pPr>
            <w:r>
              <w:rPr>
                <w:sz w:val="16"/>
              </w:rPr>
              <w:t>Aucun effet</w:t>
            </w:r>
          </w:p>
        </w:tc>
      </w:tr>
      <w:tr>
        <w:trPr>
          <w:cantSplit/>
        </w:trPr>
        <w:tc>
          <w:tcPr>
            <w:tcW w:type="dxa" w:w="2665"/>
            <w:vAlign w:val="center"/>
            <w:shd w:val="clear" w:color="auto" w:fill="F3F5F9"/>
          </w:tcPr>
          <w:p>
            <w:pPr>
              <w:spacing w:after="0" w:line="240" w:lineRule="auto"/>
            </w:pPr>
            <w:r>
              <w:rPr>
                <w:b/>
                <w:sz w:val="16"/>
              </w:rPr>
              <w:t>Stitch autorisé</w:t>
            </w:r>
          </w:p>
        </w:tc>
        <w:tc>
          <w:tcPr>
            <w:tcW w:type="dxa" w:w="1899"/>
            <w:vAlign w:val="center"/>
            <w:shd w:val="clear" w:color="auto" w:fill="F3F5F9"/>
          </w:tcPr>
          <w:p>
            <w:pPr>
              <w:spacing w:after="0" w:line="240" w:lineRule="auto"/>
              <w:jc w:val="center"/>
            </w:pPr>
            <w:r>
              <w:rPr>
                <w:sz w:val="16"/>
              </w:rPr>
              <w:t>—</w:t>
            </w:r>
          </w:p>
        </w:tc>
        <w:tc>
          <w:tcPr>
            <w:tcW w:type="dxa" w:w="1899"/>
            <w:vAlign w:val="center"/>
            <w:shd w:val="clear" w:color="auto" w:fill="F3F5F9"/>
          </w:tcPr>
          <w:p>
            <w:pPr>
              <w:spacing w:after="0" w:line="240" w:lineRule="auto"/>
              <w:jc w:val="center"/>
            </w:pPr>
            <w:r>
              <w:rPr>
                <w:sz w:val="16"/>
              </w:rPr>
              <w:t>—</w:t>
            </w:r>
          </w:p>
        </w:tc>
        <w:tc>
          <w:tcPr>
            <w:tcW w:type="dxa" w:w="1899"/>
            <w:vAlign w:val="center"/>
            <w:shd w:val="clear" w:color="auto" w:fill="F3F5F9"/>
          </w:tcPr>
          <w:p>
            <w:pPr>
              <w:spacing w:after="0" w:line="240" w:lineRule="auto"/>
              <w:jc w:val="center"/>
            </w:pPr>
            <w:r>
              <w:rPr>
                <w:sz w:val="16"/>
              </w:rPr>
              <w:t>−0,5 pt · p = 0,76</w:t>
            </w:r>
          </w:p>
        </w:tc>
        <w:tc>
          <w:tcPr>
            <w:tcW w:type="dxa" w:w="1162"/>
            <w:vAlign w:val="center"/>
            <w:shd w:val="clear" w:color="auto" w:fill="F3F5F9"/>
          </w:tcPr>
          <w:p>
            <w:pPr>
              <w:spacing w:after="0" w:line="240" w:lineRule="auto"/>
            </w:pPr>
            <w:r>
              <w:rPr>
                <w:sz w:val="16"/>
              </w:rPr>
              <w:t>Aucun effet</w:t>
            </w:r>
          </w:p>
        </w:tc>
      </w:tr>
      <w:tr>
        <w:trPr>
          <w:cantSplit/>
        </w:trPr>
        <w:tc>
          <w:tcPr>
            <w:tcW w:type="dxa" w:w="2665"/>
            <w:vAlign w:val="center"/>
          </w:tcPr>
          <w:p>
            <w:pPr>
              <w:spacing w:after="0" w:line="240" w:lineRule="auto"/>
            </w:pPr>
            <w:r>
              <w:rPr>
                <w:b/>
                <w:sz w:val="16"/>
              </w:rPr>
              <w:t>Nombre de vidéos publiées (régularité)</w:t>
            </w:r>
          </w:p>
        </w:tc>
        <w:tc>
          <w:tcPr>
            <w:tcW w:type="dxa" w:w="1899"/>
            <w:vAlign w:val="center"/>
          </w:tcPr>
          <w:p>
            <w:pPr>
              <w:spacing w:after="0" w:line="240" w:lineRule="auto"/>
              <w:jc w:val="center"/>
            </w:pPr>
            <w:r>
              <w:rPr>
                <w:sz w:val="16"/>
              </w:rPr>
              <w:t>—</w:t>
            </w:r>
          </w:p>
        </w:tc>
        <w:tc>
          <w:tcPr>
            <w:tcW w:type="dxa" w:w="1899"/>
            <w:vAlign w:val="center"/>
          </w:tcPr>
          <w:p>
            <w:pPr>
              <w:spacing w:after="0" w:line="240" w:lineRule="auto"/>
              <w:jc w:val="center"/>
            </w:pPr>
            <w:r>
              <w:rPr>
                <w:sz w:val="16"/>
              </w:rPr>
              <w:t>—</w:t>
            </w:r>
          </w:p>
        </w:tc>
        <w:tc>
          <w:tcPr>
            <w:tcW w:type="dxa" w:w="1899"/>
            <w:vAlign w:val="center"/>
          </w:tcPr>
          <w:p>
            <w:pPr>
              <w:spacing w:after="0" w:line="240" w:lineRule="auto"/>
              <w:jc w:val="center"/>
            </w:pPr>
            <w:r>
              <w:rPr>
                <w:sz w:val="16"/>
              </w:rPr>
              <w:t>ρ = −0,16 · p = 0,11</w:t>
            </w:r>
          </w:p>
        </w:tc>
        <w:tc>
          <w:tcPr>
            <w:tcW w:type="dxa" w:w="1162"/>
            <w:vAlign w:val="center"/>
          </w:tcPr>
          <w:p>
            <w:pPr>
              <w:spacing w:after="0" w:line="240" w:lineRule="auto"/>
            </w:pPr>
            <w:r>
              <w:rPr>
                <w:sz w:val="16"/>
              </w:rPr>
              <w:t>Aucun effet</w:t>
            </w:r>
          </w:p>
        </w:tc>
      </w:tr>
    </w:tbl>
    <w:p>
      <w:pPr>
        <w:spacing w:after="40"/>
      </w:pPr>
    </w:p>
    <w:p>
      <w:pPr>
        <w:keepNext/>
        <w:spacing w:after="40"/>
        <w:jc w:val="center"/>
      </w:pPr>
      <w:r>
        <w:drawing>
          <wp:inline xmlns:a="http://schemas.openxmlformats.org/drawingml/2006/main" xmlns:pic="http://schemas.openxmlformats.org/drawingml/2006/picture">
            <wp:extent cx="5580000" cy="3195092"/>
            <wp:docPr id="1" name="Picture 1"/>
            <wp:cNvGraphicFramePr>
              <a:graphicFrameLocks noChangeAspect="1"/>
            </wp:cNvGraphicFramePr>
            <a:graphic>
              <a:graphicData uri="http://schemas.openxmlformats.org/drawingml/2006/picture">
                <pic:pic>
                  <pic:nvPicPr>
                    <pic:cNvPr id="0" name="facteurs_ecarts.png"/>
                    <pic:cNvPicPr/>
                  </pic:nvPicPr>
                  <pic:blipFill>
                    <a:blip r:embed="rId10"/>
                    <a:stretch>
                      <a:fillRect/>
                    </a:stretch>
                  </pic:blipFill>
                  <pic:spPr>
                    <a:xfrm>
                      <a:off x="0" y="0"/>
                      <a:ext cx="5580000" cy="3195092"/>
                    </a:xfrm>
                    <a:prstGeom prst="rect"/>
                  </pic:spPr>
                </pic:pic>
              </a:graphicData>
            </a:graphic>
          </wp:inline>
        </w:drawing>
      </w:r>
    </w:p>
    <w:p>
      <w:pPr>
        <w:spacing w:after="200"/>
        <w:jc w:val="center"/>
      </w:pPr>
      <w:r>
        <w:rPr>
          <w:i/>
          <w:color w:val="595959"/>
          <w:sz w:val="18"/>
        </w:rPr>
        <w:t>Figure 1 — Écart d'engagement médian avec ou sans chaque caractéristique (onglet Facteurs). Seule la durée se détache, et seulement dans les tendances.</w:t>
      </w:r>
    </w:p>
    <w:p>
      <w:r>
        <w:rPr>
          <w:b/>
        </w:rPr>
        <w:t>Le seul levier qui ressort est la durée.</w:t>
      </w:r>
      <w:r>
        <w:rPr/>
        <w:t xml:space="preserve"> Dans les tendances, les vidéos de plus de 15 s obtiennent 15,6 % d'engagement médian contre 10,1 %, et 47 % de top performers contre 20 % (p = 0,02). Mais rien de tel dans les deux autres échantillons, et l'écart repose sur 17 vidéos : c'est une piste à tester en A/B, pas une règle à imposer. À l'inverse, les hashtags « algorithme », le jour, l'heure, l'appel à l'action ou les mentions n'ont aucun effet mesurable : il est inutile de les imposer au créateur.</w:t>
      </w:r>
    </w:p>
    <w:p>
      <w:r>
        <w:rPr>
          <w:b/>
        </w:rPr>
        <w:t>Ce qui n'est pas un levier.</w:t>
      </w:r>
      <w:r>
        <w:rPr/>
        <w:t xml:space="preserve"> Le nombre d'abonnés, les likes cumulés du compte et le badge « vérifié » sont des conséquences du succès passé : on ne peut pas les « activer » pour une campagne. Ils sont présentés à part dans l'onglet Facteurs (section B), avec leurs chiffres : abonnés et vues, ρ = +0,28 ; abonnés et engagement, ρ = −0,31 ; badge vérifié, −1,4 pt d'engagement (p = 0,13).</w:t>
      </w:r>
    </w:p>
    <w:p>
      <w:pPr>
        <w:pStyle w:val="Heading2"/>
      </w:pPr>
      <w:r>
        <w:t>5.2 « Les gros comptes gagneraient de toute façon »</w:t>
      </w:r>
    </w:p>
    <w:p>
      <w:pPr>
        <w:keepNext/>
        <w:spacing w:after="80"/>
      </w:pPr>
      <w:r>
        <w:rPr/>
        <w:t>Seul le top 100 #funny contient le nombre d'abonnés : la réponse porte sur ces 100 vidéos et 79 créateurs. Les tendances ne permettent pas de répondre.</w:t>
      </w:r>
    </w:p>
    <w:p>
      <w:pPr>
        <w:pStyle w:val="ListBullet"/>
        <w:spacing w:after="60"/>
      </w:pPr>
      <w:r>
        <w:rPr>
          <w:b/>
        </w:rPr>
        <w:t>Pour la portée : non.</w:t>
      </w:r>
      <w:r>
        <w:rPr/>
        <w:t xml:space="preserve"> Les comptes de plus de 8 M d'abonnés en ont 36 fois plus que ceux de moins de 1 M, mais n'obtiennent que 1,3 fois plus de vues médianes (ρ = +0,28, lien faible).</w:t>
      </w:r>
    </w:p>
    <w:p>
      <w:pPr>
        <w:pStyle w:val="ListBullet"/>
        <w:spacing w:after="60"/>
      </w:pPr>
      <w:r>
        <w:rPr>
          <w:b/>
        </w:rPr>
        <w:t>Pour l'engagement : plutôt l'inverse.</w:t>
      </w:r>
      <w:r>
        <w:rPr/>
        <w:t xml:space="preserve"> 19,1 % d'engagement médian et 43 % de top performers sous 1 M d'abonnés ; 13,2 % et 10 % au-delà de 8 M (ρ = −0,31, p = 0,001).</w:t>
      </w:r>
    </w:p>
    <w:p>
      <w:pPr>
        <w:pStyle w:val="ListBullet"/>
        <w:spacing w:after="60"/>
      </w:pPr>
      <w:r>
        <w:rPr>
          <w:b/>
        </w:rPr>
        <w:t>Par abonné, les petits comptes rapportent bien plus</w:t>
      </w:r>
      <w:r>
        <w:rPr/>
        <w:t xml:space="preserve"> : 112 vues par abonné sous 1 M, contre 4,4 au-delà de 8 M, soit 25 fois plus. C'est un argument de négociation si la rémunération suit le nombre d'abonnés.</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644"/>
        <w:gridCol w:w="850"/>
        <w:gridCol w:w="1021"/>
        <w:gridCol w:w="1304"/>
        <w:gridCol w:w="1247"/>
        <w:gridCol w:w="1247"/>
        <w:gridCol w:w="1191"/>
        <w:gridCol w:w="1021"/>
      </w:tblGrid>
      <w:tr>
        <w:trPr>
          <w:cantSplit/>
          <w:tblHeader w:val="true"/>
        </w:trPr>
        <w:tc>
          <w:tcPr>
            <w:tcW w:type="dxa" w:w="1644"/>
            <w:shd w:val="clear" w:color="auto" w:fill="1F3864"/>
            <w:vAlign w:val="center"/>
          </w:tcPr>
          <w:p>
            <w:pPr>
              <w:spacing w:after="0"/>
            </w:pPr>
            <w:r>
              <w:rPr>
                <w:b/>
                <w:color w:val="FFFFFF"/>
                <w:sz w:val="17"/>
              </w:rPr>
              <w:t>Tranche d'abonnés</w:t>
            </w:r>
          </w:p>
        </w:tc>
        <w:tc>
          <w:tcPr>
            <w:tcW w:type="dxa" w:w="850"/>
            <w:shd w:val="clear" w:color="auto" w:fill="1F3864"/>
            <w:vAlign w:val="center"/>
          </w:tcPr>
          <w:p>
            <w:pPr>
              <w:spacing w:after="0"/>
              <w:jc w:val="center"/>
            </w:pPr>
            <w:r>
              <w:rPr>
                <w:b/>
                <w:color w:val="FFFFFF"/>
                <w:sz w:val="17"/>
              </w:rPr>
              <w:t>Vidéos</w:t>
            </w:r>
          </w:p>
        </w:tc>
        <w:tc>
          <w:tcPr>
            <w:tcW w:type="dxa" w:w="1020"/>
            <w:shd w:val="clear" w:color="auto" w:fill="1F3864"/>
            <w:vAlign w:val="center"/>
          </w:tcPr>
          <w:p>
            <w:pPr>
              <w:spacing w:after="0"/>
              <w:jc w:val="center"/>
            </w:pPr>
            <w:r>
              <w:rPr>
                <w:b/>
                <w:color w:val="FFFFFF"/>
                <w:sz w:val="17"/>
              </w:rPr>
              <w:t>Créateurs</w:t>
            </w:r>
          </w:p>
        </w:tc>
        <w:tc>
          <w:tcPr>
            <w:tcW w:type="dxa" w:w="1304"/>
            <w:shd w:val="clear" w:color="auto" w:fill="1F3864"/>
            <w:vAlign w:val="center"/>
          </w:tcPr>
          <w:p>
            <w:pPr>
              <w:spacing w:after="0"/>
              <w:jc w:val="center"/>
            </w:pPr>
            <w:r>
              <w:rPr>
                <w:b/>
                <w:color w:val="FFFFFF"/>
                <w:sz w:val="17"/>
              </w:rPr>
              <w:t>Abonnés (médiane)</w:t>
            </w:r>
          </w:p>
        </w:tc>
        <w:tc>
          <w:tcPr>
            <w:tcW w:type="dxa" w:w="1247"/>
            <w:shd w:val="clear" w:color="auto" w:fill="1F3864"/>
            <w:vAlign w:val="center"/>
          </w:tcPr>
          <w:p>
            <w:pPr>
              <w:spacing w:after="0"/>
              <w:jc w:val="center"/>
            </w:pPr>
            <w:r>
              <w:rPr>
                <w:b/>
                <w:color w:val="FFFFFF"/>
                <w:sz w:val="17"/>
              </w:rPr>
              <w:t>Vues (médiane)</w:t>
            </w:r>
          </w:p>
        </w:tc>
        <w:tc>
          <w:tcPr>
            <w:tcW w:type="dxa" w:w="1247"/>
            <w:shd w:val="clear" w:color="auto" w:fill="1F3864"/>
            <w:vAlign w:val="center"/>
          </w:tcPr>
          <w:p>
            <w:pPr>
              <w:spacing w:after="0"/>
              <w:jc w:val="center"/>
            </w:pPr>
            <w:r>
              <w:rPr>
                <w:b/>
                <w:color w:val="FFFFFF"/>
                <w:sz w:val="17"/>
              </w:rPr>
              <w:t>Vues par abonné</w:t>
            </w:r>
          </w:p>
        </w:tc>
        <w:tc>
          <w:tcPr>
            <w:tcW w:type="dxa" w:w="1191"/>
            <w:shd w:val="clear" w:color="auto" w:fill="1F3864"/>
            <w:vAlign w:val="center"/>
          </w:tcPr>
          <w:p>
            <w:pPr>
              <w:spacing w:after="0"/>
              <w:jc w:val="center"/>
            </w:pPr>
            <w:r>
              <w:rPr>
                <w:b/>
                <w:color w:val="FFFFFF"/>
                <w:sz w:val="17"/>
              </w:rPr>
              <w:t>Engagement</w:t>
            </w:r>
          </w:p>
        </w:tc>
        <w:tc>
          <w:tcPr>
            <w:tcW w:type="dxa" w:w="1020"/>
            <w:shd w:val="clear" w:color="auto" w:fill="1F3864"/>
            <w:vAlign w:val="center"/>
          </w:tcPr>
          <w:p>
            <w:pPr>
              <w:spacing w:after="0"/>
              <w:jc w:val="center"/>
            </w:pPr>
            <w:r>
              <w:rPr>
                <w:b/>
                <w:color w:val="FFFFFF"/>
                <w:sz w:val="17"/>
              </w:rPr>
              <w:t>Top performers</w:t>
            </w:r>
          </w:p>
        </w:tc>
      </w:tr>
      <w:tr>
        <w:trPr>
          <w:cantSplit/>
        </w:trPr>
        <w:tc>
          <w:tcPr>
            <w:tcW w:type="dxa" w:w="1644"/>
            <w:vAlign w:val="center"/>
          </w:tcPr>
          <w:p>
            <w:pPr>
              <w:spacing w:after="0" w:line="240" w:lineRule="auto"/>
            </w:pPr>
            <w:r>
              <w:rPr>
                <w:b/>
                <w:sz w:val="17"/>
              </w:rPr>
              <w:t>Moins de 1 M</w:t>
            </w:r>
          </w:p>
        </w:tc>
        <w:tc>
          <w:tcPr>
            <w:tcW w:type="dxa" w:w="850"/>
            <w:vAlign w:val="center"/>
          </w:tcPr>
          <w:p>
            <w:pPr>
              <w:spacing w:after="0" w:line="240" w:lineRule="auto"/>
              <w:jc w:val="center"/>
            </w:pPr>
            <w:r>
              <w:rPr>
                <w:sz w:val="17"/>
              </w:rPr>
              <w:t>28</w:t>
            </w:r>
          </w:p>
        </w:tc>
        <w:tc>
          <w:tcPr>
            <w:tcW w:type="dxa" w:w="1020"/>
            <w:vAlign w:val="center"/>
          </w:tcPr>
          <w:p>
            <w:pPr>
              <w:spacing w:after="0" w:line="240" w:lineRule="auto"/>
              <w:jc w:val="center"/>
            </w:pPr>
            <w:r>
              <w:rPr>
                <w:sz w:val="17"/>
              </w:rPr>
              <w:t>28</w:t>
            </w:r>
          </w:p>
        </w:tc>
        <w:tc>
          <w:tcPr>
            <w:tcW w:type="dxa" w:w="1304"/>
            <w:vAlign w:val="center"/>
          </w:tcPr>
          <w:p>
            <w:pPr>
              <w:spacing w:after="0" w:line="240" w:lineRule="auto"/>
              <w:jc w:val="center"/>
            </w:pPr>
            <w:r>
              <w:rPr>
                <w:sz w:val="17"/>
              </w:rPr>
              <w:t>0,5 M</w:t>
            </w:r>
          </w:p>
        </w:tc>
        <w:tc>
          <w:tcPr>
            <w:tcW w:type="dxa" w:w="1247"/>
            <w:vAlign w:val="center"/>
          </w:tcPr>
          <w:p>
            <w:pPr>
              <w:spacing w:after="0" w:line="240" w:lineRule="auto"/>
              <w:jc w:val="center"/>
            </w:pPr>
            <w:r>
              <w:rPr>
                <w:sz w:val="17"/>
              </w:rPr>
              <w:t>48 M</w:t>
            </w:r>
          </w:p>
        </w:tc>
        <w:tc>
          <w:tcPr>
            <w:tcW w:type="dxa" w:w="1247"/>
            <w:vAlign w:val="center"/>
          </w:tcPr>
          <w:p>
            <w:pPr>
              <w:spacing w:after="0" w:line="240" w:lineRule="auto"/>
              <w:jc w:val="center"/>
            </w:pPr>
            <w:r>
              <w:rPr>
                <w:sz w:val="17"/>
              </w:rPr>
              <w:t>112</w:t>
            </w:r>
          </w:p>
        </w:tc>
        <w:tc>
          <w:tcPr>
            <w:tcW w:type="dxa" w:w="1191"/>
            <w:vAlign w:val="center"/>
          </w:tcPr>
          <w:p>
            <w:pPr>
              <w:spacing w:after="0" w:line="240" w:lineRule="auto"/>
              <w:jc w:val="center"/>
            </w:pPr>
            <w:r>
              <w:rPr>
                <w:sz w:val="17"/>
              </w:rPr>
              <w:t>19,1 %</w:t>
            </w:r>
          </w:p>
        </w:tc>
        <w:tc>
          <w:tcPr>
            <w:tcW w:type="dxa" w:w="1020"/>
            <w:vAlign w:val="center"/>
          </w:tcPr>
          <w:p>
            <w:pPr>
              <w:spacing w:after="0" w:line="240" w:lineRule="auto"/>
              <w:jc w:val="center"/>
            </w:pPr>
            <w:r>
              <w:rPr>
                <w:sz w:val="17"/>
              </w:rPr>
              <w:t>43 %</w:t>
            </w:r>
          </w:p>
        </w:tc>
      </w:tr>
      <w:tr>
        <w:trPr>
          <w:cantSplit/>
        </w:trPr>
        <w:tc>
          <w:tcPr>
            <w:tcW w:type="dxa" w:w="1644"/>
            <w:vAlign w:val="center"/>
            <w:shd w:val="clear" w:color="auto" w:fill="F3F5F9"/>
          </w:tcPr>
          <w:p>
            <w:pPr>
              <w:spacing w:after="0" w:line="240" w:lineRule="auto"/>
            </w:pPr>
            <w:r>
              <w:rPr>
                <w:b/>
                <w:sz w:val="17"/>
              </w:rPr>
              <w:t>1 à 3 M</w:t>
            </w:r>
          </w:p>
        </w:tc>
        <w:tc>
          <w:tcPr>
            <w:tcW w:type="dxa" w:w="850"/>
            <w:vAlign w:val="center"/>
            <w:shd w:val="clear" w:color="auto" w:fill="F3F5F9"/>
          </w:tcPr>
          <w:p>
            <w:pPr>
              <w:spacing w:after="0" w:line="240" w:lineRule="auto"/>
              <w:jc w:val="center"/>
            </w:pPr>
            <w:r>
              <w:rPr>
                <w:sz w:val="17"/>
              </w:rPr>
              <w:t>21</w:t>
            </w:r>
          </w:p>
        </w:tc>
        <w:tc>
          <w:tcPr>
            <w:tcW w:type="dxa" w:w="1020"/>
            <w:vAlign w:val="center"/>
            <w:shd w:val="clear" w:color="auto" w:fill="F3F5F9"/>
          </w:tcPr>
          <w:p>
            <w:pPr>
              <w:spacing w:after="0" w:line="240" w:lineRule="auto"/>
              <w:jc w:val="center"/>
            </w:pPr>
            <w:r>
              <w:rPr>
                <w:sz w:val="17"/>
              </w:rPr>
              <w:t>20</w:t>
            </w:r>
          </w:p>
        </w:tc>
        <w:tc>
          <w:tcPr>
            <w:tcW w:type="dxa" w:w="1304"/>
            <w:vAlign w:val="center"/>
            <w:shd w:val="clear" w:color="auto" w:fill="F3F5F9"/>
          </w:tcPr>
          <w:p>
            <w:pPr>
              <w:spacing w:after="0" w:line="240" w:lineRule="auto"/>
              <w:jc w:val="center"/>
            </w:pPr>
            <w:r>
              <w:rPr>
                <w:sz w:val="17"/>
              </w:rPr>
              <w:t>1,8 M</w:t>
            </w:r>
          </w:p>
        </w:tc>
        <w:tc>
          <w:tcPr>
            <w:tcW w:type="dxa" w:w="1247"/>
            <w:vAlign w:val="center"/>
            <w:shd w:val="clear" w:color="auto" w:fill="F3F5F9"/>
          </w:tcPr>
          <w:p>
            <w:pPr>
              <w:spacing w:after="0" w:line="240" w:lineRule="auto"/>
              <w:jc w:val="center"/>
            </w:pPr>
            <w:r>
              <w:rPr>
                <w:sz w:val="17"/>
              </w:rPr>
              <w:t>74 M</w:t>
            </w:r>
          </w:p>
        </w:tc>
        <w:tc>
          <w:tcPr>
            <w:tcW w:type="dxa" w:w="1247"/>
            <w:vAlign w:val="center"/>
            <w:shd w:val="clear" w:color="auto" w:fill="F3F5F9"/>
          </w:tcPr>
          <w:p>
            <w:pPr>
              <w:spacing w:after="0" w:line="240" w:lineRule="auto"/>
              <w:jc w:val="center"/>
            </w:pPr>
            <w:r>
              <w:rPr>
                <w:sz w:val="17"/>
              </w:rPr>
              <w:t>39</w:t>
            </w:r>
          </w:p>
        </w:tc>
        <w:tc>
          <w:tcPr>
            <w:tcW w:type="dxa" w:w="1191"/>
            <w:vAlign w:val="center"/>
            <w:shd w:val="clear" w:color="auto" w:fill="F3F5F9"/>
          </w:tcPr>
          <w:p>
            <w:pPr>
              <w:spacing w:after="0" w:line="240" w:lineRule="auto"/>
              <w:jc w:val="center"/>
            </w:pPr>
            <w:r>
              <w:rPr>
                <w:sz w:val="17"/>
              </w:rPr>
              <w:t>16,6 %</w:t>
            </w:r>
          </w:p>
        </w:tc>
        <w:tc>
          <w:tcPr>
            <w:tcW w:type="dxa" w:w="1020"/>
            <w:vAlign w:val="center"/>
            <w:shd w:val="clear" w:color="auto" w:fill="F3F5F9"/>
          </w:tcPr>
          <w:p>
            <w:pPr>
              <w:spacing w:after="0" w:line="240" w:lineRule="auto"/>
              <w:jc w:val="center"/>
            </w:pPr>
            <w:r>
              <w:rPr>
                <w:sz w:val="17"/>
              </w:rPr>
              <w:t>29 %</w:t>
            </w:r>
          </w:p>
        </w:tc>
      </w:tr>
      <w:tr>
        <w:trPr>
          <w:cantSplit/>
        </w:trPr>
        <w:tc>
          <w:tcPr>
            <w:tcW w:type="dxa" w:w="1644"/>
            <w:vAlign w:val="center"/>
          </w:tcPr>
          <w:p>
            <w:pPr>
              <w:spacing w:after="0" w:line="240" w:lineRule="auto"/>
            </w:pPr>
            <w:r>
              <w:rPr>
                <w:b/>
                <w:sz w:val="17"/>
              </w:rPr>
              <w:t>3 à 8 M</w:t>
            </w:r>
          </w:p>
        </w:tc>
        <w:tc>
          <w:tcPr>
            <w:tcW w:type="dxa" w:w="850"/>
            <w:vAlign w:val="center"/>
          </w:tcPr>
          <w:p>
            <w:pPr>
              <w:spacing w:after="0" w:line="240" w:lineRule="auto"/>
              <w:jc w:val="center"/>
            </w:pPr>
            <w:r>
              <w:rPr>
                <w:sz w:val="17"/>
              </w:rPr>
              <w:t>31</w:t>
            </w:r>
          </w:p>
        </w:tc>
        <w:tc>
          <w:tcPr>
            <w:tcW w:type="dxa" w:w="1020"/>
            <w:vAlign w:val="center"/>
          </w:tcPr>
          <w:p>
            <w:pPr>
              <w:spacing w:after="0" w:line="240" w:lineRule="auto"/>
              <w:jc w:val="center"/>
            </w:pPr>
            <w:r>
              <w:rPr>
                <w:sz w:val="17"/>
              </w:rPr>
              <w:t>20</w:t>
            </w:r>
          </w:p>
        </w:tc>
        <w:tc>
          <w:tcPr>
            <w:tcW w:type="dxa" w:w="1304"/>
            <w:vAlign w:val="center"/>
          </w:tcPr>
          <w:p>
            <w:pPr>
              <w:spacing w:after="0" w:line="240" w:lineRule="auto"/>
              <w:jc w:val="center"/>
            </w:pPr>
            <w:r>
              <w:rPr>
                <w:sz w:val="17"/>
              </w:rPr>
              <w:t>5,2 M</w:t>
            </w:r>
          </w:p>
        </w:tc>
        <w:tc>
          <w:tcPr>
            <w:tcW w:type="dxa" w:w="1247"/>
            <w:vAlign w:val="center"/>
          </w:tcPr>
          <w:p>
            <w:pPr>
              <w:spacing w:after="0" w:line="240" w:lineRule="auto"/>
              <w:jc w:val="center"/>
            </w:pPr>
            <w:r>
              <w:rPr>
                <w:sz w:val="17"/>
              </w:rPr>
              <w:t>53 M</w:t>
            </w:r>
          </w:p>
        </w:tc>
        <w:tc>
          <w:tcPr>
            <w:tcW w:type="dxa" w:w="1247"/>
            <w:vAlign w:val="center"/>
          </w:tcPr>
          <w:p>
            <w:pPr>
              <w:spacing w:after="0" w:line="240" w:lineRule="auto"/>
              <w:jc w:val="center"/>
            </w:pPr>
            <w:r>
              <w:rPr>
                <w:sz w:val="17"/>
              </w:rPr>
              <w:t>9,3</w:t>
            </w:r>
          </w:p>
        </w:tc>
        <w:tc>
          <w:tcPr>
            <w:tcW w:type="dxa" w:w="1191"/>
            <w:vAlign w:val="center"/>
          </w:tcPr>
          <w:p>
            <w:pPr>
              <w:spacing w:after="0" w:line="240" w:lineRule="auto"/>
              <w:jc w:val="center"/>
            </w:pPr>
            <w:r>
              <w:rPr>
                <w:sz w:val="17"/>
              </w:rPr>
              <w:t>15,5 %</w:t>
            </w:r>
          </w:p>
        </w:tc>
        <w:tc>
          <w:tcPr>
            <w:tcW w:type="dxa" w:w="1020"/>
            <w:vAlign w:val="center"/>
          </w:tcPr>
          <w:p>
            <w:pPr>
              <w:spacing w:after="0" w:line="240" w:lineRule="auto"/>
              <w:jc w:val="center"/>
            </w:pPr>
            <w:r>
              <w:rPr>
                <w:sz w:val="17"/>
              </w:rPr>
              <w:t>16 %</w:t>
            </w:r>
          </w:p>
        </w:tc>
      </w:tr>
      <w:tr>
        <w:trPr>
          <w:cantSplit/>
        </w:trPr>
        <w:tc>
          <w:tcPr>
            <w:tcW w:type="dxa" w:w="1644"/>
            <w:vAlign w:val="center"/>
            <w:shd w:val="clear" w:color="auto" w:fill="F3F5F9"/>
          </w:tcPr>
          <w:p>
            <w:pPr>
              <w:spacing w:after="0" w:line="240" w:lineRule="auto"/>
            </w:pPr>
            <w:r>
              <w:rPr>
                <w:b/>
                <w:sz w:val="17"/>
              </w:rPr>
              <w:t>8 M et plus</w:t>
            </w:r>
          </w:p>
        </w:tc>
        <w:tc>
          <w:tcPr>
            <w:tcW w:type="dxa" w:w="850"/>
            <w:vAlign w:val="center"/>
            <w:shd w:val="clear" w:color="auto" w:fill="F3F5F9"/>
          </w:tcPr>
          <w:p>
            <w:pPr>
              <w:spacing w:after="0" w:line="240" w:lineRule="auto"/>
              <w:jc w:val="center"/>
            </w:pPr>
            <w:r>
              <w:rPr>
                <w:sz w:val="17"/>
              </w:rPr>
              <w:t>20</w:t>
            </w:r>
          </w:p>
        </w:tc>
        <w:tc>
          <w:tcPr>
            <w:tcW w:type="dxa" w:w="1020"/>
            <w:vAlign w:val="center"/>
            <w:shd w:val="clear" w:color="auto" w:fill="F3F5F9"/>
          </w:tcPr>
          <w:p>
            <w:pPr>
              <w:spacing w:after="0" w:line="240" w:lineRule="auto"/>
              <w:jc w:val="center"/>
            </w:pPr>
            <w:r>
              <w:rPr>
                <w:sz w:val="17"/>
              </w:rPr>
              <w:t>11</w:t>
            </w:r>
          </w:p>
        </w:tc>
        <w:tc>
          <w:tcPr>
            <w:tcW w:type="dxa" w:w="1304"/>
            <w:vAlign w:val="center"/>
            <w:shd w:val="clear" w:color="auto" w:fill="F3F5F9"/>
          </w:tcPr>
          <w:p>
            <w:pPr>
              <w:spacing w:after="0" w:line="240" w:lineRule="auto"/>
              <w:jc w:val="center"/>
            </w:pPr>
            <w:r>
              <w:rPr>
                <w:sz w:val="17"/>
              </w:rPr>
              <w:t>16,5 M</w:t>
            </w:r>
          </w:p>
        </w:tc>
        <w:tc>
          <w:tcPr>
            <w:tcW w:type="dxa" w:w="1247"/>
            <w:vAlign w:val="center"/>
            <w:shd w:val="clear" w:color="auto" w:fill="F3F5F9"/>
          </w:tcPr>
          <w:p>
            <w:pPr>
              <w:spacing w:after="0" w:line="240" w:lineRule="auto"/>
              <w:jc w:val="center"/>
            </w:pPr>
            <w:r>
              <w:rPr>
                <w:sz w:val="17"/>
              </w:rPr>
              <w:t>65 M</w:t>
            </w:r>
          </w:p>
        </w:tc>
        <w:tc>
          <w:tcPr>
            <w:tcW w:type="dxa" w:w="1247"/>
            <w:vAlign w:val="center"/>
            <w:shd w:val="clear" w:color="auto" w:fill="F3F5F9"/>
          </w:tcPr>
          <w:p>
            <w:pPr>
              <w:spacing w:after="0" w:line="240" w:lineRule="auto"/>
              <w:jc w:val="center"/>
            </w:pPr>
            <w:r>
              <w:rPr>
                <w:sz w:val="17"/>
              </w:rPr>
              <w:t>4,4</w:t>
            </w:r>
          </w:p>
        </w:tc>
        <w:tc>
          <w:tcPr>
            <w:tcW w:type="dxa" w:w="1191"/>
            <w:vAlign w:val="center"/>
            <w:shd w:val="clear" w:color="auto" w:fill="F3F5F9"/>
          </w:tcPr>
          <w:p>
            <w:pPr>
              <w:spacing w:after="0" w:line="240" w:lineRule="auto"/>
              <w:jc w:val="center"/>
            </w:pPr>
            <w:r>
              <w:rPr>
                <w:sz w:val="17"/>
              </w:rPr>
              <w:t>13,2 %</w:t>
            </w:r>
          </w:p>
        </w:tc>
        <w:tc>
          <w:tcPr>
            <w:tcW w:type="dxa" w:w="1020"/>
            <w:vAlign w:val="center"/>
            <w:shd w:val="clear" w:color="auto" w:fill="F3F5F9"/>
          </w:tcPr>
          <w:p>
            <w:pPr>
              <w:spacing w:after="0" w:line="240" w:lineRule="auto"/>
              <w:jc w:val="center"/>
            </w:pPr>
            <w:r>
              <w:rPr>
                <w:sz w:val="17"/>
              </w:rPr>
              <w:t>10 %</w:t>
            </w:r>
          </w:p>
        </w:tc>
      </w:tr>
      <w:tr>
        <w:trPr>
          <w:cantSplit/>
        </w:trPr>
        <w:tc>
          <w:tcPr>
            <w:tcW w:type="dxa" w:w="1644"/>
            <w:vAlign w:val="center"/>
          </w:tcPr>
          <w:p>
            <w:pPr>
              <w:spacing w:after="0" w:line="240" w:lineRule="auto"/>
            </w:pPr>
            <w:r>
              <w:rPr>
                <w:b/>
                <w:sz w:val="17"/>
              </w:rPr>
              <w:t>Ensemble</w:t>
            </w:r>
          </w:p>
        </w:tc>
        <w:tc>
          <w:tcPr>
            <w:tcW w:type="dxa" w:w="850"/>
            <w:vAlign w:val="center"/>
          </w:tcPr>
          <w:p>
            <w:pPr>
              <w:spacing w:after="0" w:line="240" w:lineRule="auto"/>
              <w:jc w:val="center"/>
            </w:pPr>
            <w:r>
              <w:rPr>
                <w:sz w:val="17"/>
              </w:rPr>
              <w:t>100</w:t>
            </w:r>
          </w:p>
        </w:tc>
        <w:tc>
          <w:tcPr>
            <w:tcW w:type="dxa" w:w="1020"/>
            <w:vAlign w:val="center"/>
          </w:tcPr>
          <w:p>
            <w:pPr>
              <w:spacing w:after="0" w:line="240" w:lineRule="auto"/>
              <w:jc w:val="center"/>
            </w:pPr>
            <w:r>
              <w:rPr>
                <w:sz w:val="17"/>
              </w:rPr>
              <w:t>79</w:t>
            </w:r>
          </w:p>
        </w:tc>
        <w:tc>
          <w:tcPr>
            <w:tcW w:type="dxa" w:w="1304"/>
            <w:vAlign w:val="center"/>
          </w:tcPr>
          <w:p>
            <w:pPr>
              <w:spacing w:after="0" w:line="240" w:lineRule="auto"/>
              <w:jc w:val="center"/>
            </w:pPr>
            <w:r>
              <w:rPr>
                <w:sz w:val="17"/>
              </w:rPr>
              <w:t>3,1 M</w:t>
            </w:r>
          </w:p>
        </w:tc>
        <w:tc>
          <w:tcPr>
            <w:tcW w:type="dxa" w:w="1247"/>
            <w:vAlign w:val="center"/>
          </w:tcPr>
          <w:p>
            <w:pPr>
              <w:spacing w:after="0" w:line="240" w:lineRule="auto"/>
              <w:jc w:val="center"/>
            </w:pPr>
            <w:r>
              <w:rPr>
                <w:sz w:val="17"/>
              </w:rPr>
              <w:t>54 M</w:t>
            </w:r>
          </w:p>
        </w:tc>
        <w:tc>
          <w:tcPr>
            <w:tcW w:type="dxa" w:w="1247"/>
            <w:vAlign w:val="center"/>
          </w:tcPr>
          <w:p>
            <w:pPr>
              <w:spacing w:after="0" w:line="240" w:lineRule="auto"/>
              <w:jc w:val="center"/>
            </w:pPr>
            <w:r>
              <w:rPr>
                <w:sz w:val="17"/>
              </w:rPr>
              <w:t>23,6</w:t>
            </w:r>
          </w:p>
        </w:tc>
        <w:tc>
          <w:tcPr>
            <w:tcW w:type="dxa" w:w="1191"/>
            <w:vAlign w:val="center"/>
          </w:tcPr>
          <w:p>
            <w:pPr>
              <w:spacing w:after="0" w:line="240" w:lineRule="auto"/>
              <w:jc w:val="center"/>
            </w:pPr>
            <w:r>
              <w:rPr>
                <w:sz w:val="17"/>
              </w:rPr>
              <w:t>16,3 %</w:t>
            </w:r>
          </w:p>
        </w:tc>
        <w:tc>
          <w:tcPr>
            <w:tcW w:type="dxa" w:w="1020"/>
            <w:vAlign w:val="center"/>
          </w:tcPr>
          <w:p>
            <w:pPr>
              <w:spacing w:after="0" w:line="240" w:lineRule="auto"/>
              <w:jc w:val="center"/>
            </w:pPr>
            <w:r>
              <w:rPr>
                <w:sz w:val="17"/>
              </w:rPr>
              <w:t>25 %</w:t>
            </w:r>
          </w:p>
        </w:tc>
      </w:tr>
    </w:tbl>
    <w:p>
      <w:pPr>
        <w:spacing w:after="40"/>
      </w:pPr>
    </w:p>
    <w:p>
      <w:pPr>
        <w:keepNext/>
        <w:spacing w:after="40"/>
        <w:jc w:val="center"/>
      </w:pPr>
      <w:r>
        <w:drawing>
          <wp:inline xmlns:a="http://schemas.openxmlformats.org/drawingml/2006/main" xmlns:pic="http://schemas.openxmlformats.org/drawingml/2006/picture">
            <wp:extent cx="5580000" cy="2565113"/>
            <wp:docPr id="2" name="Picture 2"/>
            <wp:cNvGraphicFramePr>
              <a:graphicFrameLocks noChangeAspect="1"/>
            </wp:cNvGraphicFramePr>
            <a:graphic>
              <a:graphicData uri="http://schemas.openxmlformats.org/drawingml/2006/picture">
                <pic:pic>
                  <pic:nvPicPr>
                    <pic:cNvPr id="0" name="gros_comptes.png"/>
                    <pic:cNvPicPr/>
                  </pic:nvPicPr>
                  <pic:blipFill>
                    <a:blip r:embed="rId11"/>
                    <a:stretch>
                      <a:fillRect/>
                    </a:stretch>
                  </pic:blipFill>
                  <pic:spPr>
                    <a:xfrm>
                      <a:off x="0" y="0"/>
                      <a:ext cx="5580000" cy="2565113"/>
                    </a:xfrm>
                    <a:prstGeom prst="rect"/>
                  </pic:spPr>
                </pic:pic>
              </a:graphicData>
            </a:graphic>
          </wp:inline>
        </w:drawing>
      </w:r>
    </w:p>
    <w:p>
      <w:pPr>
        <w:spacing w:after="200"/>
        <w:jc w:val="center"/>
      </w:pPr>
      <w:r>
        <w:rPr>
          <w:i/>
          <w:color w:val="595959"/>
          <w:sz w:val="18"/>
        </w:rPr>
        <w:t>Figure 2 — Vues et engagement médians par tranche d'abonnés (onglet Gros comptes) : 36 fois plus d'abonnés, 1,3 fois plus de vues.</w:t>
      </w:r>
    </w:p>
    <w:p>
      <w:pPr>
        <w:keepNext/>
        <w:spacing w:after="60"/>
      </w:pPr>
      <w:r>
        <w:rPr>
          <w:b/>
        </w:rPr>
        <w:t>Ce que les données ne permettent pas de dire</w:t>
      </w:r>
      <w:r>
        <w:rPr/>
        <w:t>, et que le classeur écrit en face de la réponse :</w:t>
      </w:r>
    </w:p>
    <w:p>
      <w:pPr>
        <w:pStyle w:val="ListBullet"/>
        <w:spacing w:after="60"/>
      </w:pPr>
      <w:r>
        <w:rPr/>
        <w:t>la probabilité de percer : les petits comptes qui n'ont pas percé ne sont pas dans les données (biais du survivant) ;</w:t>
      </w:r>
    </w:p>
    <w:p>
      <w:pPr>
        <w:pStyle w:val="ListBullet"/>
        <w:spacing w:after="60"/>
      </w:pPr>
      <w:r>
        <w:rPr/>
        <w:t>la causalité : les abonnés sont comptés en août 2021, après les vidéos ; le succès a pu créer les abonnés ;</w:t>
      </w:r>
    </w:p>
    <w:p>
      <w:pPr>
        <w:pStyle w:val="ListBullet"/>
        <w:spacing w:after="60"/>
      </w:pPr>
      <w:r>
        <w:rPr/>
        <w:t>la situation dans les tendances, faute d'abonnés dans cet extrait, ou hors du registre humoristique ;</w:t>
      </w:r>
    </w:p>
    <w:p>
      <w:pPr>
        <w:pStyle w:val="ListBullet"/>
        <w:spacing w:after="60"/>
      </w:pPr>
      <w:r>
        <w:rPr/>
        <w:t>si l'écart d'engagement tient à vues égales : il s'affaiblit (ρ = −0,15 en corrélation partielle, p = 0,13) et devient une tendance à confirmer.</w:t>
      </w:r>
    </w:p>
    <w:p>
      <w:r>
        <w:rPr/>
        <w:t xml:space="preserve">Le résultat tient en comptant chaque créateur une seule fois (ρ = +0,25 sur 79 créateurs). </w:t>
      </w:r>
      <w:r>
        <w:rPr>
          <w:b/>
        </w:rPr>
        <w:t>En clair</w:t>
      </w:r>
      <w:r>
        <w:rPr/>
        <w:t xml:space="preserve"> : une fois qu'une vidéo a percé, la taille du compte ne garantit pas plus de portée, et l'engagement par vue est plus élevé chez les petits comptes. Cela ne veut pas dire que les petits comptes réussissent mieux en général.</w:t>
      </w:r>
    </w:p>
    <w:p>
      <w:pPr>
        <w:pStyle w:val="Heading2"/>
      </w:pPr>
      <w:r>
        <w:t>5.3 Catégories, leaders et TreeMap</w:t>
      </w:r>
    </w:p>
    <w:p>
      <w:pPr>
        <w:keepNext/>
        <w:spacing w:after="80"/>
      </w:pPr>
      <w:r>
        <w:rPr/>
        <w:t xml:space="preserve">Pour une marque qui choisit des partenaires, la catégorie utile est le </w:t>
      </w:r>
      <w:r>
        <w:rPr>
          <w:b/>
        </w:rPr>
        <w:t>sujet du contenu</w:t>
      </w:r>
      <w:r>
        <w:rPr/>
        <w:t>. J'en ai défini cinq, déduits des hashtags, des légendes et des pseudos ; chaque créateur reçoit le sujet le plus fréquent de ses vidéos (périmètre : tendances et top #funny).</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041"/>
        <w:gridCol w:w="964"/>
        <w:gridCol w:w="794"/>
        <w:gridCol w:w="1077"/>
        <w:gridCol w:w="1304"/>
        <w:gridCol w:w="1134"/>
        <w:gridCol w:w="2211"/>
      </w:tblGrid>
      <w:tr>
        <w:trPr>
          <w:cantSplit/>
          <w:tblHeader w:val="true"/>
        </w:trPr>
        <w:tc>
          <w:tcPr>
            <w:tcW w:type="dxa" w:w="2041"/>
            <w:shd w:val="clear" w:color="auto" w:fill="1F3864"/>
            <w:vAlign w:val="center"/>
          </w:tcPr>
          <w:p>
            <w:pPr>
              <w:spacing w:after="0"/>
            </w:pPr>
            <w:r>
              <w:rPr>
                <w:b/>
                <w:color w:val="FFFFFF"/>
                <w:sz w:val="17"/>
              </w:rPr>
              <w:t>Sujet</w:t>
            </w:r>
          </w:p>
        </w:tc>
        <w:tc>
          <w:tcPr>
            <w:tcW w:type="dxa" w:w="964"/>
            <w:shd w:val="clear" w:color="auto" w:fill="1F3864"/>
            <w:vAlign w:val="center"/>
          </w:tcPr>
          <w:p>
            <w:pPr>
              <w:spacing w:after="0"/>
              <w:jc w:val="center"/>
            </w:pPr>
            <w:r>
              <w:rPr>
                <w:b/>
                <w:color w:val="FFFFFF"/>
                <w:sz w:val="17"/>
              </w:rPr>
              <w:t>Créateurs</w:t>
            </w:r>
          </w:p>
        </w:tc>
        <w:tc>
          <w:tcPr>
            <w:tcW w:type="dxa" w:w="794"/>
            <w:shd w:val="clear" w:color="auto" w:fill="1F3864"/>
            <w:vAlign w:val="center"/>
          </w:tcPr>
          <w:p>
            <w:pPr>
              <w:spacing w:after="0"/>
              <w:jc w:val="center"/>
            </w:pPr>
            <w:r>
              <w:rPr>
                <w:b/>
                <w:color w:val="FFFFFF"/>
                <w:sz w:val="17"/>
              </w:rPr>
              <w:t>Vidéos</w:t>
            </w:r>
          </w:p>
        </w:tc>
        <w:tc>
          <w:tcPr>
            <w:tcW w:type="dxa" w:w="1077"/>
            <w:shd w:val="clear" w:color="auto" w:fill="1F3864"/>
            <w:vAlign w:val="center"/>
          </w:tcPr>
          <w:p>
            <w:pPr>
              <w:spacing w:after="0"/>
              <w:jc w:val="center"/>
            </w:pPr>
            <w:r>
              <w:rPr>
                <w:b/>
                <w:color w:val="FFFFFF"/>
                <w:sz w:val="17"/>
              </w:rPr>
              <w:t>Part des vues</w:t>
            </w:r>
          </w:p>
        </w:tc>
        <w:tc>
          <w:tcPr>
            <w:tcW w:type="dxa" w:w="1304"/>
            <w:shd w:val="clear" w:color="auto" w:fill="1F3864"/>
            <w:vAlign w:val="center"/>
          </w:tcPr>
          <w:p>
            <w:pPr>
              <w:spacing w:after="0"/>
              <w:jc w:val="center"/>
            </w:pPr>
            <w:r>
              <w:rPr>
                <w:b/>
                <w:color w:val="FFFFFF"/>
                <w:sz w:val="17"/>
              </w:rPr>
              <w:t>Engagement médian</w:t>
            </w:r>
          </w:p>
        </w:tc>
        <w:tc>
          <w:tcPr>
            <w:tcW w:type="dxa" w:w="1134"/>
            <w:shd w:val="clear" w:color="auto" w:fill="1F3864"/>
            <w:vAlign w:val="center"/>
          </w:tcPr>
          <w:p>
            <w:pPr>
              <w:spacing w:after="0"/>
              <w:jc w:val="center"/>
            </w:pPr>
            <w:r>
              <w:rPr>
                <w:b/>
                <w:color w:val="FFFFFF"/>
                <w:sz w:val="17"/>
              </w:rPr>
              <w:t>Top performers</w:t>
            </w:r>
          </w:p>
        </w:tc>
        <w:tc>
          <w:tcPr>
            <w:tcW w:type="dxa" w:w="2211"/>
            <w:shd w:val="clear" w:color="auto" w:fill="1F3864"/>
            <w:vAlign w:val="center"/>
          </w:tcPr>
          <w:p>
            <w:pPr>
              <w:spacing w:after="0"/>
            </w:pPr>
            <w:r>
              <w:rPr>
                <w:b/>
                <w:color w:val="FFFFFF"/>
                <w:sz w:val="17"/>
              </w:rPr>
              <w:t>Lecture</w:t>
            </w:r>
          </w:p>
        </w:tc>
      </w:tr>
      <w:tr>
        <w:trPr>
          <w:cantSplit/>
        </w:trPr>
        <w:tc>
          <w:tcPr>
            <w:tcW w:type="dxa" w:w="2041"/>
            <w:vAlign w:val="center"/>
          </w:tcPr>
          <w:p>
            <w:pPr>
              <w:spacing w:after="0" w:line="240" w:lineRule="auto"/>
            </w:pPr>
            <w:r>
              <w:rPr>
                <w:b/>
                <w:sz w:val="17"/>
              </w:rPr>
              <w:t>Animaux</w:t>
            </w:r>
          </w:p>
        </w:tc>
        <w:tc>
          <w:tcPr>
            <w:tcW w:type="dxa" w:w="964"/>
            <w:vAlign w:val="center"/>
          </w:tcPr>
          <w:p>
            <w:pPr>
              <w:spacing w:after="0" w:line="240" w:lineRule="auto"/>
              <w:jc w:val="center"/>
            </w:pPr>
            <w:r>
              <w:rPr>
                <w:sz w:val="17"/>
              </w:rPr>
              <w:t>33</w:t>
            </w:r>
          </w:p>
        </w:tc>
        <w:tc>
          <w:tcPr>
            <w:tcW w:type="dxa" w:w="794"/>
            <w:vAlign w:val="center"/>
          </w:tcPr>
          <w:p>
            <w:pPr>
              <w:spacing w:after="0" w:line="240" w:lineRule="auto"/>
              <w:jc w:val="center"/>
            </w:pPr>
            <w:r>
              <w:rPr>
                <w:sz w:val="17"/>
              </w:rPr>
              <w:t>34</w:t>
            </w:r>
          </w:p>
        </w:tc>
        <w:tc>
          <w:tcPr>
            <w:tcW w:type="dxa" w:w="1077"/>
            <w:vAlign w:val="center"/>
          </w:tcPr>
          <w:p>
            <w:pPr>
              <w:spacing w:after="0" w:line="240" w:lineRule="auto"/>
              <w:jc w:val="center"/>
            </w:pPr>
            <w:r>
              <w:rPr>
                <w:sz w:val="17"/>
              </w:rPr>
              <w:t>18 %</w:t>
            </w:r>
          </w:p>
        </w:tc>
        <w:tc>
          <w:tcPr>
            <w:tcW w:type="dxa" w:w="1304"/>
            <w:vAlign w:val="center"/>
          </w:tcPr>
          <w:p>
            <w:pPr>
              <w:spacing w:after="0" w:line="240" w:lineRule="auto"/>
              <w:jc w:val="center"/>
            </w:pPr>
            <w:r>
              <w:rPr>
                <w:sz w:val="17"/>
              </w:rPr>
              <w:t>12,2 %</w:t>
            </w:r>
          </w:p>
        </w:tc>
        <w:tc>
          <w:tcPr>
            <w:tcW w:type="dxa" w:w="1134"/>
            <w:vAlign w:val="center"/>
          </w:tcPr>
          <w:p>
            <w:pPr>
              <w:spacing w:after="0" w:line="240" w:lineRule="auto"/>
              <w:jc w:val="center"/>
            </w:pPr>
            <w:r>
              <w:rPr>
                <w:sz w:val="17"/>
              </w:rPr>
              <w:t>24 %</w:t>
            </w:r>
          </w:p>
        </w:tc>
        <w:tc>
          <w:tcPr>
            <w:tcW w:type="dxa" w:w="2211"/>
            <w:vAlign w:val="center"/>
          </w:tcPr>
          <w:p>
            <w:pPr>
              <w:spacing w:after="0" w:line="240" w:lineRule="auto"/>
            </w:pPr>
            <w:r>
              <w:rPr>
                <w:sz w:val="17"/>
              </w:rPr>
              <w:t>Portée solide, engagement moyen.</w:t>
            </w:r>
          </w:p>
        </w:tc>
      </w:tr>
      <w:tr>
        <w:trPr>
          <w:cantSplit/>
        </w:trPr>
        <w:tc>
          <w:tcPr>
            <w:tcW w:type="dxa" w:w="2041"/>
            <w:vAlign w:val="center"/>
            <w:shd w:val="clear" w:color="auto" w:fill="F3F5F9"/>
          </w:tcPr>
          <w:p>
            <w:pPr>
              <w:spacing w:after="0" w:line="240" w:lineRule="auto"/>
            </w:pPr>
            <w:r>
              <w:rPr>
                <w:b/>
                <w:sz w:val="17"/>
              </w:rPr>
              <w:t>Famille &amp; enfants</w:t>
            </w:r>
          </w:p>
        </w:tc>
        <w:tc>
          <w:tcPr>
            <w:tcW w:type="dxa" w:w="964"/>
            <w:vAlign w:val="center"/>
            <w:shd w:val="clear" w:color="auto" w:fill="F3F5F9"/>
          </w:tcPr>
          <w:p>
            <w:pPr>
              <w:spacing w:after="0" w:line="240" w:lineRule="auto"/>
              <w:jc w:val="center"/>
            </w:pPr>
            <w:r>
              <w:rPr>
                <w:sz w:val="17"/>
              </w:rPr>
              <w:t>24</w:t>
            </w:r>
          </w:p>
        </w:tc>
        <w:tc>
          <w:tcPr>
            <w:tcW w:type="dxa" w:w="794"/>
            <w:vAlign w:val="center"/>
            <w:shd w:val="clear" w:color="auto" w:fill="F3F5F9"/>
          </w:tcPr>
          <w:p>
            <w:pPr>
              <w:spacing w:after="0" w:line="240" w:lineRule="auto"/>
              <w:jc w:val="center"/>
            </w:pPr>
            <w:r>
              <w:rPr>
                <w:sz w:val="17"/>
              </w:rPr>
              <w:t>30</w:t>
            </w:r>
          </w:p>
        </w:tc>
        <w:tc>
          <w:tcPr>
            <w:tcW w:type="dxa" w:w="1077"/>
            <w:vAlign w:val="center"/>
            <w:shd w:val="clear" w:color="auto" w:fill="F3F5F9"/>
          </w:tcPr>
          <w:p>
            <w:pPr>
              <w:spacing w:after="0" w:line="240" w:lineRule="auto"/>
              <w:jc w:val="center"/>
            </w:pPr>
            <w:r>
              <w:rPr>
                <w:sz w:val="17"/>
              </w:rPr>
              <w:t>15 %</w:t>
            </w:r>
          </w:p>
        </w:tc>
        <w:tc>
          <w:tcPr>
            <w:tcW w:type="dxa" w:w="1304"/>
            <w:vAlign w:val="center"/>
            <w:shd w:val="clear" w:color="auto" w:fill="F3F5F9"/>
          </w:tcPr>
          <w:p>
            <w:pPr>
              <w:spacing w:after="0" w:line="240" w:lineRule="auto"/>
              <w:jc w:val="center"/>
            </w:pPr>
            <w:r>
              <w:rPr>
                <w:sz w:val="17"/>
              </w:rPr>
              <w:t>15,2 %</w:t>
            </w:r>
          </w:p>
        </w:tc>
        <w:tc>
          <w:tcPr>
            <w:tcW w:type="dxa" w:w="1134"/>
            <w:vAlign w:val="center"/>
            <w:shd w:val="clear" w:color="auto" w:fill="F3F5F9"/>
          </w:tcPr>
          <w:p>
            <w:pPr>
              <w:spacing w:after="0" w:line="240" w:lineRule="auto"/>
              <w:jc w:val="center"/>
            </w:pPr>
            <w:r>
              <w:rPr>
                <w:sz w:val="17"/>
              </w:rPr>
              <w:t>23 %</w:t>
            </w:r>
          </w:p>
        </w:tc>
        <w:tc>
          <w:tcPr>
            <w:tcW w:type="dxa" w:w="2211"/>
            <w:vAlign w:val="center"/>
            <w:shd w:val="clear" w:color="auto" w:fill="F3F5F9"/>
          </w:tcPr>
          <w:p>
            <w:pPr>
              <w:spacing w:after="0" w:line="240" w:lineRule="auto"/>
            </w:pPr>
            <w:r>
              <w:rPr>
                <w:sz w:val="17"/>
              </w:rPr>
              <w:t>Engagement élevé ; mineurs fréquents.</w:t>
            </w:r>
          </w:p>
        </w:tc>
      </w:tr>
      <w:tr>
        <w:trPr>
          <w:cantSplit/>
        </w:trPr>
        <w:tc>
          <w:tcPr>
            <w:tcW w:type="dxa" w:w="2041"/>
            <w:vAlign w:val="center"/>
          </w:tcPr>
          <w:p>
            <w:pPr>
              <w:spacing w:after="0" w:line="240" w:lineRule="auto"/>
            </w:pPr>
            <w:r>
              <w:rPr>
                <w:b/>
                <w:sz w:val="17"/>
              </w:rPr>
              <w:t>Humour &amp; sketchs</w:t>
            </w:r>
          </w:p>
        </w:tc>
        <w:tc>
          <w:tcPr>
            <w:tcW w:type="dxa" w:w="964"/>
            <w:vAlign w:val="center"/>
          </w:tcPr>
          <w:p>
            <w:pPr>
              <w:spacing w:after="0" w:line="240" w:lineRule="auto"/>
              <w:jc w:val="center"/>
            </w:pPr>
            <w:r>
              <w:rPr>
                <w:sz w:val="17"/>
              </w:rPr>
              <w:t>51</w:t>
            </w:r>
          </w:p>
        </w:tc>
        <w:tc>
          <w:tcPr>
            <w:tcW w:type="dxa" w:w="794"/>
            <w:vAlign w:val="center"/>
          </w:tcPr>
          <w:p>
            <w:pPr>
              <w:spacing w:after="0" w:line="240" w:lineRule="auto"/>
              <w:jc w:val="center"/>
            </w:pPr>
            <w:r>
              <w:rPr>
                <w:sz w:val="17"/>
              </w:rPr>
              <w:t>65</w:t>
            </w:r>
          </w:p>
        </w:tc>
        <w:tc>
          <w:tcPr>
            <w:tcW w:type="dxa" w:w="1077"/>
            <w:vAlign w:val="center"/>
          </w:tcPr>
          <w:p>
            <w:pPr>
              <w:spacing w:after="0" w:line="240" w:lineRule="auto"/>
              <w:jc w:val="center"/>
            </w:pPr>
            <w:r>
              <w:rPr>
                <w:sz w:val="17"/>
              </w:rPr>
              <w:t>40 %</w:t>
            </w:r>
          </w:p>
        </w:tc>
        <w:tc>
          <w:tcPr>
            <w:tcW w:type="dxa" w:w="1304"/>
            <w:vAlign w:val="center"/>
          </w:tcPr>
          <w:p>
            <w:pPr>
              <w:spacing w:after="0" w:line="240" w:lineRule="auto"/>
              <w:jc w:val="center"/>
            </w:pPr>
            <w:r>
              <w:rPr>
                <w:sz w:val="17"/>
              </w:rPr>
              <w:t>15,9 %</w:t>
            </w:r>
          </w:p>
        </w:tc>
        <w:tc>
          <w:tcPr>
            <w:tcW w:type="dxa" w:w="1134"/>
            <w:vAlign w:val="center"/>
          </w:tcPr>
          <w:p>
            <w:pPr>
              <w:spacing w:after="0" w:line="240" w:lineRule="auto"/>
              <w:jc w:val="center"/>
            </w:pPr>
            <w:r>
              <w:rPr>
                <w:sz w:val="17"/>
              </w:rPr>
              <w:t>25 %</w:t>
            </w:r>
          </w:p>
        </w:tc>
        <w:tc>
          <w:tcPr>
            <w:tcW w:type="dxa" w:w="2211"/>
            <w:vAlign w:val="center"/>
          </w:tcPr>
          <w:p>
            <w:pPr>
              <w:spacing w:after="0" w:line="240" w:lineRule="auto"/>
            </w:pPr>
            <w:r>
              <w:rPr>
                <w:sz w:val="17"/>
              </w:rPr>
              <w:t>Le plus gros volume de vues.</w:t>
            </w:r>
          </w:p>
        </w:tc>
      </w:tr>
      <w:tr>
        <w:trPr>
          <w:cantSplit/>
        </w:trPr>
        <w:tc>
          <w:tcPr>
            <w:tcW w:type="dxa" w:w="2041"/>
            <w:vAlign w:val="center"/>
            <w:shd w:val="clear" w:color="auto" w:fill="F3F5F9"/>
          </w:tcPr>
          <w:p>
            <w:pPr>
              <w:spacing w:after="0" w:line="240" w:lineRule="auto"/>
            </w:pPr>
            <w:r>
              <w:rPr>
                <w:b/>
                <w:sz w:val="17"/>
              </w:rPr>
              <w:t>Lifestyle, musique &amp; sport</w:t>
            </w:r>
          </w:p>
        </w:tc>
        <w:tc>
          <w:tcPr>
            <w:tcW w:type="dxa" w:w="964"/>
            <w:vAlign w:val="center"/>
            <w:shd w:val="clear" w:color="auto" w:fill="F3F5F9"/>
          </w:tcPr>
          <w:p>
            <w:pPr>
              <w:spacing w:after="0" w:line="240" w:lineRule="auto"/>
              <w:jc w:val="center"/>
            </w:pPr>
            <w:r>
              <w:rPr>
                <w:sz w:val="17"/>
              </w:rPr>
              <w:t>26</w:t>
            </w:r>
          </w:p>
        </w:tc>
        <w:tc>
          <w:tcPr>
            <w:tcW w:type="dxa" w:w="794"/>
            <w:vAlign w:val="center"/>
            <w:shd w:val="clear" w:color="auto" w:fill="F3F5F9"/>
          </w:tcPr>
          <w:p>
            <w:pPr>
              <w:spacing w:after="0" w:line="240" w:lineRule="auto"/>
              <w:jc w:val="center"/>
            </w:pPr>
            <w:r>
              <w:rPr>
                <w:sz w:val="17"/>
              </w:rPr>
              <w:t>33</w:t>
            </w:r>
          </w:p>
        </w:tc>
        <w:tc>
          <w:tcPr>
            <w:tcW w:type="dxa" w:w="1077"/>
            <w:vAlign w:val="center"/>
            <w:shd w:val="clear" w:color="auto" w:fill="F3F5F9"/>
          </w:tcPr>
          <w:p>
            <w:pPr>
              <w:spacing w:after="0" w:line="240" w:lineRule="auto"/>
              <w:jc w:val="center"/>
            </w:pPr>
            <w:r>
              <w:rPr>
                <w:sz w:val="17"/>
              </w:rPr>
              <w:t>18 %</w:t>
            </w:r>
          </w:p>
        </w:tc>
        <w:tc>
          <w:tcPr>
            <w:tcW w:type="dxa" w:w="1304"/>
            <w:vAlign w:val="center"/>
            <w:shd w:val="clear" w:color="auto" w:fill="F3F5F9"/>
          </w:tcPr>
          <w:p>
            <w:pPr>
              <w:spacing w:after="0" w:line="240" w:lineRule="auto"/>
              <w:jc w:val="center"/>
            </w:pPr>
            <w:r>
              <w:rPr>
                <w:sz w:val="17"/>
              </w:rPr>
              <w:t>13,8 %</w:t>
            </w:r>
          </w:p>
        </w:tc>
        <w:tc>
          <w:tcPr>
            <w:tcW w:type="dxa" w:w="1134"/>
            <w:vAlign w:val="center"/>
            <w:shd w:val="clear" w:color="auto" w:fill="F3F5F9"/>
          </w:tcPr>
          <w:p>
            <w:pPr>
              <w:spacing w:after="0" w:line="240" w:lineRule="auto"/>
              <w:jc w:val="center"/>
            </w:pPr>
            <w:r>
              <w:rPr>
                <w:sz w:val="17"/>
              </w:rPr>
              <w:t>30 %</w:t>
            </w:r>
          </w:p>
        </w:tc>
        <w:tc>
          <w:tcPr>
            <w:tcW w:type="dxa" w:w="2211"/>
            <w:vAlign w:val="center"/>
            <w:shd w:val="clear" w:color="auto" w:fill="F3F5F9"/>
          </w:tcPr>
          <w:p>
            <w:pPr>
              <w:spacing w:after="0" w:line="240" w:lineRule="auto"/>
            </w:pPr>
            <w:r>
              <w:rPr>
                <w:sz w:val="17"/>
              </w:rPr>
              <w:t>Sujet hétérogène.</w:t>
            </w:r>
          </w:p>
        </w:tc>
      </w:tr>
      <w:tr>
        <w:trPr>
          <w:cantSplit/>
        </w:trPr>
        <w:tc>
          <w:tcPr>
            <w:tcW w:type="dxa" w:w="2041"/>
            <w:vAlign w:val="center"/>
          </w:tcPr>
          <w:p>
            <w:pPr>
              <w:spacing w:after="0" w:line="240" w:lineRule="auto"/>
            </w:pPr>
            <w:r>
              <w:rPr>
                <w:b/>
                <w:sz w:val="17"/>
              </w:rPr>
              <w:t>Sujet non déclaré</w:t>
            </w:r>
          </w:p>
        </w:tc>
        <w:tc>
          <w:tcPr>
            <w:tcW w:type="dxa" w:w="964"/>
            <w:vAlign w:val="center"/>
          </w:tcPr>
          <w:p>
            <w:pPr>
              <w:spacing w:after="0" w:line="240" w:lineRule="auto"/>
              <w:jc w:val="center"/>
            </w:pPr>
            <w:r>
              <w:rPr>
                <w:sz w:val="17"/>
              </w:rPr>
              <w:t>24</w:t>
            </w:r>
          </w:p>
        </w:tc>
        <w:tc>
          <w:tcPr>
            <w:tcW w:type="dxa" w:w="794"/>
            <w:vAlign w:val="center"/>
          </w:tcPr>
          <w:p>
            <w:pPr>
              <w:spacing w:after="0" w:line="240" w:lineRule="auto"/>
              <w:jc w:val="center"/>
            </w:pPr>
            <w:r>
              <w:rPr>
                <w:sz w:val="17"/>
              </w:rPr>
              <w:t>37</w:t>
            </w:r>
          </w:p>
        </w:tc>
        <w:tc>
          <w:tcPr>
            <w:tcW w:type="dxa" w:w="1077"/>
            <w:vAlign w:val="center"/>
          </w:tcPr>
          <w:p>
            <w:pPr>
              <w:spacing w:after="0" w:line="240" w:lineRule="auto"/>
              <w:jc w:val="center"/>
            </w:pPr>
            <w:r>
              <w:rPr>
                <w:sz w:val="17"/>
              </w:rPr>
              <w:t>8 %</w:t>
            </w:r>
          </w:p>
        </w:tc>
        <w:tc>
          <w:tcPr>
            <w:tcW w:type="dxa" w:w="1304"/>
            <w:vAlign w:val="center"/>
          </w:tcPr>
          <w:p>
            <w:pPr>
              <w:spacing w:after="0" w:line="240" w:lineRule="auto"/>
              <w:jc w:val="center"/>
            </w:pPr>
            <w:r>
              <w:rPr>
                <w:sz w:val="17"/>
              </w:rPr>
              <w:t>10,0 %</w:t>
            </w:r>
          </w:p>
        </w:tc>
        <w:tc>
          <w:tcPr>
            <w:tcW w:type="dxa" w:w="1134"/>
            <w:vAlign w:val="center"/>
          </w:tcPr>
          <w:p>
            <w:pPr>
              <w:spacing w:after="0" w:line="240" w:lineRule="auto"/>
              <w:jc w:val="center"/>
            </w:pPr>
            <w:r>
              <w:rPr>
                <w:sz w:val="17"/>
              </w:rPr>
              <w:t>24 %</w:t>
            </w:r>
          </w:p>
        </w:tc>
        <w:tc>
          <w:tcPr>
            <w:tcW w:type="dxa" w:w="2211"/>
            <w:vAlign w:val="center"/>
          </w:tcPr>
          <w:p>
            <w:pPr>
              <w:spacing w:after="0" w:line="240" w:lineRule="auto"/>
            </w:pPr>
            <w:r>
              <w:rPr>
                <w:sz w:val="17"/>
              </w:rPr>
              <w:t>Légende vide ou sans mot-clé.</w:t>
            </w:r>
          </w:p>
        </w:tc>
      </w:tr>
    </w:tbl>
    <w:p>
      <w:pPr>
        <w:spacing w:after="40"/>
      </w:pPr>
    </w:p>
    <w:p>
      <w:r>
        <w:rPr>
          <w:b/>
        </w:rPr>
        <w:t>Aucun sujet ne gagne partout.</w:t>
      </w:r>
      <w:r>
        <w:rPr/>
        <w:t xml:space="preserve"> Dans les tendances, l'écart d'engagement entre sujets atteint 4,2 pts au plus et n'est pas significatif (p = 0,33) ; le classement change d'un échantillon à l'autre. L'humour est le sujet le moins engageant dans les tendances (7,9 %) mais le plus engageant dans le top #funny (18,5 %), parce que ce dernier est trié par likes. D'où la recommandation : choisir le sujet pour la marque, puis le créateur pour son engagement.</w:t>
      </w:r>
    </w:p>
    <w:p>
      <w:pPr>
        <w:keepNext/>
        <w:spacing w:after="40"/>
        <w:jc w:val="center"/>
      </w:pPr>
      <w:r>
        <w:drawing>
          <wp:inline xmlns:a="http://schemas.openxmlformats.org/drawingml/2006/main" xmlns:pic="http://schemas.openxmlformats.org/drawingml/2006/picture">
            <wp:extent cx="4860000" cy="2425699"/>
            <wp:docPr id="3" name="Picture 3"/>
            <wp:cNvGraphicFramePr>
              <a:graphicFrameLocks noChangeAspect="1"/>
            </wp:cNvGraphicFramePr>
            <a:graphic>
              <a:graphicData uri="http://schemas.openxmlformats.org/drawingml/2006/picture">
                <pic:pic>
                  <pic:nvPicPr>
                    <pic:cNvPr id="0" name="categories_sujets.png"/>
                    <pic:cNvPicPr/>
                  </pic:nvPicPr>
                  <pic:blipFill>
                    <a:blip r:embed="rId12"/>
                    <a:stretch>
                      <a:fillRect/>
                    </a:stretch>
                  </pic:blipFill>
                  <pic:spPr>
                    <a:xfrm>
                      <a:off x="0" y="0"/>
                      <a:ext cx="4860000" cy="2425699"/>
                    </a:xfrm>
                    <a:prstGeom prst="rect"/>
                  </pic:spPr>
                </pic:pic>
              </a:graphicData>
            </a:graphic>
          </wp:inline>
        </w:drawing>
      </w:r>
    </w:p>
    <w:p>
      <w:pPr>
        <w:spacing w:after="200"/>
        <w:jc w:val="center"/>
      </w:pPr>
      <w:r>
        <w:rPr>
          <w:i/>
          <w:color w:val="595959"/>
          <w:sz w:val="18"/>
        </w:rPr>
        <w:t>Figure 3 — Taux d'engagement médian par sujet et par échantillon (onglet Catégories &amp; TreeMap) : le classement des sujets change d'un échantillon à l'autre.</w:t>
      </w:r>
    </w:p>
    <w:p>
      <w:r>
        <w:rPr>
          <w:b/>
        </w:rPr>
        <w:t>Leaders.</w:t>
      </w:r>
      <w:r>
        <w:rPr/>
        <w:t xml:space="preserve"> Dans chaque sujet, le leader d'engagement est le créateur au meilleur taux d'engagement rapporté à la médiane de son échantillon (« indice »), parmi ceux dont la portée atteint au moins la médiane : on écarte ainsi les petits succès confidentiels. Le classeur en donne trois par sujet (15), plus le leader de portée de chaque sujet, avec une colonne « Pourquoi » chiffrée. Les premiers de chaque sujet atteignent de 1,4 à 3,5 fois l'engagement médian de leur échantillon, par exemple 19,6 % d'engagement, soit 1,8 fois la médiane, pour le premier leader du sujet Animaux, avec 11,4 M de vues médianes. Portée et engagement ne vont pas toujours ensemble : en Lifestyle, musique &amp; sport, le leader de portée cumule 200 M de vues avec 3,1 % d'engagement, quand le leader d'engagement atteint 37 %. Les pseudos sont dans la Synthèse et dans l'onglet Catégories &amp; TreeMap.</w:t>
      </w:r>
    </w:p>
    <w:p>
      <w:pPr>
        <w:keepNext/>
        <w:spacing w:after="80"/>
      </w:pPr>
      <w:r>
        <w:rPr>
          <w:b/>
        </w:rPr>
        <w:t>TreeMap.</w:t>
      </w:r>
      <w:r>
        <w:rPr/>
        <w:t xml:space="preserve"> Demandé explicitement par le client, il résume les créateurs analysés : </w:t>
      </w:r>
      <w:r>
        <w:rPr>
          <w:b/>
        </w:rPr>
        <w:t>la taille d'une tuile indique les vues cumulées</w:t>
      </w:r>
      <w:r>
        <w:rPr/>
        <w:t xml:space="preserve"> du créateur, </w:t>
      </w:r>
      <w:r>
        <w:rPr>
          <w:b/>
        </w:rPr>
        <w:t>la couleur indique son sujet</w:t>
      </w:r>
      <w:r>
        <w:rPr/>
        <w:t>. Les deux informations sont différentes : la taille dit la portée, la couleur dit le sujet. Les créateurs recommandés y sont nommés ; les autres sont regroupés, par sujet, dans une tuile « Autres créateurs ». Lecture : l'humour capte 40 % des vues, et 10 % des créateurs (16 sur 158) captent 42 % des vues cumulées.</w:t>
      </w:r>
    </w:p>
    <w:p>
      <w:pPr>
        <w:keepNext/>
        <w:spacing w:after="40"/>
        <w:jc w:val="center"/>
      </w:pPr>
      <w:r>
        <w:drawing>
          <wp:inline xmlns:a="http://schemas.openxmlformats.org/drawingml/2006/main" xmlns:pic="http://schemas.openxmlformats.org/drawingml/2006/picture">
            <wp:extent cx="5760000" cy="4389714"/>
            <wp:docPr id="4" name="Picture 4"/>
            <wp:cNvGraphicFramePr>
              <a:graphicFrameLocks noChangeAspect="1"/>
            </wp:cNvGraphicFramePr>
            <a:graphic>
              <a:graphicData uri="http://schemas.openxmlformats.org/drawingml/2006/picture">
                <pic:pic>
                  <pic:nvPicPr>
                    <pic:cNvPr id="0" name="treemap.png"/>
                    <pic:cNvPicPr/>
                  </pic:nvPicPr>
                  <pic:blipFill>
                    <a:blip r:embed="rId13"/>
                    <a:stretch>
                      <a:fillRect/>
                    </a:stretch>
                  </pic:blipFill>
                  <pic:spPr>
                    <a:xfrm>
                      <a:off x="0" y="0"/>
                      <a:ext cx="5760000" cy="4389714"/>
                    </a:xfrm>
                    <a:prstGeom prst="rect"/>
                  </pic:spPr>
                </pic:pic>
              </a:graphicData>
            </a:graphic>
          </wp:inline>
        </w:drawing>
      </w:r>
    </w:p>
    <w:p>
      <w:pPr>
        <w:spacing w:after="200"/>
        <w:jc w:val="center"/>
      </w:pPr>
      <w:r>
        <w:rPr>
          <w:i/>
          <w:color w:val="595959"/>
          <w:sz w:val="18"/>
        </w:rPr>
        <w:t>Figure 4 — TreeMap natif (onglet Catégories &amp; TreeMap) : taille = vues cumulées par créateur (tendances et top #funny), couleur = sujet.</w:t>
      </w:r>
    </w:p>
    <w:p>
      <w:pPr>
        <w:keepNext/>
        <w:spacing w:after="60"/>
      </w:pPr>
      <w:r>
        <w:rPr>
          <w:b/>
        </w:rPr>
        <w:t>Points de vigilance avant de contacter un créateur</w:t>
      </w:r>
      <w:r>
        <w:rPr/>
        <w:t>, rappelés dans le classeur :</w:t>
      </w:r>
    </w:p>
    <w:p>
      <w:pPr>
        <w:pStyle w:val="ListBullet"/>
        <w:spacing w:after="60"/>
      </w:pPr>
      <w:r>
        <w:rPr/>
        <w:t>Famille &amp; enfants : des mineurs apparaissent dans plusieurs vidéos. Toute collaboration doit respecter la loi n° 2020-1266 du 19 octobre 2020 (image des enfants sur les plateformes) et la loi n° 2023-451 du 9 juin 2023 (influence commerciale) : validation juridique préalable.</w:t>
      </w:r>
    </w:p>
    <w:p>
      <w:pPr>
        <w:pStyle w:val="ListBullet"/>
        <w:spacing w:after="60"/>
      </w:pPr>
      <w:r>
        <w:rPr/>
        <w:t>Plusieurs leaders sont des célébrités ou des institutions (groupe de musique, club de football, artistes) : leurs conditions et leurs tarifs n'ont rien à voir avec ceux des créateurs.</w:t>
      </w:r>
    </w:p>
    <w:p>
      <w:pPr>
        <w:pStyle w:val="ListBullet"/>
        <w:spacing w:after="60"/>
      </w:pPr>
      <w:r>
        <w:rPr/>
        <w:t>Les chiffres datent de 2021 : vérifier l'activité et l'audience actuelles des comptes. Le sujet est déduit des légendes : le confirmer en regardant les vidéos.</w:t>
      </w:r>
    </w:p>
    <w:p>
      <w:pPr>
        <w:pStyle w:val="Heading1"/>
      </w:pPr>
      <w:r>
        <w:t>6. La réponse au client : quatre recommandations</w:t>
      </w:r>
    </w:p>
    <w:p>
      <w:pPr>
        <w:keepNext/>
        <w:spacing w:after="80"/>
      </w:pPr>
      <w:r>
        <w:rPr/>
        <w:t>Elles ne portent que sur ce que la marque et le créateur contrôlent.</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216"/>
        <w:gridCol w:w="4309"/>
      </w:tblGrid>
      <w:tr>
        <w:trPr>
          <w:cantSplit/>
          <w:tblHeader w:val="true"/>
        </w:trPr>
        <w:tc>
          <w:tcPr>
            <w:tcW w:type="dxa" w:w="5216"/>
            <w:shd w:val="clear" w:color="auto" w:fill="1F3864"/>
            <w:vAlign w:val="center"/>
          </w:tcPr>
          <w:p>
            <w:pPr>
              <w:spacing w:after="0"/>
            </w:pPr>
            <w:r>
              <w:rPr>
                <w:b/>
                <w:color w:val="FFFFFF"/>
                <w:sz w:val="18"/>
              </w:rPr>
              <w:t>Recommandation</w:t>
            </w:r>
          </w:p>
        </w:tc>
        <w:tc>
          <w:tcPr>
            <w:tcW w:type="dxa" w:w="4309"/>
            <w:shd w:val="clear" w:color="auto" w:fill="1F3864"/>
            <w:vAlign w:val="center"/>
          </w:tcPr>
          <w:p>
            <w:pPr>
              <w:spacing w:after="0"/>
            </w:pPr>
            <w:r>
              <w:rPr>
                <w:b/>
                <w:color w:val="FFFFFF"/>
                <w:sz w:val="18"/>
              </w:rPr>
              <w:t>Sur quoi elle repose</w:t>
            </w:r>
          </w:p>
        </w:tc>
      </w:tr>
      <w:tr>
        <w:trPr>
          <w:cantSplit/>
        </w:trPr>
        <w:tc>
          <w:tcPr>
            <w:tcW w:type="dxa" w:w="5216"/>
            <w:vAlign w:val="center"/>
          </w:tcPr>
          <w:p>
            <w:pPr>
              <w:spacing w:after="0" w:line="240" w:lineRule="auto"/>
            </w:pPr>
            <w:r>
              <w:rPr>
                <w:sz w:val="18"/>
              </w:rPr>
              <w:t>Sélectionner les créateurs sur leur taux d'engagement mesuré sur plusieurs vidéos, pas sur leur nombre d'abonnés.</w:t>
            </w:r>
          </w:p>
        </w:tc>
        <w:tc>
          <w:tcPr>
            <w:tcW w:type="dxa" w:w="4309"/>
            <w:vAlign w:val="center"/>
          </w:tcPr>
          <w:p>
            <w:pPr>
              <w:spacing w:after="0" w:line="240" w:lineRule="auto"/>
            </w:pPr>
            <w:r>
              <w:rPr>
                <w:sz w:val="18"/>
              </w:rPr>
              <w:t>Abonnés et vues, ρ = +0,28 : la taille du compte ne fait pas la portée.</w:t>
            </w:r>
          </w:p>
        </w:tc>
      </w:tr>
      <w:tr>
        <w:trPr>
          <w:cantSplit/>
        </w:trPr>
        <w:tc>
          <w:tcPr>
            <w:tcW w:type="dxa" w:w="5216"/>
            <w:vAlign w:val="center"/>
            <w:shd w:val="clear" w:color="auto" w:fill="F3F5F9"/>
          </w:tcPr>
          <w:p>
            <w:pPr>
              <w:spacing w:after="0" w:line="240" w:lineRule="auto"/>
            </w:pPr>
            <w:r>
              <w:rPr>
                <w:sz w:val="18"/>
              </w:rPr>
              <w:t>Inclure des comptes de moins de 3 M d'abonnés et négocier les tarifs en conséquence.</w:t>
            </w:r>
          </w:p>
        </w:tc>
        <w:tc>
          <w:tcPr>
            <w:tcW w:type="dxa" w:w="4309"/>
            <w:vAlign w:val="center"/>
            <w:shd w:val="clear" w:color="auto" w:fill="F3F5F9"/>
          </w:tcPr>
          <w:p>
            <w:pPr>
              <w:spacing w:after="0" w:line="240" w:lineRule="auto"/>
            </w:pPr>
            <w:r>
              <w:rPr>
                <w:sz w:val="18"/>
              </w:rPr>
              <w:t>Sous 1 M d'abonnés : 25 fois plus de vues par abonné et 43 % de top performers, contre 10 % au-delà de 8 M.</w:t>
            </w:r>
          </w:p>
        </w:tc>
      </w:tr>
      <w:tr>
        <w:trPr>
          <w:cantSplit/>
        </w:trPr>
        <w:tc>
          <w:tcPr>
            <w:tcW w:type="dxa" w:w="5216"/>
            <w:vAlign w:val="center"/>
          </w:tcPr>
          <w:p>
            <w:pPr>
              <w:spacing w:after="0" w:line="240" w:lineRule="auto"/>
            </w:pPr>
            <w:r>
              <w:rPr>
                <w:sz w:val="18"/>
              </w:rPr>
              <w:t>Laisser la main au créateur sur le format : ne pas imposer de hashtags « algorithme », d'horaire ni de jour de publication.</w:t>
            </w:r>
          </w:p>
        </w:tc>
        <w:tc>
          <w:tcPr>
            <w:tcW w:type="dxa" w:w="4309"/>
            <w:vAlign w:val="center"/>
          </w:tcPr>
          <w:p>
            <w:pPr>
              <w:spacing w:after="0" w:line="240" w:lineRule="auto"/>
            </w:pPr>
            <w:r>
              <w:rPr>
                <w:sz w:val="18"/>
              </w:rPr>
              <w:t>11 leviers sur 15 sans effet mesurable, dont #fyp, le jour et l'heure.</w:t>
            </w:r>
          </w:p>
        </w:tc>
      </w:tr>
      <w:tr>
        <w:trPr>
          <w:cantSplit/>
        </w:trPr>
        <w:tc>
          <w:tcPr>
            <w:tcW w:type="dxa" w:w="5216"/>
            <w:vAlign w:val="center"/>
            <w:shd w:val="clear" w:color="auto" w:fill="F3F5F9"/>
          </w:tcPr>
          <w:p>
            <w:pPr>
              <w:spacing w:after="0" w:line="240" w:lineRule="auto"/>
            </w:pPr>
            <w:r>
              <w:rPr>
                <w:sz w:val="18"/>
              </w:rPr>
              <w:t>Tester en A/B des formats de 15 à 60 s contre des formats très courts, en suivant le taux d'engagement.</w:t>
            </w:r>
          </w:p>
        </w:tc>
        <w:tc>
          <w:tcPr>
            <w:tcW w:type="dxa" w:w="4309"/>
            <w:vAlign w:val="center"/>
            <w:shd w:val="clear" w:color="auto" w:fill="F3F5F9"/>
          </w:tcPr>
          <w:p>
            <w:pPr>
              <w:spacing w:after="0" w:line="240" w:lineRule="auto"/>
            </w:pPr>
            <w:r>
              <w:rPr>
                <w:sz w:val="18"/>
              </w:rPr>
              <w:t>+5,5 pts au-delà de 15 s dans les tendances, mais un effet isolé.</w:t>
            </w:r>
          </w:p>
        </w:tc>
      </w:tr>
    </w:tbl>
    <w:p>
      <w:pPr>
        <w:spacing w:after="40"/>
      </w:pPr>
    </w:p>
    <w:p>
      <w:pPr>
        <w:pStyle w:val="Heading1"/>
      </w:pPr>
      <w:r>
        <w:t>7. Ce que ces données ne disent pas</w:t>
      </w:r>
    </w:p>
    <w:p>
      <w:pPr>
        <w:pStyle w:val="ListBullet"/>
        <w:spacing w:after="60"/>
      </w:pPr>
      <w:r>
        <w:rPr>
          <w:b/>
        </w:rPr>
        <w:t>Ce qui fait entrer une vidéo dans les tendances</w:t>
      </w:r>
      <w:r>
        <w:rPr/>
        <w:t xml:space="preserve"> : on n'observe que des contenus déjà populaires, choisis par l'algorithme, par un hashtag trié par likes ou par le compte officiel. Aucun échec n'est visible, et les écarts entre « bons » et « très bons » contenus sont mécaniquement réduits.</w:t>
      </w:r>
    </w:p>
    <w:p>
      <w:pPr>
        <w:pStyle w:val="ListBullet"/>
        <w:spacing w:after="60"/>
      </w:pPr>
      <w:r>
        <w:rPr>
          <w:b/>
        </w:rPr>
        <w:t>Ce qui marche aujourd'hui</w:t>
      </w:r>
      <w:r>
        <w:rPr/>
        <w:t xml:space="preserve"> : collectes d'août 2021, publications de 2019 à 2021. L'algorithme, les durées possibles (jusqu'à 10 minutes depuis 2022), les formats et les audiences ont changé : les résultats sont à revalider avant d'être appliqués.</w:t>
      </w:r>
    </w:p>
    <w:p>
      <w:pPr>
        <w:pStyle w:val="ListBullet"/>
        <w:spacing w:after="60"/>
      </w:pPr>
      <w:r>
        <w:rPr>
          <w:b/>
        </w:rPr>
        <w:t>TikTok dans son ensemble</w:t>
      </w:r>
      <w:r>
        <w:rPr/>
        <w:t xml:space="preserve"> : trois échantillons de 100 vidéos, collectés selon des règles différentes, ne sont pas représentatifs de la plateforme.</w:t>
      </w:r>
    </w:p>
    <w:p>
      <w:pPr>
        <w:pStyle w:val="ListBullet"/>
        <w:spacing w:after="60"/>
      </w:pPr>
      <w:r>
        <w:rPr>
          <w:b/>
        </w:rPr>
        <w:t>Les causes</w:t>
      </w:r>
      <w:r>
        <w:rPr/>
        <w:t xml:space="preserve"> : ce sont des corrélations. Les abonnés, mesurés après coup, peuvent être une conséquence du succès autant que sa cause.</w:t>
      </w:r>
    </w:p>
    <w:p>
      <w:pPr>
        <w:pStyle w:val="ListBullet"/>
        <w:spacing w:after="60"/>
      </w:pPr>
      <w:r>
        <w:rPr>
          <w:b/>
        </w:rPr>
        <w:t>Le retour sur investissement</w:t>
      </w:r>
      <w:r>
        <w:rPr/>
        <w:t xml:space="preserve"> : ni l'audience (âge, pays), ni le temps de visionnage, ni les ventes, ni le coût des créateurs, ni le contenu réel des vidéos (seule la légende est disponible).</w:t>
      </w:r>
    </w:p>
    <w:p>
      <w:pPr>
        <w:pStyle w:val="Heading1"/>
      </w:pPr>
      <w:r>
        <w:t>8. Données personnelles : ce que contient la version client et pourquoi</w:t>
      </w:r>
    </w:p>
    <w:p>
      <w:r>
        <w:rPr/>
        <w:t>Les contenus sont publics, mais ce sont des données personnelles : le RGPD s'applique. Le client veut savoir qui contacter ; l'agence n'a aucune raison de lui transmettre tout le reste.</w:t>
      </w:r>
    </w:p>
    <w:p>
      <w:pPr>
        <w:pStyle w:val="ListBullet"/>
        <w:spacing w:after="60"/>
      </w:pPr>
      <w:r>
        <w:rPr>
          <w:b/>
        </w:rPr>
        <w:t>Base légale</w:t>
      </w:r>
      <w:r>
        <w:rPr/>
        <w:t xml:space="preserve"> : l'intérêt légitime de l'agence (article 6.1.f), qui étudie des contenus rendus publics par leurs auteurs pour conseiller une marque, sans profilage individuel ni décision automatisée.</w:t>
      </w:r>
    </w:p>
    <w:p>
      <w:pPr>
        <w:pStyle w:val="ListBullet"/>
        <w:spacing w:after="60"/>
      </w:pPr>
      <w:r>
        <w:rPr>
          <w:b/>
        </w:rPr>
        <w:t>Minimisation</w:t>
      </w:r>
      <w:r>
        <w:rPr/>
        <w:t xml:space="preserve"> : la version client ne contient ni identifiants internes, ni liens des vidéos, ni photos de profil, ni noms affichés, ni biographies (e-mails, téléphones, adresses, comptes de paiement, mentions de santé), ni légendes (qui citent des tiers), ni musiques, ni badges. L'extrait des auteurs tendance n'est pas utilisé du tout.</w:t>
      </w:r>
    </w:p>
    <w:p>
      <w:pPr>
        <w:pStyle w:val="ListBullet"/>
        <w:spacing w:after="60"/>
      </w:pPr>
      <w:r>
        <w:rPr>
          <w:b/>
        </w:rPr>
        <w:t>Pseudonymisation</w:t>
      </w:r>
      <w:r>
        <w:rPr/>
        <w:t xml:space="preserve"> : seuls les 20 créateurs recommandés sont nommés, par leur pseudo public. Les autres apparaissent sous un code (« Créateur 001 »), sans table de correspondance dans le fichier. Un compte dont le pseudo révèle un état de santé n'est jamais nommé (donnée sensible, article 9).</w:t>
      </w:r>
    </w:p>
    <w:p>
      <w:pPr>
        <w:pStyle w:val="ListBullet"/>
        <w:spacing w:after="60"/>
      </w:pPr>
      <w:r>
        <w:rPr>
          <w:b/>
        </w:rPr>
        <w:t>Rien d'exclu n'est récupérable</w:t>
      </w:r>
      <w:r>
        <w:rPr/>
        <w:t xml:space="preserve"> : aucune feuille, ligne ou colonne masquée, aucun commentaire, aucun nom défini résiduel ; le cache des tableaux croisés ne contient que les colonnes de l'onglet Données ; les propriétés du fichier ne contiennent ni auteur, ni chemin local, ni étiquette de confidentialité. Chacune des valeurs exclues a été recherchée dans tout le fichier, sans résultat.</w:t>
      </w:r>
    </w:p>
    <w:p>
      <w:pPr>
        <w:pStyle w:val="ListBullet"/>
        <w:spacing w:after="60"/>
      </w:pPr>
      <w:r>
        <w:rPr>
          <w:b/>
        </w:rPr>
        <w:t>Usage par le client</w:t>
      </w:r>
      <w:r>
        <w:rPr/>
        <w:t xml:space="preserve"> : limité au choix de créateurs pour cette campagne, sans réutilisation, diffusion ni croisement ; suppression à la fin de la campagne, au plus tard 6 mois après réception. Les créateurs sont informés de l'origine des données dès le premier contact et peuvent s'y opposer (articles 14 et 21).</w:t>
      </w:r>
    </w:p>
    <w:p>
      <w:r>
        <w:rPr/>
        <w:t>Le classeur est autonome : format .xlsx, sans macro, sans complément ni lien vers un autre fichier. Il est protégé en lecture seule (feuilles et structure) pour éviter toute modification avant l'envoi au client.</w:t>
      </w:r>
    </w:p>
    <w:p>
      <w:pPr>
        <w:pStyle w:val="Heading1"/>
      </w:pPr>
      <w:r>
        <w:t>9. Le classeur en cinq minutes</w:t>
      </w:r>
    </w:p>
    <w:p>
      <w:pPr>
        <w:keepNext/>
        <w:spacing w:after="80"/>
      </w:pPr>
      <w:r>
        <w:rPr/>
        <w:t>Le classeur s'ouvre sur la Synthèse : la réponse et ses chiffres tiennent sur un écran, sans parcourir les données. Chaque conclusion renvoie par un lien à l'onglet qui la prouve. Voici le parcours que j'aurais suivi à l'oral.</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041"/>
        <w:gridCol w:w="4933"/>
        <w:gridCol w:w="2552"/>
      </w:tblGrid>
      <w:tr>
        <w:trPr>
          <w:cantSplit/>
          <w:tblHeader w:val="true"/>
        </w:trPr>
        <w:tc>
          <w:tcPr>
            <w:tcW w:type="dxa" w:w="2041"/>
            <w:shd w:val="clear" w:color="auto" w:fill="1F3864"/>
            <w:vAlign w:val="center"/>
          </w:tcPr>
          <w:p>
            <w:pPr>
              <w:spacing w:after="0"/>
            </w:pPr>
            <w:r>
              <w:rPr>
                <w:b/>
                <w:color w:val="FFFFFF"/>
                <w:sz w:val="17"/>
              </w:rPr>
              <w:t>Onglet</w:t>
            </w:r>
          </w:p>
        </w:tc>
        <w:tc>
          <w:tcPr>
            <w:tcW w:type="dxa" w:w="4932"/>
            <w:shd w:val="clear" w:color="auto" w:fill="1F3864"/>
            <w:vAlign w:val="center"/>
          </w:tcPr>
          <w:p>
            <w:pPr>
              <w:spacing w:after="0"/>
            </w:pPr>
            <w:r>
              <w:rPr>
                <w:b/>
                <w:color w:val="FFFFFF"/>
                <w:sz w:val="17"/>
              </w:rPr>
              <w:t>Ce qu'on y lit</w:t>
            </w:r>
          </w:p>
        </w:tc>
        <w:tc>
          <w:tcPr>
            <w:tcW w:type="dxa" w:w="2551"/>
            <w:shd w:val="clear" w:color="auto" w:fill="1F3864"/>
            <w:vAlign w:val="center"/>
          </w:tcPr>
          <w:p>
            <w:pPr>
              <w:spacing w:after="0"/>
            </w:pPr>
            <w:r>
              <w:rPr>
                <w:b/>
                <w:color w:val="FFFFFF"/>
                <w:sz w:val="17"/>
              </w:rPr>
              <w:t>Le message</w:t>
            </w:r>
          </w:p>
        </w:tc>
      </w:tr>
      <w:tr>
        <w:trPr>
          <w:cantSplit/>
        </w:trPr>
        <w:tc>
          <w:tcPr>
            <w:tcW w:type="dxa" w:w="2041"/>
            <w:vAlign w:val="center"/>
          </w:tcPr>
          <w:p>
            <w:pPr>
              <w:spacing w:after="0" w:line="240" w:lineRule="auto"/>
            </w:pPr>
            <w:r>
              <w:rPr>
                <w:b/>
                <w:sz w:val="17"/>
              </w:rPr>
              <w:t>1. Synthèse</w:t>
            </w:r>
          </w:p>
        </w:tc>
        <w:tc>
          <w:tcPr>
            <w:tcW w:type="dxa" w:w="4932"/>
            <w:vAlign w:val="center"/>
          </w:tcPr>
          <w:p>
            <w:pPr>
              <w:spacing w:after="0" w:line="240" w:lineRule="auto"/>
            </w:pPr>
            <w:r>
              <w:rPr>
                <w:sz w:val="17"/>
              </w:rPr>
              <w:t>Les 5 conclusions et leur chiffre clé, les leaders de chaque sujet, 4 recommandations, 4 limites.</w:t>
            </w:r>
          </w:p>
        </w:tc>
        <w:tc>
          <w:tcPr>
            <w:tcW w:type="dxa" w:w="2551"/>
            <w:vAlign w:val="center"/>
          </w:tcPr>
          <w:p>
            <w:pPr>
              <w:spacing w:after="0" w:line="240" w:lineRule="auto"/>
            </w:pPr>
            <w:r>
              <w:rPr>
                <w:sz w:val="17"/>
              </w:rPr>
              <w:t>La réponse tient sur un écran.</w:t>
            </w:r>
          </w:p>
        </w:tc>
      </w:tr>
      <w:tr>
        <w:trPr>
          <w:cantSplit/>
        </w:trPr>
        <w:tc>
          <w:tcPr>
            <w:tcW w:type="dxa" w:w="2041"/>
            <w:vAlign w:val="center"/>
            <w:shd w:val="clear" w:color="auto" w:fill="F3F5F9"/>
          </w:tcPr>
          <w:p>
            <w:pPr>
              <w:spacing w:after="0" w:line="240" w:lineRule="auto"/>
            </w:pPr>
            <w:r>
              <w:rPr>
                <w:b/>
                <w:sz w:val="17"/>
              </w:rPr>
              <w:t>2. Facteurs</w:t>
            </w:r>
          </w:p>
        </w:tc>
        <w:tc>
          <w:tcPr>
            <w:tcW w:type="dxa" w:w="4932"/>
            <w:vAlign w:val="center"/>
            <w:shd w:val="clear" w:color="auto" w:fill="F3F5F9"/>
          </w:tcPr>
          <w:p>
            <w:pPr>
              <w:spacing w:after="0" w:line="240" w:lineRule="auto"/>
            </w:pPr>
            <w:r>
              <w:rPr>
                <w:sz w:val="17"/>
              </w:rPr>
              <w:t>15 leviers testés dans 3 échantillons, avec chiffre, p-value, verdict et phrase de lecture ; les conséquences du succès à part ; un tableau croisé dynamique.</w:t>
            </w:r>
          </w:p>
        </w:tc>
        <w:tc>
          <w:tcPr>
            <w:tcW w:type="dxa" w:w="2551"/>
            <w:vAlign w:val="center"/>
            <w:shd w:val="clear" w:color="auto" w:fill="F3F5F9"/>
          </w:tcPr>
          <w:p>
            <w:pPr>
              <w:spacing w:after="0" w:line="240" w:lineRule="auto"/>
            </w:pPr>
            <w:r>
              <w:rPr>
                <w:sz w:val="17"/>
              </w:rPr>
              <w:t>Un facteur sans effet est un résultat.</w:t>
            </w:r>
          </w:p>
        </w:tc>
      </w:tr>
      <w:tr>
        <w:trPr>
          <w:cantSplit/>
        </w:trPr>
        <w:tc>
          <w:tcPr>
            <w:tcW w:type="dxa" w:w="2041"/>
            <w:vAlign w:val="center"/>
          </w:tcPr>
          <w:p>
            <w:pPr>
              <w:spacing w:after="0" w:line="240" w:lineRule="auto"/>
            </w:pPr>
            <w:r>
              <w:rPr>
                <w:b/>
                <w:sz w:val="17"/>
              </w:rPr>
              <w:t>3. Gros comptes</w:t>
            </w:r>
          </w:p>
        </w:tc>
        <w:tc>
          <w:tcPr>
            <w:tcW w:type="dxa" w:w="4932"/>
            <w:vAlign w:val="center"/>
          </w:tcPr>
          <w:p>
            <w:pPr>
              <w:spacing w:after="0" w:line="240" w:lineRule="auto"/>
            </w:pPr>
            <w:r>
              <w:rPr>
                <w:sz w:val="17"/>
              </w:rPr>
              <w:t>La réponse courte, le tableau par tranche d'abonnés, les corrélations, ce qu'on peut et ne peut pas dire ; un graphique et un tableau croisé.</w:t>
            </w:r>
          </w:p>
        </w:tc>
        <w:tc>
          <w:tcPr>
            <w:tcW w:type="dxa" w:w="2551"/>
            <w:vAlign w:val="center"/>
          </w:tcPr>
          <w:p>
            <w:pPr>
              <w:spacing w:after="0" w:line="240" w:lineRule="auto"/>
            </w:pPr>
            <w:r>
              <w:rPr>
                <w:sz w:val="17"/>
              </w:rPr>
              <w:t>36 fois plus d'abonnés, 1,3 fois plus de vues.</w:t>
            </w:r>
          </w:p>
        </w:tc>
      </w:tr>
      <w:tr>
        <w:trPr>
          <w:cantSplit/>
        </w:trPr>
        <w:tc>
          <w:tcPr>
            <w:tcW w:type="dxa" w:w="2041"/>
            <w:vAlign w:val="center"/>
            <w:shd w:val="clear" w:color="auto" w:fill="F3F5F9"/>
          </w:tcPr>
          <w:p>
            <w:pPr>
              <w:spacing w:after="0" w:line="240" w:lineRule="auto"/>
            </w:pPr>
            <w:r>
              <w:rPr>
                <w:b/>
                <w:sz w:val="17"/>
              </w:rPr>
              <w:t>4. Catégories &amp; TreeMap</w:t>
            </w:r>
          </w:p>
        </w:tc>
        <w:tc>
          <w:tcPr>
            <w:tcW w:type="dxa" w:w="4932"/>
            <w:vAlign w:val="center"/>
            <w:shd w:val="clear" w:color="auto" w:fill="F3F5F9"/>
          </w:tcPr>
          <w:p>
            <w:pPr>
              <w:spacing w:after="0" w:line="240" w:lineRule="auto"/>
            </w:pPr>
            <w:r>
              <w:rPr>
                <w:sz w:val="17"/>
              </w:rPr>
              <w:t>Les 5 sujets, 15 leaders et leur « pourquoi », les leaders de portée, le TreeMap, les points de vigilance ; un tableau croisé.</w:t>
            </w:r>
          </w:p>
        </w:tc>
        <w:tc>
          <w:tcPr>
            <w:tcW w:type="dxa" w:w="2551"/>
            <w:vAlign w:val="center"/>
            <w:shd w:val="clear" w:color="auto" w:fill="F3F5F9"/>
          </w:tcPr>
          <w:p>
            <w:pPr>
              <w:spacing w:after="0" w:line="240" w:lineRule="auto"/>
            </w:pPr>
            <w:r>
              <w:rPr>
                <w:sz w:val="17"/>
              </w:rPr>
              <w:t>Aucun sujet ne gagne partout ; des leaders dans chacun.</w:t>
            </w:r>
          </w:p>
        </w:tc>
      </w:tr>
      <w:tr>
        <w:trPr>
          <w:cantSplit/>
        </w:trPr>
        <w:tc>
          <w:tcPr>
            <w:tcW w:type="dxa" w:w="2041"/>
            <w:vAlign w:val="center"/>
          </w:tcPr>
          <w:p>
            <w:pPr>
              <w:spacing w:after="0" w:line="240" w:lineRule="auto"/>
            </w:pPr>
            <w:r>
              <w:rPr>
                <w:b/>
                <w:sz w:val="17"/>
              </w:rPr>
              <w:t>5. Méthode &amp; limites</w:t>
            </w:r>
          </w:p>
        </w:tc>
        <w:tc>
          <w:tcPr>
            <w:tcW w:type="dxa" w:w="4932"/>
            <w:vAlign w:val="center"/>
          </w:tcPr>
          <w:p>
            <w:pPr>
              <w:spacing w:after="0" w:line="240" w:lineRule="auto"/>
            </w:pPr>
            <w:r>
              <w:rPr>
                <w:sz w:val="17"/>
              </w:rPr>
              <w:t>Définition du succès, extraits retenus et écartés, préparation, méthodes statistiques, biais, données personnelles.</w:t>
            </w:r>
          </w:p>
        </w:tc>
        <w:tc>
          <w:tcPr>
            <w:tcW w:type="dxa" w:w="2551"/>
            <w:vAlign w:val="center"/>
          </w:tcPr>
          <w:p>
            <w:pPr>
              <w:spacing w:after="0" w:line="240" w:lineRule="auto"/>
            </w:pPr>
            <w:r>
              <w:rPr>
                <w:sz w:val="17"/>
              </w:rPr>
              <w:t>Chaque choix est justifié.</w:t>
            </w:r>
          </w:p>
        </w:tc>
      </w:tr>
      <w:tr>
        <w:trPr>
          <w:cantSplit/>
        </w:trPr>
        <w:tc>
          <w:tcPr>
            <w:tcW w:type="dxa" w:w="2041"/>
            <w:vAlign w:val="center"/>
            <w:shd w:val="clear" w:color="auto" w:fill="F3F5F9"/>
          </w:tcPr>
          <w:p>
            <w:pPr>
              <w:spacing w:after="0" w:line="240" w:lineRule="auto"/>
            </w:pPr>
            <w:r>
              <w:rPr>
                <w:b/>
                <w:sz w:val="17"/>
              </w:rPr>
              <w:t>6. Données</w:t>
            </w:r>
          </w:p>
        </w:tc>
        <w:tc>
          <w:tcPr>
            <w:tcW w:type="dxa" w:w="4932"/>
            <w:vAlign w:val="center"/>
            <w:shd w:val="clear" w:color="auto" w:fill="F3F5F9"/>
          </w:tcPr>
          <w:p>
            <w:pPr>
              <w:spacing w:after="0" w:line="240" w:lineRule="auto"/>
            </w:pPr>
            <w:r>
              <w:rPr>
                <w:sz w:val="17"/>
              </w:rPr>
              <w:t>300 vidéos et 37 colonnes, pseudonymisées : la source des formules et des tableaux croisés.</w:t>
            </w:r>
          </w:p>
        </w:tc>
        <w:tc>
          <w:tcPr>
            <w:tcW w:type="dxa" w:w="2551"/>
            <w:vAlign w:val="center"/>
            <w:shd w:val="clear" w:color="auto" w:fill="F3F5F9"/>
          </w:tcPr>
          <w:p>
            <w:pPr>
              <w:spacing w:after="0" w:line="240" w:lineRule="auto"/>
            </w:pPr>
            <w:r>
              <w:rPr>
                <w:sz w:val="17"/>
              </w:rPr>
              <w:t>Tout chiffre se vérifie dans Excel.</w:t>
            </w:r>
          </w:p>
        </w:tc>
      </w:tr>
    </w:tbl>
    <w:p>
      <w:pPr>
        <w:spacing w:after="40"/>
      </w:pPr>
    </w:p>
    <w:p>
      <w:pPr>
        <w:pStyle w:val="Heading1"/>
      </w:pPr>
      <w:r>
        <w:t>10. Les questions que vous pourriez me poser</w:t>
      </w:r>
    </w:p>
    <w:p>
      <w:pPr>
        <w:keepNext/>
        <w:spacing w:after="20"/>
      </w:pPr>
      <w:r>
        <w:rPr>
          <w:b/>
          <w:color w:val="1F3864"/>
        </w:rPr>
        <w:t>Pourquoi l'engagement et pas les vues ?</w:t>
      </w:r>
    </w:p>
    <w:p>
      <w:pPr>
        <w:spacing w:after="140"/>
      </w:pPr>
      <w:r>
        <w:rPr/>
        <w:t>Les vues dépendent de l'ancienneté de la vidéo et de la taille du compte ; l'engagement mesure la réaction et dépend peu de l'âge de la vidéo. Les vues restent affichées partout, à côté.</w:t>
      </w:r>
    </w:p>
    <w:p>
      <w:pPr>
        <w:keepNext/>
        <w:spacing w:after="20"/>
      </w:pPr>
      <w:r>
        <w:rPr>
          <w:b/>
          <w:color w:val="1F3864"/>
        </w:rPr>
        <w:t>Donc les petits comptes sont meilleurs ?</w:t>
      </w:r>
    </w:p>
    <w:p>
      <w:pPr>
        <w:spacing w:after="140"/>
      </w:pPr>
      <w:r>
        <w:rPr/>
        <w:t>Pas forcément. On ne voit que les petits comptes qui ont percé (biais du survivant). Ce qu'on peut dire : une fois percé, la taille du compte ne garantit pas plus de portée, et l'engagement par vue est plus élevé. Le bon usage : sélectionner sur l'engagement mesuré et négocier les tarifs en conséquence.</w:t>
      </w:r>
    </w:p>
    <w:p>
      <w:pPr>
        <w:keepNext/>
        <w:spacing w:after="20"/>
      </w:pPr>
      <w:r>
        <w:rPr>
          <w:b/>
          <w:color w:val="1F3864"/>
        </w:rPr>
        <w:t>Faut-il imposer des vidéos de plus de 15 secondes ?</w:t>
      </w:r>
    </w:p>
    <w:p>
      <w:pPr>
        <w:spacing w:after="140"/>
      </w:pPr>
      <w:r>
        <w:rPr/>
        <w:t>Non. L'effet n'apparaît que dans un échantillon sur trois, repose sur 17 vidéos, et c'est le seul test significatif parmi une quarantaine. Le verdict honnête est « effet isolé, à tester en A/B ».</w:t>
      </w:r>
    </w:p>
    <w:p>
      <w:pPr>
        <w:keepNext/>
        <w:spacing w:after="20"/>
      </w:pPr>
      <w:r>
        <w:rPr>
          <w:b/>
          <w:color w:val="1F3864"/>
        </w:rPr>
        <w:t>L'humour a plus d'engagement que les tendances : faut-il faire de l'humour ?</w:t>
      </w:r>
    </w:p>
    <w:p>
      <w:pPr>
        <w:spacing w:after="140"/>
      </w:pPr>
      <w:r>
        <w:rPr/>
        <w:t>Ces chiffres ne sont pas comparables : le top #funny est trié par likes, son engagement est gonflé par construction. Dans les tendances, l'humour est même le sujet le moins engageant (7,9 %). C'est pourquoi seuils et comparaisons restent internes à chaque échantillon.</w:t>
      </w:r>
    </w:p>
    <w:p>
      <w:pPr>
        <w:keepNext/>
        <w:spacing w:after="20"/>
      </w:pPr>
      <w:r>
        <w:rPr>
          <w:b/>
          <w:color w:val="1F3864"/>
        </w:rPr>
        <w:t>Comment les sujets sont-ils définis ? Est-ce fiable ?</w:t>
      </w:r>
    </w:p>
    <w:p>
      <w:pPr>
        <w:spacing w:after="140"/>
      </w:pPr>
      <w:r>
        <w:rPr/>
        <w:t>Par des mots-clés génériques (dog, kids, dance, funny…), avec un ordre de priorité, puis relus à la main. C'est approximatif, et le sujet n'est jamais présenté comme un facteur prouvé ; il faut le confirmer en regardant les vidéos.</w:t>
      </w:r>
    </w:p>
    <w:p>
      <w:pPr>
        <w:keepNext/>
        <w:spacing w:after="20"/>
      </w:pPr>
      <w:r>
        <w:rPr>
          <w:b/>
          <w:color w:val="1F3864"/>
        </w:rPr>
        <w:t>Pourquoi nommer certains créateurs et pas les autres ?</w:t>
      </w:r>
    </w:p>
    <w:p>
      <w:pPr>
        <w:spacing w:after="140"/>
      </w:pPr>
      <w:r>
        <w:rPr/>
        <w:t>Le client a besoin de savoir qui contacter : seuls les 20 recommandés sont nommés. Les autres n'apportent rien à la décision et sont pseudonymisés.</w:t>
      </w:r>
    </w:p>
    <w:p>
      <w:pPr>
        <w:keepNext/>
        <w:spacing w:after="20"/>
      </w:pPr>
      <w:r>
        <w:rPr>
          <w:b/>
          <w:color w:val="1F3864"/>
        </w:rPr>
        <w:t>Un créateur demande la suppression de ses données : que fait-on ?</w:t>
      </w:r>
    </w:p>
    <w:p>
      <w:pPr>
        <w:spacing w:after="140"/>
      </w:pPr>
      <w:r>
        <w:rPr/>
        <w:t>On supprime ses lignes des fichiers de l'agence, on met à jour le classeur et on prévient le client, qui supprime sa copie (articles 17 et 21).</w:t>
      </w:r>
    </w:p>
    <w:p>
      <w:pPr>
        <w:keepNext/>
        <w:spacing w:after="20"/>
      </w:pPr>
      <w:r>
        <w:rPr>
          <w:b/>
          <w:color w:val="1F3864"/>
        </w:rPr>
        <w:t>Les chiffres sont-ils fiables ?</w:t>
      </w:r>
    </w:p>
    <w:p>
      <w:pPr>
        <w:spacing w:after="140"/>
      </w:pPr>
      <w:r>
        <w:rPr/>
        <w:t>Ce sont des formules Excel calculées sur l'onglet Données, recoupées avec Python : mêmes valeurs sur toutes les cellules numériques. Leur limite est ailleurs : des données de 2021, arrondies par la plateforme, sur des contenus déjà populaires.</w:t>
      </w:r>
    </w:p>
    <w:p>
      <w:pPr>
        <w:pStyle w:val="Heading1"/>
      </w:pPr>
      <w:r>
        <w:t>Conclusion</w:t>
      </w:r>
    </w:p>
    <w:p>
      <w:r>
        <w:rPr/>
        <w:t>Sur ces données, ce qui distingue les contenus les plus performants n'est ni la taille du compte, ni les « recettes » de publication : c'est la capacité d'un créateur à faire réagir son audience, mesurée par son taux d'engagement. Pour la campagne, la marque doit donc choisir ses créateurs sur leur engagement mesuré, sans écarter les comptes de taille moyenne, leur laisser la main sur le format et tester ce qui reste une piste, la durée. Ces conclusions décrivent des contenus déjà populaires en 2021 : elles orientent le choix, elles ne remplacent pas une vérification des comptes au moment du contact.</w:t>
      </w:r>
    </w:p>
    <w:p>
      <w:pPr>
        <w:pStyle w:val="Heading1"/>
      </w:pPr>
      <w:r>
        <w:t>Annexe — Les attendus du sujet et où les trouver</w:t>
      </w:r>
    </w:p>
    <w:tbl>
      <w:tblPr>
        <w:tblStyle w:val="TableGrid"/>
        <w:tblW w:type="dxa" w:w="952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309"/>
        <w:gridCol w:w="1701"/>
        <w:gridCol w:w="3515"/>
      </w:tblGrid>
      <w:tr>
        <w:trPr>
          <w:cantSplit/>
          <w:tblHeader w:val="true"/>
        </w:trPr>
        <w:tc>
          <w:tcPr>
            <w:tcW w:type="dxa" w:w="4309"/>
            <w:shd w:val="clear" w:color="auto" w:fill="1F3864"/>
            <w:vAlign w:val="center"/>
          </w:tcPr>
          <w:p>
            <w:pPr>
              <w:spacing w:after="0"/>
            </w:pPr>
            <w:r>
              <w:rPr>
                <w:b/>
                <w:color w:val="FFFFFF"/>
                <w:sz w:val="17"/>
              </w:rPr>
              <w:t>Attendu</w:t>
            </w:r>
          </w:p>
        </w:tc>
        <w:tc>
          <w:tcPr>
            <w:tcW w:type="dxa" w:w="1701"/>
            <w:shd w:val="clear" w:color="auto" w:fill="1F3864"/>
            <w:vAlign w:val="center"/>
          </w:tcPr>
          <w:p>
            <w:pPr>
              <w:spacing w:after="0"/>
            </w:pPr>
            <w:r>
              <w:rPr>
                <w:b/>
                <w:color w:val="FFFFFF"/>
                <w:sz w:val="17"/>
              </w:rPr>
              <w:t>Dans ce document</w:t>
            </w:r>
          </w:p>
        </w:tc>
        <w:tc>
          <w:tcPr>
            <w:tcW w:type="dxa" w:w="3515"/>
            <w:shd w:val="clear" w:color="auto" w:fill="1F3864"/>
            <w:vAlign w:val="center"/>
          </w:tcPr>
          <w:p>
            <w:pPr>
              <w:spacing w:after="0"/>
            </w:pPr>
            <w:r>
              <w:rPr>
                <w:b/>
                <w:color w:val="FFFFFF"/>
                <w:sz w:val="17"/>
              </w:rPr>
              <w:t>Dans le classeur</w:t>
            </w:r>
          </w:p>
        </w:tc>
      </w:tr>
      <w:tr>
        <w:trPr>
          <w:cantSplit/>
        </w:trPr>
        <w:tc>
          <w:tcPr>
            <w:tcW w:type="dxa" w:w="4309"/>
            <w:vAlign w:val="center"/>
          </w:tcPr>
          <w:p>
            <w:pPr>
              <w:spacing w:after="0" w:line="240" w:lineRule="auto"/>
            </w:pPr>
            <w:r>
              <w:rPr>
                <w:sz w:val="17"/>
              </w:rPr>
              <w:t>Définir le succès et défendre ce choix</w:t>
            </w:r>
          </w:p>
        </w:tc>
        <w:tc>
          <w:tcPr>
            <w:tcW w:type="dxa" w:w="1701"/>
            <w:vAlign w:val="center"/>
          </w:tcPr>
          <w:p>
            <w:pPr>
              <w:spacing w:after="0" w:line="240" w:lineRule="auto"/>
            </w:pPr>
            <w:r>
              <w:rPr>
                <w:sz w:val="17"/>
              </w:rPr>
              <w:t>§ 3</w:t>
            </w:r>
          </w:p>
        </w:tc>
        <w:tc>
          <w:tcPr>
            <w:tcW w:type="dxa" w:w="3515"/>
            <w:vAlign w:val="center"/>
          </w:tcPr>
          <w:p>
            <w:pPr>
              <w:spacing w:after="0" w:line="240" w:lineRule="auto"/>
            </w:pPr>
            <w:r>
              <w:rPr>
                <w:sz w:val="17"/>
              </w:rPr>
              <w:t>Méthode &amp; limites (1), Synthèse</w:t>
            </w:r>
          </w:p>
        </w:tc>
      </w:tr>
      <w:tr>
        <w:trPr>
          <w:cantSplit/>
        </w:trPr>
        <w:tc>
          <w:tcPr>
            <w:tcW w:type="dxa" w:w="4309"/>
            <w:vAlign w:val="center"/>
            <w:shd w:val="clear" w:color="auto" w:fill="F3F5F9"/>
          </w:tcPr>
          <w:p>
            <w:pPr>
              <w:spacing w:after="0" w:line="240" w:lineRule="auto"/>
            </w:pPr>
            <w:r>
              <w:rPr>
                <w:sz w:val="17"/>
              </w:rPr>
              <w:t>Choisir les extraits utiles et écarter les autres</w:t>
            </w:r>
          </w:p>
        </w:tc>
        <w:tc>
          <w:tcPr>
            <w:tcW w:type="dxa" w:w="1701"/>
            <w:vAlign w:val="center"/>
            <w:shd w:val="clear" w:color="auto" w:fill="F3F5F9"/>
          </w:tcPr>
          <w:p>
            <w:pPr>
              <w:spacing w:after="0" w:line="240" w:lineRule="auto"/>
            </w:pPr>
            <w:r>
              <w:rPr>
                <w:sz w:val="17"/>
              </w:rPr>
              <w:t>§ 2</w:t>
            </w:r>
          </w:p>
        </w:tc>
        <w:tc>
          <w:tcPr>
            <w:tcW w:type="dxa" w:w="3515"/>
            <w:vAlign w:val="center"/>
            <w:shd w:val="clear" w:color="auto" w:fill="F3F5F9"/>
          </w:tcPr>
          <w:p>
            <w:pPr>
              <w:spacing w:after="0" w:line="240" w:lineRule="auto"/>
            </w:pPr>
            <w:r>
              <w:rPr>
                <w:sz w:val="17"/>
              </w:rPr>
              <w:t>Méthode &amp; limites (2)</w:t>
            </w:r>
          </w:p>
        </w:tc>
      </w:tr>
      <w:tr>
        <w:trPr>
          <w:cantSplit/>
        </w:trPr>
        <w:tc>
          <w:tcPr>
            <w:tcW w:type="dxa" w:w="4309"/>
            <w:vAlign w:val="center"/>
          </w:tcPr>
          <w:p>
            <w:pPr>
              <w:spacing w:after="0" w:line="240" w:lineRule="auto"/>
            </w:pPr>
            <w:r>
              <w:rPr>
                <w:sz w:val="17"/>
              </w:rPr>
              <w:t>Chaque facteur chiffré, à côté de sa conclusion</w:t>
            </w:r>
          </w:p>
        </w:tc>
        <w:tc>
          <w:tcPr>
            <w:tcW w:type="dxa" w:w="1701"/>
            <w:vAlign w:val="center"/>
          </w:tcPr>
          <w:p>
            <w:pPr>
              <w:spacing w:after="0" w:line="240" w:lineRule="auto"/>
            </w:pPr>
            <w:r>
              <w:rPr>
                <w:sz w:val="17"/>
              </w:rPr>
              <w:t>§ 5.1</w:t>
            </w:r>
          </w:p>
        </w:tc>
        <w:tc>
          <w:tcPr>
            <w:tcW w:type="dxa" w:w="3515"/>
            <w:vAlign w:val="center"/>
          </w:tcPr>
          <w:p>
            <w:pPr>
              <w:spacing w:after="0" w:line="240" w:lineRule="auto"/>
            </w:pPr>
            <w:r>
              <w:rPr>
                <w:sz w:val="17"/>
              </w:rPr>
              <w:t>Synthèse (colonne D), Facteurs</w:t>
            </w:r>
          </w:p>
        </w:tc>
      </w:tr>
      <w:tr>
        <w:trPr>
          <w:cantSplit/>
        </w:trPr>
        <w:tc>
          <w:tcPr>
            <w:tcW w:type="dxa" w:w="4309"/>
            <w:vAlign w:val="center"/>
            <w:shd w:val="clear" w:color="auto" w:fill="F3F5F9"/>
          </w:tcPr>
          <w:p>
            <w:pPr>
              <w:spacing w:after="0" w:line="240" w:lineRule="auto"/>
            </w:pPr>
            <w:r>
              <w:rPr>
                <w:sz w:val="17"/>
              </w:rPr>
              <w:t>Objection des gros comptes : ce qu'on peut et ne peut pas dire</w:t>
            </w:r>
          </w:p>
        </w:tc>
        <w:tc>
          <w:tcPr>
            <w:tcW w:type="dxa" w:w="1701"/>
            <w:vAlign w:val="center"/>
            <w:shd w:val="clear" w:color="auto" w:fill="F3F5F9"/>
          </w:tcPr>
          <w:p>
            <w:pPr>
              <w:spacing w:after="0" w:line="240" w:lineRule="auto"/>
            </w:pPr>
            <w:r>
              <w:rPr>
                <w:sz w:val="17"/>
              </w:rPr>
              <w:t>§ 5.2</w:t>
            </w:r>
          </w:p>
        </w:tc>
        <w:tc>
          <w:tcPr>
            <w:tcW w:type="dxa" w:w="3515"/>
            <w:vAlign w:val="center"/>
            <w:shd w:val="clear" w:color="auto" w:fill="F3F5F9"/>
          </w:tcPr>
          <w:p>
            <w:pPr>
              <w:spacing w:after="0" w:line="240" w:lineRule="auto"/>
            </w:pPr>
            <w:r>
              <w:rPr>
                <w:sz w:val="17"/>
              </w:rPr>
              <w:t>Gros comptes</w:t>
            </w:r>
          </w:p>
        </w:tc>
      </w:tr>
      <w:tr>
        <w:trPr>
          <w:cantSplit/>
        </w:trPr>
        <w:tc>
          <w:tcPr>
            <w:tcW w:type="dxa" w:w="4309"/>
            <w:vAlign w:val="center"/>
          </w:tcPr>
          <w:p>
            <w:pPr>
              <w:spacing w:after="0" w:line="240" w:lineRule="auto"/>
            </w:pPr>
            <w:r>
              <w:rPr>
                <w:sz w:val="17"/>
              </w:rPr>
              <w:t>Séparer leviers et conséquences du succès</w:t>
            </w:r>
          </w:p>
        </w:tc>
        <w:tc>
          <w:tcPr>
            <w:tcW w:type="dxa" w:w="1701"/>
            <w:vAlign w:val="center"/>
          </w:tcPr>
          <w:p>
            <w:pPr>
              <w:spacing w:after="0" w:line="240" w:lineRule="auto"/>
            </w:pPr>
            <w:r>
              <w:rPr>
                <w:sz w:val="17"/>
              </w:rPr>
              <w:t>§ 5.1</w:t>
            </w:r>
          </w:p>
        </w:tc>
        <w:tc>
          <w:tcPr>
            <w:tcW w:type="dxa" w:w="3515"/>
            <w:vAlign w:val="center"/>
          </w:tcPr>
          <w:p>
            <w:pPr>
              <w:spacing w:after="0" w:line="240" w:lineRule="auto"/>
            </w:pPr>
            <w:r>
              <w:rPr>
                <w:sz w:val="17"/>
              </w:rPr>
              <w:t>Facteurs (A et B)</w:t>
            </w:r>
          </w:p>
        </w:tc>
      </w:tr>
      <w:tr>
        <w:trPr>
          <w:cantSplit/>
        </w:trPr>
        <w:tc>
          <w:tcPr>
            <w:tcW w:type="dxa" w:w="4309"/>
            <w:vAlign w:val="center"/>
            <w:shd w:val="clear" w:color="auto" w:fill="F3F5F9"/>
          </w:tcPr>
          <w:p>
            <w:pPr>
              <w:spacing w:after="0" w:line="240" w:lineRule="auto"/>
            </w:pPr>
            <w:r>
              <w:rPr>
                <w:sz w:val="17"/>
              </w:rPr>
              <w:t>Garder les facteurs sans effet</w:t>
            </w:r>
          </w:p>
        </w:tc>
        <w:tc>
          <w:tcPr>
            <w:tcW w:type="dxa" w:w="1701"/>
            <w:vAlign w:val="center"/>
            <w:shd w:val="clear" w:color="auto" w:fill="F3F5F9"/>
          </w:tcPr>
          <w:p>
            <w:pPr>
              <w:spacing w:after="0" w:line="240" w:lineRule="auto"/>
            </w:pPr>
            <w:r>
              <w:rPr>
                <w:sz w:val="17"/>
              </w:rPr>
              <w:t>§ 5.1</w:t>
            </w:r>
          </w:p>
        </w:tc>
        <w:tc>
          <w:tcPr>
            <w:tcW w:type="dxa" w:w="3515"/>
            <w:vAlign w:val="center"/>
            <w:shd w:val="clear" w:color="auto" w:fill="F3F5F9"/>
          </w:tcPr>
          <w:p>
            <w:pPr>
              <w:spacing w:after="0" w:line="240" w:lineRule="auto"/>
            </w:pPr>
            <w:r>
              <w:rPr>
                <w:sz w:val="17"/>
              </w:rPr>
              <w:t>Facteurs (11 leviers sur 15)</w:t>
            </w:r>
          </w:p>
        </w:tc>
      </w:tr>
      <w:tr>
        <w:trPr>
          <w:cantSplit/>
        </w:trPr>
        <w:tc>
          <w:tcPr>
            <w:tcW w:type="dxa" w:w="4309"/>
            <w:vAlign w:val="center"/>
          </w:tcPr>
          <w:p>
            <w:pPr>
              <w:spacing w:after="0" w:line="240" w:lineRule="auto"/>
            </w:pPr>
            <w:r>
              <w:rPr>
                <w:sz w:val="17"/>
              </w:rPr>
              <w:t>Dire ce que les données ne peuvent pas dire</w:t>
            </w:r>
          </w:p>
        </w:tc>
        <w:tc>
          <w:tcPr>
            <w:tcW w:type="dxa" w:w="1701"/>
            <w:vAlign w:val="center"/>
          </w:tcPr>
          <w:p>
            <w:pPr>
              <w:spacing w:after="0" w:line="240" w:lineRule="auto"/>
            </w:pPr>
            <w:r>
              <w:rPr>
                <w:sz w:val="17"/>
              </w:rPr>
              <w:t>§ 7, § 5.2</w:t>
            </w:r>
          </w:p>
        </w:tc>
        <w:tc>
          <w:tcPr>
            <w:tcW w:type="dxa" w:w="3515"/>
            <w:vAlign w:val="center"/>
          </w:tcPr>
          <w:p>
            <w:pPr>
              <w:spacing w:after="0" w:line="240" w:lineRule="auto"/>
            </w:pPr>
            <w:r>
              <w:rPr>
                <w:sz w:val="17"/>
              </w:rPr>
              <w:t>Synthèse, Gros comptes, Méthode &amp; limites (5)</w:t>
            </w:r>
          </w:p>
        </w:tc>
      </w:tr>
      <w:tr>
        <w:trPr>
          <w:cantSplit/>
        </w:trPr>
        <w:tc>
          <w:tcPr>
            <w:tcW w:type="dxa" w:w="4309"/>
            <w:vAlign w:val="center"/>
            <w:shd w:val="clear" w:color="auto" w:fill="F3F5F9"/>
          </w:tcPr>
          <w:p>
            <w:pPr>
              <w:spacing w:after="0" w:line="240" w:lineRule="auto"/>
            </w:pPr>
            <w:r>
              <w:rPr>
                <w:sz w:val="17"/>
              </w:rPr>
              <w:t>Catégories, leaders et pourquoi</w:t>
            </w:r>
          </w:p>
        </w:tc>
        <w:tc>
          <w:tcPr>
            <w:tcW w:type="dxa" w:w="1701"/>
            <w:vAlign w:val="center"/>
            <w:shd w:val="clear" w:color="auto" w:fill="F3F5F9"/>
          </w:tcPr>
          <w:p>
            <w:pPr>
              <w:spacing w:after="0" w:line="240" w:lineRule="auto"/>
            </w:pPr>
            <w:r>
              <w:rPr>
                <w:sz w:val="17"/>
              </w:rPr>
              <w:t>§ 5.3</w:t>
            </w:r>
          </w:p>
        </w:tc>
        <w:tc>
          <w:tcPr>
            <w:tcW w:type="dxa" w:w="3515"/>
            <w:vAlign w:val="center"/>
            <w:shd w:val="clear" w:color="auto" w:fill="F3F5F9"/>
          </w:tcPr>
          <w:p>
            <w:pPr>
              <w:spacing w:after="0" w:line="240" w:lineRule="auto"/>
            </w:pPr>
            <w:r>
              <w:rPr>
                <w:sz w:val="17"/>
              </w:rPr>
              <w:t>Catégories &amp; TreeMap (A à C), Synthèse</w:t>
            </w:r>
          </w:p>
        </w:tc>
      </w:tr>
      <w:tr>
        <w:trPr>
          <w:cantSplit/>
        </w:trPr>
        <w:tc>
          <w:tcPr>
            <w:tcW w:type="dxa" w:w="4309"/>
            <w:vAlign w:val="center"/>
          </w:tcPr>
          <w:p>
            <w:pPr>
              <w:spacing w:after="0" w:line="240" w:lineRule="auto"/>
            </w:pPr>
            <w:r>
              <w:rPr>
                <w:sz w:val="17"/>
              </w:rPr>
              <w:t>TreeMap : taille = valeur, couleur = catégorie</w:t>
            </w:r>
          </w:p>
        </w:tc>
        <w:tc>
          <w:tcPr>
            <w:tcW w:type="dxa" w:w="1701"/>
            <w:vAlign w:val="center"/>
          </w:tcPr>
          <w:p>
            <w:pPr>
              <w:spacing w:after="0" w:line="240" w:lineRule="auto"/>
            </w:pPr>
            <w:r>
              <w:rPr>
                <w:sz w:val="17"/>
              </w:rPr>
              <w:t>§ 5.3</w:t>
            </w:r>
          </w:p>
        </w:tc>
        <w:tc>
          <w:tcPr>
            <w:tcW w:type="dxa" w:w="3515"/>
            <w:vAlign w:val="center"/>
          </w:tcPr>
          <w:p>
            <w:pPr>
              <w:spacing w:after="0" w:line="240" w:lineRule="auto"/>
            </w:pPr>
            <w:r>
              <w:rPr>
                <w:sz w:val="17"/>
              </w:rPr>
              <w:t>Catégories &amp; TreeMap (D)</w:t>
            </w:r>
          </w:p>
        </w:tc>
      </w:tr>
      <w:tr>
        <w:trPr>
          <w:cantSplit/>
        </w:trPr>
        <w:tc>
          <w:tcPr>
            <w:tcW w:type="dxa" w:w="4309"/>
            <w:vAlign w:val="center"/>
            <w:shd w:val="clear" w:color="auto" w:fill="F3F5F9"/>
          </w:tcPr>
          <w:p>
            <w:pPr>
              <w:spacing w:after="0" w:line="240" w:lineRule="auto"/>
            </w:pPr>
            <w:r>
              <w:rPr>
                <w:sz w:val="17"/>
              </w:rPr>
              <w:t>Version client défendue, droit de détenir les données</w:t>
            </w:r>
          </w:p>
        </w:tc>
        <w:tc>
          <w:tcPr>
            <w:tcW w:type="dxa" w:w="1701"/>
            <w:vAlign w:val="center"/>
            <w:shd w:val="clear" w:color="auto" w:fill="F3F5F9"/>
          </w:tcPr>
          <w:p>
            <w:pPr>
              <w:spacing w:after="0" w:line="240" w:lineRule="auto"/>
            </w:pPr>
            <w:r>
              <w:rPr>
                <w:sz w:val="17"/>
              </w:rPr>
              <w:t>§ 8</w:t>
            </w:r>
          </w:p>
        </w:tc>
        <w:tc>
          <w:tcPr>
            <w:tcW w:type="dxa" w:w="3515"/>
            <w:vAlign w:val="center"/>
            <w:shd w:val="clear" w:color="auto" w:fill="F3F5F9"/>
          </w:tcPr>
          <w:p>
            <w:pPr>
              <w:spacing w:after="0" w:line="240" w:lineRule="auto"/>
            </w:pPr>
            <w:r>
              <w:rPr>
                <w:sz w:val="17"/>
              </w:rPr>
              <w:t>Méthode &amp; limites (6)</w:t>
            </w:r>
          </w:p>
        </w:tc>
      </w:tr>
      <w:tr>
        <w:trPr>
          <w:cantSplit/>
        </w:trPr>
        <w:tc>
          <w:tcPr>
            <w:tcW w:type="dxa" w:w="4309"/>
            <w:vAlign w:val="center"/>
          </w:tcPr>
          <w:p>
            <w:pPr>
              <w:spacing w:after="0" w:line="240" w:lineRule="auto"/>
            </w:pPr>
            <w:r>
              <w:rPr>
                <w:sz w:val="17"/>
              </w:rPr>
              <w:t>Rien d'exclu récupérable ; classeur autonome</w:t>
            </w:r>
          </w:p>
        </w:tc>
        <w:tc>
          <w:tcPr>
            <w:tcW w:type="dxa" w:w="1701"/>
            <w:vAlign w:val="center"/>
          </w:tcPr>
          <w:p>
            <w:pPr>
              <w:spacing w:after="0" w:line="240" w:lineRule="auto"/>
            </w:pPr>
            <w:r>
              <w:rPr>
                <w:sz w:val="17"/>
              </w:rPr>
              <w:t>§ 8</w:t>
            </w:r>
          </w:p>
        </w:tc>
        <w:tc>
          <w:tcPr>
            <w:tcW w:type="dxa" w:w="3515"/>
            <w:vAlign w:val="center"/>
          </w:tcPr>
          <w:p>
            <w:pPr>
              <w:spacing w:after="0" w:line="240" w:lineRule="auto"/>
            </w:pPr>
            <w:r>
              <w:rPr>
                <w:sz w:val="17"/>
              </w:rPr>
              <w:t>Tout le fichier</w:t>
            </w:r>
          </w:p>
        </w:tc>
      </w:tr>
      <w:tr>
        <w:trPr>
          <w:cantSplit/>
        </w:trPr>
        <w:tc>
          <w:tcPr>
            <w:tcW w:type="dxa" w:w="4309"/>
            <w:vAlign w:val="center"/>
            <w:shd w:val="clear" w:color="auto" w:fill="F3F5F9"/>
          </w:tcPr>
          <w:p>
            <w:pPr>
              <w:spacing w:after="0" w:line="240" w:lineRule="auto"/>
            </w:pPr>
            <w:r>
              <w:rPr>
                <w:sz w:val="17"/>
              </w:rPr>
              <w:t>Données préparées, tableaux croisés, graphiques, conclusions</w:t>
            </w:r>
          </w:p>
        </w:tc>
        <w:tc>
          <w:tcPr>
            <w:tcW w:type="dxa" w:w="1701"/>
            <w:vAlign w:val="center"/>
            <w:shd w:val="clear" w:color="auto" w:fill="F3F5F9"/>
          </w:tcPr>
          <w:p>
            <w:pPr>
              <w:spacing w:after="0" w:line="240" w:lineRule="auto"/>
            </w:pPr>
            <w:r>
              <w:rPr>
                <w:sz w:val="17"/>
              </w:rPr>
              <w:t>§ 9</w:t>
            </w:r>
          </w:p>
        </w:tc>
        <w:tc>
          <w:tcPr>
            <w:tcW w:type="dxa" w:w="3515"/>
            <w:vAlign w:val="center"/>
            <w:shd w:val="clear" w:color="auto" w:fill="F3F5F9"/>
          </w:tcPr>
          <w:p>
            <w:pPr>
              <w:spacing w:after="0" w:line="240" w:lineRule="auto"/>
            </w:pPr>
            <w:r>
              <w:rPr>
                <w:sz w:val="17"/>
              </w:rPr>
              <w:t>Données, 3 tableaux croisés, 5 graphiques</w:t>
            </w:r>
          </w:p>
        </w:tc>
      </w:tr>
      <w:tr>
        <w:trPr>
          <w:cantSplit/>
        </w:trPr>
        <w:tc>
          <w:tcPr>
            <w:tcW w:type="dxa" w:w="4309"/>
            <w:vAlign w:val="center"/>
          </w:tcPr>
          <w:p>
            <w:pPr>
              <w:spacing w:after="0" w:line="240" w:lineRule="auto"/>
            </w:pPr>
            <w:r>
              <w:rPr>
                <w:sz w:val="17"/>
              </w:rPr>
              <w:t>Ouvrir sur les conclusions, sans parcourir les données</w:t>
            </w:r>
          </w:p>
        </w:tc>
        <w:tc>
          <w:tcPr>
            <w:tcW w:type="dxa" w:w="1701"/>
            <w:vAlign w:val="center"/>
          </w:tcPr>
          <w:p>
            <w:pPr>
              <w:spacing w:after="0" w:line="240" w:lineRule="auto"/>
            </w:pPr>
            <w:r>
              <w:rPr>
                <w:sz w:val="17"/>
              </w:rPr>
              <w:t>§ 9</w:t>
            </w:r>
          </w:p>
        </w:tc>
        <w:tc>
          <w:tcPr>
            <w:tcW w:type="dxa" w:w="3515"/>
            <w:vAlign w:val="center"/>
          </w:tcPr>
          <w:p>
            <w:pPr>
              <w:spacing w:after="0" w:line="240" w:lineRule="auto"/>
            </w:pPr>
            <w:r>
              <w:rPr>
                <w:sz w:val="17"/>
              </w:rPr>
              <w:t>Synthèse</w:t>
            </w:r>
          </w:p>
        </w:tc>
      </w:tr>
    </w:tbl>
    <w:p>
      <w:pPr>
        <w:spacing w:after="40"/>
      </w:pPr>
    </w:p>
    <w:sectPr w:rsidR="00FC693F" w:rsidRPr="0006063C" w:rsidSect="00034616">
      <w:footerReference w:type="default" r:id="rId9"/>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Dataviz Studio · présentation écrite du classeur · page </w:t>
    </w:r>
    <w:fldSimple w:instr="PAGE">
      <w:r>
        <w:rPr>
          <w:sz w:val="17"/>
          <w:color w:val="595959"/>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0"/>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eastAsia="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Qu'est-ce qui fait performer un contenu TikTok ?</dc:title>
  <dc:subject>Rush 1 — Dataviz Studio : présentation écrite du classeur</dc:subject>
  <dc:creator>Seif-allah Fares</dc:creator>
  <cp:keywords/>
  <dc:description/>
  <cp:lastModifiedBy>Seif-allah Fares</cp:lastModifiedBy>
  <cp:revision>1</cp:revision>
  <dcterms:created xsi:type="dcterms:W3CDTF">2026-10-06T20:14:04Z</dcterms:created>
  <dcterms:modified xsi:type="dcterms:W3CDTF">2026-10-06T20:14:04Z</dcterms:modified>
  <cp:category/>
  <cp:contentStatus/>
  <dc:language>fr-FR</dc:language>
</cp:coreProperties>
</file>