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5753E4">
      <w:pPr>
        <w:pStyle w:val="31"/>
      </w:pPr>
      <w:r>
        <w:rPr>
          <w:rFonts w:hint="eastAsia"/>
          <w:lang w:val="en-US" w:eastAsia="zh-CN"/>
        </w:rPr>
        <w:t>年</w:t>
      </w:r>
      <w:r>
        <w:t>度经营分析报</w:t>
      </w:r>
      <w:bookmarkStart w:id="0" w:name="_GoBack"/>
      <w:bookmarkEnd w:id="0"/>
      <w:r>
        <w:t>告</w:t>
      </w:r>
      <w:r>
        <w:rPr>
          <w:rFonts w:hint="eastAsia"/>
        </w:rPr>
        <w:t>(示例)</w:t>
      </w:r>
    </w:p>
    <w:p w14:paraId="28CDFBC3">
      <w:pPr>
        <w:pStyle w:val="3"/>
      </w:pPr>
      <w:r>
        <w:t>一、整体业绩</w:t>
      </w:r>
    </w:p>
    <w:p w14:paraId="469521F4">
      <w:r>
        <w:t>本</w:t>
      </w:r>
      <w:r>
        <w:rPr>
          <w:rFonts w:hint="eastAsia" w:eastAsia="宋体"/>
          <w:lang w:val="en-US" w:eastAsia="zh-CN"/>
        </w:rPr>
        <w:t>年</w:t>
      </w:r>
      <w:r>
        <w:t xml:space="preserve">度公司整体营收达到 </w:t>
      </w:r>
      <w:r>
        <w:rPr>
          <w:b/>
        </w:rPr>
        <w:t>1280 万元</w:t>
      </w:r>
      <w:r>
        <w:t>，同比增长 23%，主要增长来自海外市场。</w:t>
      </w:r>
    </w:p>
    <w:p w14:paraId="0A407E92">
      <w:pPr>
        <w:pStyle w:val="3"/>
      </w:pPr>
      <w:r>
        <w:t>二、分产品线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1BA900C">
        <w:tc>
          <w:tcPr>
            <w:tcW w:w="2880" w:type="dxa"/>
          </w:tcPr>
          <w:p w14:paraId="7672A51E">
            <w:pPr>
              <w:spacing w:after="0" w:line="240" w:lineRule="auto"/>
            </w:pPr>
            <w:r>
              <w:t>产品线</w:t>
            </w:r>
          </w:p>
        </w:tc>
        <w:tc>
          <w:tcPr>
            <w:tcW w:w="2880" w:type="dxa"/>
          </w:tcPr>
          <w:p w14:paraId="0EED42B8">
            <w:pPr>
              <w:spacing w:after="0" w:line="240" w:lineRule="auto"/>
            </w:pPr>
            <w:r>
              <w:t>营收（万元）</w:t>
            </w:r>
          </w:p>
        </w:tc>
        <w:tc>
          <w:tcPr>
            <w:tcW w:w="2880" w:type="dxa"/>
          </w:tcPr>
          <w:p w14:paraId="4B3A7456">
            <w:pPr>
              <w:spacing w:after="0" w:line="240" w:lineRule="auto"/>
            </w:pPr>
            <w:r>
              <w:t>同比</w:t>
            </w:r>
          </w:p>
        </w:tc>
      </w:tr>
      <w:tr w14:paraId="020E2C25">
        <w:tc>
          <w:tcPr>
            <w:tcW w:w="2880" w:type="dxa"/>
          </w:tcPr>
          <w:p w14:paraId="0D44BA80">
            <w:pPr>
              <w:spacing w:after="0" w:line="240" w:lineRule="auto"/>
            </w:pPr>
            <w:r>
              <w:t>笔记本电脑</w:t>
            </w:r>
          </w:p>
        </w:tc>
        <w:tc>
          <w:tcPr>
            <w:tcW w:w="2880" w:type="dxa"/>
          </w:tcPr>
          <w:p w14:paraId="2D8FC5A5">
            <w:pPr>
              <w:spacing w:after="0" w:line="240" w:lineRule="auto"/>
            </w:pPr>
            <w:r>
              <w:t>620</w:t>
            </w:r>
          </w:p>
        </w:tc>
        <w:tc>
          <w:tcPr>
            <w:tcW w:w="2880" w:type="dxa"/>
          </w:tcPr>
          <w:p w14:paraId="071E6231">
            <w:pPr>
              <w:spacing w:after="0" w:line="240" w:lineRule="auto"/>
            </w:pPr>
            <w:r>
              <w:t>+31%</w:t>
            </w:r>
          </w:p>
        </w:tc>
      </w:tr>
      <w:tr w14:paraId="5DF25506">
        <w:tc>
          <w:tcPr>
            <w:tcW w:w="2880" w:type="dxa"/>
          </w:tcPr>
          <w:p w14:paraId="6E1DD47C">
            <w:pPr>
              <w:spacing w:after="0" w:line="240" w:lineRule="auto"/>
            </w:pPr>
            <w:r>
              <w:t>台式机</w:t>
            </w:r>
          </w:p>
        </w:tc>
        <w:tc>
          <w:tcPr>
            <w:tcW w:w="2880" w:type="dxa"/>
          </w:tcPr>
          <w:p w14:paraId="77B097A2">
            <w:pPr>
              <w:spacing w:after="0" w:line="240" w:lineRule="auto"/>
            </w:pPr>
            <w:r>
              <w:t>410</w:t>
            </w:r>
          </w:p>
        </w:tc>
        <w:tc>
          <w:tcPr>
            <w:tcW w:w="2880" w:type="dxa"/>
          </w:tcPr>
          <w:p w14:paraId="5CD2885F">
            <w:pPr>
              <w:spacing w:after="0" w:line="240" w:lineRule="auto"/>
            </w:pPr>
            <w:r>
              <w:t>+12%</w:t>
            </w:r>
          </w:p>
        </w:tc>
      </w:tr>
      <w:tr w14:paraId="1EB8872F">
        <w:tc>
          <w:tcPr>
            <w:tcW w:w="2880" w:type="dxa"/>
          </w:tcPr>
          <w:p w14:paraId="7A5E9E53">
            <w:pPr>
              <w:spacing w:after="0" w:line="240" w:lineRule="auto"/>
            </w:pPr>
            <w:r>
              <w:t>显示器</w:t>
            </w:r>
          </w:p>
        </w:tc>
        <w:tc>
          <w:tcPr>
            <w:tcW w:w="2880" w:type="dxa"/>
          </w:tcPr>
          <w:p w14:paraId="383D0903">
            <w:pPr>
              <w:spacing w:after="0" w:line="240" w:lineRule="auto"/>
            </w:pPr>
            <w:r>
              <w:t>250</w:t>
            </w:r>
          </w:p>
        </w:tc>
        <w:tc>
          <w:tcPr>
            <w:tcW w:w="2880" w:type="dxa"/>
          </w:tcPr>
          <w:p w14:paraId="40569A04">
            <w:pPr>
              <w:spacing w:after="0" w:line="240" w:lineRule="auto"/>
            </w:pPr>
            <w:r>
              <w:t>+8%</w:t>
            </w:r>
          </w:p>
        </w:tc>
      </w:tr>
    </w:tbl>
    <w:p w14:paraId="67A4FCBA">
      <w:pPr>
        <w:pStyle w:val="3"/>
      </w:pPr>
      <w:r>
        <w:t>三、下一步计划</w:t>
      </w:r>
    </w:p>
    <w:p w14:paraId="3A55D9EB">
      <w:pPr>
        <w:pStyle w:val="16"/>
      </w:pPr>
      <w:r>
        <w:t>拓展东南亚渠道，预计投入 500 万元</w:t>
      </w:r>
    </w:p>
    <w:p w14:paraId="414C323E">
      <w:pPr>
        <w:pStyle w:val="16"/>
      </w:pPr>
      <w:r>
        <w:t>Q4 推出新一代产品线</w:t>
      </w:r>
    </w:p>
    <w:p w14:paraId="58E0369E">
      <w:pPr>
        <w:pStyle w:val="16"/>
      </w:pPr>
      <w:r>
        <w:t>优化供应链，目标降低 8% 成本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E5787EA"/>
    <w:rsid w:val="FF8F3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Office_12.1.29166.29166_F1E327BC-269C-435d-A152-05C5408002CA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范-RUI</cp:lastModifiedBy>
  <dcterms:modified xsi:type="dcterms:W3CDTF">2026-10-02T01:40:07Z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2052-12.1.29166.29166</vt:lpwstr>
  </property>
  <property fmtid="{D5CDD505-2E9C-101B-9397-08002B2CF9AE}" pid="3" name="ICV">
    <vt:lpwstr>24AEDD5E99FFB060AF9ABE6A3E3E5F13_42</vt:lpwstr>
  </property>
</Properties>
</file>