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565a5c"/>
          <w:sz w:val="27"/>
          <w:szCs w:val="27"/>
        </w:rPr>
      </w:pPr>
      <w:r w:rsidDel="00000000" w:rsidR="00000000" w:rsidRPr="00000000">
        <w:rPr>
          <w:color w:val="565a5c"/>
          <w:sz w:val="27"/>
          <w:szCs w:val="27"/>
        </w:rPr>
        <w:drawing>
          <wp:inline distB="114300" distT="114300" distL="114300" distR="114300">
            <wp:extent cx="4904560" cy="32146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56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7"/>
          <w:szCs w:val="27"/>
        </w:rPr>
        <w:drawing>
          <wp:inline distB="114300" distT="114300" distL="114300" distR="114300">
            <wp:extent cx="4211772" cy="48529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772" cy="485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7"/>
          <w:szCs w:val="27"/>
        </w:rPr>
        <w:drawing>
          <wp:inline distB="114300" distT="114300" distL="114300" distR="114300">
            <wp:extent cx="4891088" cy="345668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456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7"/>
          <w:szCs w:val="27"/>
        </w:rPr>
        <w:drawing>
          <wp:inline distB="114300" distT="114300" distL="114300" distR="114300">
            <wp:extent cx="5481638" cy="224009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240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7"/>
          <w:szCs w:val="27"/>
        </w:rPr>
        <w:drawing>
          <wp:inline distB="114300" distT="114300" distL="114300" distR="114300">
            <wp:extent cx="5943600" cy="2413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7"/>
          <w:szCs w:val="27"/>
        </w:rPr>
        <w:drawing>
          <wp:inline distB="114300" distT="114300" distL="114300" distR="114300">
            <wp:extent cx="5538788" cy="251198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51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7"/>
          <w:szCs w:val="27"/>
        </w:rPr>
        <w:drawing>
          <wp:inline distB="114300" distT="114300" distL="114300" distR="114300">
            <wp:extent cx="5943600" cy="2260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7"/>
          <w:szCs w:val="27"/>
        </w:rPr>
        <w:drawing>
          <wp:inline distB="114300" distT="114300" distL="114300" distR="114300">
            <wp:extent cx="5253038" cy="427651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27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an INNER JOIN which selects only matching left and right table rows. This produced a table of first and last names for each of the four departments based on the condition: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Employee.Department_ID = Department.Department_ID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Employee and Department table share the Department_ID column. This was the cardinality between the two tables, which allowed access to all matching rows.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CSV file contained eleven records.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84e"/>
          <w:sz w:val="24"/>
          <w:szCs w:val="24"/>
          <w:highlight w:val="white"/>
          <w:rtl w:val="0"/>
        </w:rPr>
        <w:t xml:space="preserve">Data Extraction refers to the process of retrieving data from one format into a more “useful” format for further processing (Perez, 2022). This was demonstrated in the query below, where custom matching information was extracted from 2 different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65a5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565a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4"/>
          <w:szCs w:val="24"/>
          <w:rtl w:val="0"/>
        </w:rPr>
        <w:t xml:space="preserve">Produce a table with the columns first name, last name, and Department_Name on the Department table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First_Name,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Last_Name,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Department.Department_Name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565a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4"/>
          <w:szCs w:val="24"/>
          <w:rtl w:val="0"/>
        </w:rPr>
        <w:t xml:space="preserve">from the matching rows of the Employee and Department table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Employee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4"/>
          <w:szCs w:val="24"/>
          <w:rtl w:val="0"/>
        </w:rPr>
        <w:t xml:space="preserve">INNER JOIN</w:t>
      </w: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Roboto Mono" w:cs="Roboto Mono" w:eastAsia="Roboto Mono" w:hAnsi="Roboto Mono"/>
          <w:color w:val="565a5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565a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4"/>
          <w:szCs w:val="24"/>
          <w:rtl w:val="0"/>
        </w:rPr>
        <w:t xml:space="preserve">wherein the Department_ID for both tables is either 2 or 3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Employee.Department_ID = 3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65a5c"/>
          <w:sz w:val="24"/>
          <w:szCs w:val="24"/>
          <w:rtl w:val="0"/>
        </w:rPr>
        <w:t xml:space="preserve">Employee.Department_ID = 2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560" w:firstLine="0"/>
        <w:rPr>
          <w:rFonts w:ascii="Times New Roman" w:cs="Times New Roman" w:eastAsia="Times New Roman" w:hAnsi="Times New Roman"/>
          <w:color w:val="565a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4"/>
          <w:szCs w:val="24"/>
          <w:rtl w:val="0"/>
        </w:rPr>
        <w:t xml:space="preserve">Perez, M. (2022, February 2).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sz w:val="24"/>
          <w:szCs w:val="24"/>
          <w:rtl w:val="0"/>
        </w:rPr>
        <w:t xml:space="preserve">What is data extraction and what is it used for?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4"/>
          <w:szCs w:val="24"/>
          <w:rtl w:val="0"/>
        </w:rPr>
        <w:t xml:space="preserve"> ParseHub. Retrieved November 11, 2022, from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What is Data Extraction and What is it Used For? | ParseHub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65a5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 Mono" w:cs="Roboto Mono" w:eastAsia="Roboto Mono" w:hAnsi="Roboto Mono"/>
          <w:b w:val="1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https://www.parsehub.com/blog/data-extract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