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Use case little animal horror zoo:</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Scope: Game</w:t>
        <w:br w:type="textWrapping"/>
      </w:r>
    </w:p>
    <w:p w:rsidR="00000000" w:rsidDel="00000000" w:rsidP="00000000" w:rsidRDefault="00000000" w:rsidRPr="00000000" w14:paraId="00000003">
      <w:pPr>
        <w:contextualSpacing w:val="0"/>
        <w:rPr/>
      </w:pPr>
      <w:r w:rsidDel="00000000" w:rsidR="00000000" w:rsidRPr="00000000">
        <w:rPr>
          <w:rtl w:val="0"/>
        </w:rPr>
        <w:t xml:space="preserve">Primary actor: User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Preconditions: PC with jGRAPS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Success Guarantee: Game complete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Main Success Scenario: The game runs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Extensions: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Special Requirements: The Java code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Frequency of Occurrence: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Miscellaneous: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To run the little animal horror zoo game, the user needs a PC with JDK and jGRAPS installed on their PC that is able to fully run the game and complete it with either the snake catching the rabbit on the board game or the rabbit begging for its life to be spared.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