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143000" cy="961053"/>
            <wp:effectExtent b="0" l="0" r="0" t="0"/>
            <wp:docPr id="5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143000" cy="961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 </w:t>
      </w:r>
    </w:p>
    <w:p w:rsidR="00000000" w:rsidDel="00000000" w:rsidP="00000000" w:rsidRDefault="00000000" w:rsidRPr="00000000" w14:paraId="00000004">
      <w:pPr>
        <w:pBdr>
          <w:left w:color="auto" w:space="0" w:sz="0" w:val="none"/>
          <w:right w:color="auto" w:space="0" w:sz="0" w:val="none"/>
        </w:pBd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 INGENIERÍA DE SOFTWARE 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Integral para Finet y Cable Mágico Litoral </w:t>
      </w:r>
    </w:p>
    <w:p w:rsidR="00000000" w:rsidDel="00000000" w:rsidP="00000000" w:rsidRDefault="00000000" w:rsidRPr="00000000" w14:paraId="00000006">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N° 1</w:t>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Simón Abarca Palacios </w:t>
      </w:r>
    </w:p>
    <w:p w:rsidR="00000000" w:rsidDel="00000000" w:rsidP="00000000" w:rsidRDefault="00000000" w:rsidRPr="00000000" w14:paraId="00000010">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Bastian Cifuentes Marambio </w:t>
      </w:r>
    </w:p>
    <w:p w:rsidR="00000000" w:rsidDel="00000000" w:rsidP="00000000" w:rsidRDefault="00000000" w:rsidRPr="00000000" w14:paraId="00000011">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Andrés Farías Cárcamo </w:t>
      </w:r>
    </w:p>
    <w:p w:rsidR="00000000" w:rsidDel="00000000" w:rsidP="00000000" w:rsidRDefault="00000000" w:rsidRPr="00000000" w14:paraId="00000012">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Vicente Heilenkötter Angulo </w:t>
      </w:r>
    </w:p>
    <w:p w:rsidR="00000000" w:rsidDel="00000000" w:rsidP="00000000" w:rsidRDefault="00000000" w:rsidRPr="00000000" w14:paraId="00000013">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Belén Morán Valdebenito </w:t>
      </w:r>
    </w:p>
    <w:p w:rsidR="00000000" w:rsidDel="00000000" w:rsidP="00000000" w:rsidRDefault="00000000" w:rsidRPr="00000000" w14:paraId="00000014">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Uriel Esteban Navarrete Cadima </w:t>
      </w:r>
    </w:p>
    <w:p w:rsidR="00000000" w:rsidDel="00000000" w:rsidP="00000000" w:rsidRDefault="00000000" w:rsidRPr="00000000" w14:paraId="00000015">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Fabiola Rocio Oses Yáñez </w:t>
      </w:r>
    </w:p>
    <w:p w:rsidR="00000000" w:rsidDel="00000000" w:rsidP="00000000" w:rsidRDefault="00000000" w:rsidRPr="00000000" w14:paraId="00000016">
      <w:pPr>
        <w:pBdr>
          <w:left w:color="auto" w:space="0" w:sz="0" w:val="none"/>
          <w:right w:color="auto" w:space="0" w:sz="0" w:val="none"/>
        </w:pBd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CONTENIDOS</w:t>
      </w:r>
    </w:p>
    <w:p w:rsidR="00000000" w:rsidDel="00000000" w:rsidP="00000000" w:rsidRDefault="00000000" w:rsidRPr="00000000" w14:paraId="0000001C">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before="160" w:line="276" w:lineRule="auto"/>
        <w:rPr>
          <w:rFonts w:ascii="Times New Roman" w:cs="Times New Roman" w:eastAsia="Times New Roman" w:hAnsi="Times New Roman"/>
          <w:b w:val="1"/>
          <w:bCs w:val="1"/>
          <w:sz w:val="28"/>
          <w:szCs w:val="28"/>
        </w:rPr>
      </w:pPr>
      <w:bookmarkStart w:colFirst="0" w:colLast="0" w:name="_xbb2yjo9cigz" w:id="0"/>
      <w:bookmarkEnd w:id="0"/>
      <w:r w:rsidDel="00000000" w:rsidR="00000000" w:rsidRPr="00000000">
        <w:rPr>
          <w:rFonts w:ascii="Times New Roman" w:cs="Times New Roman" w:eastAsia="Times New Roman" w:hAnsi="Times New Roman"/>
          <w:b w:val="1"/>
          <w:bCs w:val="1"/>
          <w:sz w:val="28"/>
          <w:szCs w:val="28"/>
          <w:rtl w:val="0"/>
        </w:rPr>
        <w:t xml:space="preserve">Índice de figuras</w:t>
      </w:r>
    </w:p>
    <w:p w:rsidR="00000000" w:rsidDel="00000000" w:rsidP="00000000" w:rsidRDefault="00000000" w:rsidRPr="00000000" w14:paraId="0000001E">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before="160" w:line="276" w:lineRule="auto"/>
        <w:rPr>
          <w:rFonts w:ascii="Times New Roman" w:cs="Times New Roman" w:eastAsia="Times New Roman" w:hAnsi="Times New Roman"/>
          <w:b w:val="1"/>
          <w:bCs w:val="1"/>
          <w:sz w:val="28"/>
          <w:szCs w:val="28"/>
        </w:rPr>
      </w:pPr>
      <w:bookmarkStart w:colFirst="0" w:colLast="0" w:name="_fhvodqyfxhv" w:id="1"/>
      <w:bookmarkEnd w:id="1"/>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20">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Primer Incremento del proyecto “Sistema de Gestión Integral para Finet y Cable Mágico Litoral”, cuyo propósito es continuar el trabajo definido en el Documento 0 mediante la documentación y construcción del avance funcional inicial del módulo de gestión de inventario. Este incremento se levanta sobre los requerimientos, casos de uso extendidos y matriz de trazabilidad ya definidos para ambas empresas, que comparten propietario pero operan de forma independiente.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previo establece que Finet Limitada y Cable Mágico Litoral gestionan su inventario de equipos de telecomunicaciones con herramientas no integradas y registros manuales, lo que dificulta la trazabilidad de cada unidad, el control de stock, la separación de datos por empresa y el seguimiento del ciclo de vida de los equipos. El sistema propuesto centraliza esta gestión en una plataforma web con separación de datos por empresa, control de roles y un registro de auditoría inmutable.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primer incremento se consideran los casos de uso CU-01 a CU-46, que corresponden a los flujos fundamentales de autenticación y seguridad, gestión de usuarios y roles, contexto y aislamiento por empresa, transferencias inter-empresa, catálogo de tipos de equipo, registro y ciclo de vida de las unidades de equipo, y gestión de bodegas y stock. Estos 46 casos de uso, sobre un total de 96 definidos en el Documento 0, representan una cobertura aproximada del 48% del sistema, superando el 30% mínimo exigido por la rúbrica para el primer incremento. El incremento se acompaña del código fuente desarrollado bajo el stack tecnológico aprobado: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sobre Node.js 20 LTS y base de datos PostgreSQL con un esquema independiente por empresa.</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240" w:line="276" w:lineRule="auto"/>
        <w:rPr>
          <w:rFonts w:ascii="Times New Roman" w:cs="Times New Roman" w:eastAsia="Times New Roman" w:hAnsi="Times New Roman"/>
          <w:b w:val="1"/>
          <w:bCs w:val="1"/>
          <w:sz w:val="28"/>
          <w:szCs w:val="28"/>
        </w:rPr>
      </w:pPr>
      <w:bookmarkStart w:colFirst="0" w:colLast="0" w:name="_viukrt6srciw" w:id="2"/>
      <w:bookmarkEnd w:id="2"/>
      <w:r w:rsidDel="00000000" w:rsidR="00000000" w:rsidRPr="00000000">
        <w:rPr>
          <w:rFonts w:ascii="Times New Roman" w:cs="Times New Roman" w:eastAsia="Times New Roman" w:hAnsi="Times New Roman"/>
          <w:b w:val="1"/>
          <w:bCs w:val="1"/>
          <w:sz w:val="28"/>
          <w:szCs w:val="28"/>
          <w:rtl w:val="0"/>
        </w:rPr>
        <w:t xml:space="preserve">2. PROPUESTA DE SOLUCIÓN E INCREMENTO</w:t>
      </w:r>
    </w:p>
    <w:p w:rsidR="00000000" w:rsidDel="00000000" w:rsidP="00000000" w:rsidRDefault="00000000" w:rsidRPr="00000000" w14:paraId="00000027">
      <w:pPr>
        <w:pStyle w:val="Heading2"/>
        <w:spacing w:before="160" w:line="276" w:lineRule="auto"/>
        <w:rPr>
          <w:rFonts w:ascii="Times New Roman" w:cs="Times New Roman" w:eastAsia="Times New Roman" w:hAnsi="Times New Roman"/>
          <w:b w:val="1"/>
          <w:bCs w:val="1"/>
          <w:sz w:val="28"/>
          <w:szCs w:val="28"/>
        </w:rPr>
      </w:pPr>
      <w:bookmarkStart w:colFirst="0" w:colLast="0" w:name="_4ani4clfetmy" w:id="3"/>
      <w:bookmarkEnd w:id="3"/>
      <w:r w:rsidDel="00000000" w:rsidR="00000000" w:rsidRPr="00000000">
        <w:rPr>
          <w:rFonts w:ascii="Times New Roman" w:cs="Times New Roman" w:eastAsia="Times New Roman" w:hAnsi="Times New Roman"/>
          <w:b w:val="1"/>
          <w:bCs w:val="1"/>
          <w:sz w:val="28"/>
          <w:szCs w:val="28"/>
          <w:rtl w:val="0"/>
        </w:rPr>
        <w:t xml:space="preserve">2.1. Descripción general de la solución</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una plataforma web de gestión de inventario que centraliza el control de los equipos de telecomunicaciones de Finet y Cable Mágico Litoral. La arquitectura se organiza bajo una separación BCE (Boundary–Control–Entity): los actores interactúan con vistas identificadas con el prefijo V_, las vistas delegan la lógica en controladores identificados con el prefijo C_, y la persistencia se realiza mediante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sobre tablas separadas por esquema de empresa, dando cumplimiento al requerimiento de aislamiento de datos (RNF-09).</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incremento se priorizan las funcionalidades transversales que habilitan la operación del sistema: autenticación con bloqueo por intentos fallidos, gestión de roles con permisos acumulativos, registro de auditoría inmutable, carga de contexto y aislamiento por empresa, dashboard consolidado para el Superusuario, transferencias inter-empresa con aprobación, catálogo centralizado de tipos de equipo, registro de unidades individualizables y consumibles, gestión del ciclo de vida de los equipos, control de garantías y administración de bodegas con umbral de stock mínimo.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spacing w:before="160" w:line="276" w:lineRule="auto"/>
        <w:rPr>
          <w:rFonts w:ascii="Times New Roman" w:cs="Times New Roman" w:eastAsia="Times New Roman" w:hAnsi="Times New Roman"/>
          <w:b w:val="1"/>
          <w:bCs w:val="1"/>
          <w:sz w:val="28"/>
          <w:szCs w:val="28"/>
        </w:rPr>
      </w:pPr>
      <w:bookmarkStart w:colFirst="0" w:colLast="0" w:name="_oan0urp96pm1" w:id="4"/>
      <w:bookmarkEnd w:id="4"/>
      <w:r w:rsidDel="00000000" w:rsidR="00000000" w:rsidRPr="00000000">
        <w:rPr>
          <w:rFonts w:ascii="Times New Roman" w:cs="Times New Roman" w:eastAsia="Times New Roman" w:hAnsi="Times New Roman"/>
          <w:b w:val="1"/>
          <w:bCs w:val="1"/>
          <w:sz w:val="28"/>
          <w:szCs w:val="28"/>
          <w:rtl w:val="0"/>
        </w:rPr>
        <w:t xml:space="preserve">2.2. Alcance del primer incremento</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primer incremento está compuesto por los 46 casos de uso CU-01 a CU-46, agrupados en seis módulos funcionales: autenticación, usuarios y seguridad; contexto y aislamiento por empresa; transferencias inter-empresa; catálogo de tipos de equipo; unidades de equipo y ciclo de vida; y gestión de bodegas y stock. No se incluyen en este incremento los flujos de ingreso desde proveedor, salida a técnico y cierres de terreno, devoluciones, préstamos externos, reportes y notificaciones, los cuales se abordarán en incrementos posteriores (CU-47 a CU-96).</w:t>
      </w:r>
      <w:r w:rsidDel="00000000" w:rsidR="00000000" w:rsidRPr="00000000">
        <w:rPr>
          <w:rtl w:val="0"/>
        </w:rPr>
      </w:r>
    </w:p>
    <w:p w:rsidR="00000000" w:rsidDel="00000000" w:rsidP="00000000" w:rsidRDefault="00000000" w:rsidRPr="00000000" w14:paraId="0000002D">
      <w:pPr>
        <w:pStyle w:val="Heading2"/>
        <w:spacing w:before="160" w:line="276" w:lineRule="auto"/>
        <w:rPr>
          <w:rFonts w:ascii="Times New Roman" w:cs="Times New Roman" w:eastAsia="Times New Roman" w:hAnsi="Times New Roman"/>
          <w:b w:val="1"/>
          <w:bCs w:val="1"/>
          <w:sz w:val="28"/>
          <w:szCs w:val="28"/>
        </w:rPr>
      </w:pPr>
      <w:bookmarkStart w:colFirst="0" w:colLast="0" w:name="_6qwxxlg38ts7" w:id="5"/>
      <w:bookmarkEnd w:id="5"/>
      <w:r w:rsidDel="00000000" w:rsidR="00000000" w:rsidRPr="00000000">
        <w:rPr>
          <w:rFonts w:ascii="Times New Roman" w:cs="Times New Roman" w:eastAsia="Times New Roman" w:hAnsi="Times New Roman"/>
          <w:b w:val="1"/>
          <w:bCs w:val="1"/>
          <w:sz w:val="28"/>
          <w:szCs w:val="28"/>
          <w:rtl w:val="0"/>
        </w:rPr>
        <w:t xml:space="preserve">2.3. Porcentaje parcial y acumulado del incremento</w:t>
      </w:r>
    </w:p>
    <w:p w:rsidR="00000000" w:rsidDel="00000000" w:rsidP="00000000" w:rsidRDefault="00000000" w:rsidRPr="00000000" w14:paraId="0000002E">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4.163056173002"/>
        <w:gridCol w:w="1641.0021474588405"/>
        <w:gridCol w:w="3440.34660739178"/>
        <w:tblGridChange w:id="0">
          <w:tblGrid>
            <w:gridCol w:w="3944.163056173002"/>
            <w:gridCol w:w="1641.0021474588405"/>
            <w:gridCol w:w="3440.3466073917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funcionales definidos en Documento 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funcional total del sistema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considerados en el primer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Cálculo porcentual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 96 = 47,92%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por casos de uso documentados e implementados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parcial del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 el 30% mínimo exigido por la rúbrica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incremento del proyecto</w:t>
            </w:r>
          </w:p>
        </w:tc>
      </w:tr>
    </w:tbl>
    <w:p w:rsidR="00000000" w:rsidDel="00000000" w:rsidP="00000000" w:rsidRDefault="00000000" w:rsidRPr="00000000" w14:paraId="00000041">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2.1: Porcentaje parcial y acumulado del primer incremento</w:t>
      </w:r>
    </w:p>
    <w:p w:rsidR="00000000" w:rsidDel="00000000" w:rsidP="00000000" w:rsidRDefault="00000000" w:rsidRPr="00000000" w14:paraId="00000042">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corresponde a la cobertura de casos de uso implementados y documentados para el primer incremento. El repositorio contiene el código fuente funcional para los 46 casos considerados, incluyendo controladores y servicios del backend NestJS,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persistencia PostgreSQL con esquema por empresa y datos semilla para validación.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before="160" w:line="276" w:lineRule="auto"/>
        <w:rPr>
          <w:rFonts w:ascii="Times New Roman" w:cs="Times New Roman" w:eastAsia="Times New Roman" w:hAnsi="Times New Roman"/>
          <w:b w:val="1"/>
          <w:bCs w:val="1"/>
          <w:sz w:val="28"/>
          <w:szCs w:val="28"/>
        </w:rPr>
      </w:pPr>
      <w:bookmarkStart w:colFirst="0" w:colLast="0" w:name="_x45xoywwopye" w:id="6"/>
      <w:bookmarkEnd w:id="6"/>
      <w:r w:rsidDel="00000000" w:rsidR="00000000" w:rsidRPr="00000000">
        <w:rPr>
          <w:rFonts w:ascii="Times New Roman" w:cs="Times New Roman" w:eastAsia="Times New Roman" w:hAnsi="Times New Roman"/>
          <w:b w:val="1"/>
          <w:bCs w:val="1"/>
          <w:sz w:val="28"/>
          <w:szCs w:val="28"/>
          <w:rtl w:val="0"/>
        </w:rPr>
        <w:t xml:space="preserve">2.4. Casos de uso considerados en el incremento</w:t>
      </w:r>
    </w:p>
    <w:p w:rsidR="00000000" w:rsidDel="00000000" w:rsidP="00000000" w:rsidRDefault="00000000" w:rsidRPr="00000000" w14:paraId="00000046">
      <w:pPr>
        <w:rPr/>
      </w:pPr>
      <w:r w:rsidDel="00000000" w:rsidR="00000000" w:rsidRPr="00000000">
        <w:rPr>
          <w:rtl w:val="0"/>
        </w:rPr>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7.8377902442705"/>
        <w:gridCol w:w="4008.134638122312"/>
        <w:gridCol w:w="2321.2578299916986"/>
        <w:gridCol w:w="1528.281552665342"/>
        <w:tblGridChange w:id="0">
          <w:tblGrid>
            <w:gridCol w:w="1167.8377902442705"/>
            <w:gridCol w:w="4008.134638122312"/>
            <w:gridCol w:w="2321.2578299916986"/>
            <w:gridCol w:w="1528.281552665342"/>
          </w:tblGrid>
        </w:tblGridChange>
      </w:tblGrid>
      <w:tr>
        <w:trPr>
          <w:cantSplit w:val="0"/>
          <w:trHeight w:val="52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 asociado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103">
      <w:pPr>
        <w:spacing w:after="20" w:before="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2.2: Casos de uso considerados en el primer incremento</w:t>
      </w:r>
    </w:p>
    <w:p w:rsidR="00000000" w:rsidDel="00000000" w:rsidP="00000000" w:rsidRDefault="00000000" w:rsidRPr="00000000" w14:paraId="000001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05">
      <w:pPr>
        <w:pStyle w:val="Heading2"/>
        <w:spacing w:before="160" w:line="276" w:lineRule="auto"/>
        <w:rPr>
          <w:rFonts w:ascii="Times New Roman" w:cs="Times New Roman" w:eastAsia="Times New Roman" w:hAnsi="Times New Roman"/>
          <w:b w:val="1"/>
          <w:bCs w:val="1"/>
          <w:sz w:val="28"/>
          <w:szCs w:val="28"/>
        </w:rPr>
      </w:pPr>
      <w:bookmarkStart w:colFirst="0" w:colLast="0" w:name="_xsochn3ufebq" w:id="7"/>
      <w:bookmarkEnd w:id="7"/>
      <w:r w:rsidDel="00000000" w:rsidR="00000000" w:rsidRPr="00000000">
        <w:rPr>
          <w:rFonts w:ascii="Times New Roman" w:cs="Times New Roman" w:eastAsia="Times New Roman" w:hAnsi="Times New Roman"/>
          <w:b w:val="1"/>
          <w:bCs w:val="1"/>
          <w:sz w:val="28"/>
          <w:szCs w:val="28"/>
          <w:rtl w:val="0"/>
        </w:rPr>
        <w:t xml:space="preserve">2.5. Requerimientos considerados en el incremento</w:t>
      </w:r>
    </w:p>
    <w:p w:rsidR="00000000" w:rsidDel="00000000" w:rsidP="00000000" w:rsidRDefault="00000000" w:rsidRPr="00000000" w14:paraId="000001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considerados corresponden a los requerimientos funcionales directamente asociados a los 46 casos de uso seleccionados, abarcando desde RF-01 hasta RF-27 del Documento 0. La selección cubre los grupos de autenticación y gestión de usuarios (RF-01 a RF-07), separación y aislamiento por empresa (RF-08 a RF-11), catálogo y validación de equipos (RF-12 a RF-17), unidades, estados, historial, garantías y diagnóstico (RF-18 a RF-24) y bodegas con stock mínimo (RF-25 a RF-27).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spacing w:before="160" w:line="276" w:lineRule="auto"/>
        <w:rPr>
          <w:rFonts w:ascii="Times New Roman" w:cs="Times New Roman" w:eastAsia="Times New Roman" w:hAnsi="Times New Roman"/>
          <w:b w:val="1"/>
          <w:bCs w:val="1"/>
          <w:sz w:val="28"/>
          <w:szCs w:val="28"/>
        </w:rPr>
      </w:pPr>
      <w:bookmarkStart w:colFirst="0" w:colLast="0" w:name="_a2365a9wlzbo" w:id="8"/>
      <w:bookmarkEnd w:id="8"/>
      <w:r w:rsidDel="00000000" w:rsidR="00000000" w:rsidRPr="00000000">
        <w:rPr>
          <w:rFonts w:ascii="Times New Roman" w:cs="Times New Roman" w:eastAsia="Times New Roman" w:hAnsi="Times New Roman"/>
          <w:b w:val="1"/>
          <w:bCs w:val="1"/>
          <w:sz w:val="28"/>
          <w:szCs w:val="28"/>
          <w:rtl w:val="0"/>
        </w:rPr>
        <w:t xml:space="preserve">2.6. Funcionalidades consideradas en el incremento</w:t>
      </w:r>
    </w:p>
    <w:p w:rsidR="00000000" w:rsidDel="00000000" w:rsidP="00000000" w:rsidRDefault="00000000" w:rsidRPr="00000000" w14:paraId="00000109">
      <w:pPr>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500364770698"/>
        <w:gridCol w:w="2335.675580488541"/>
        <w:gridCol w:w="3359.3358657643835"/>
        <w:tblGridChange w:id="0">
          <w:tblGrid>
            <w:gridCol w:w="3330.500364770698"/>
            <w:gridCol w:w="2335.675580488541"/>
            <w:gridCol w:w="3359.33586576438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 funcional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incluidos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r>
    </w:tbl>
    <w:p w:rsidR="00000000" w:rsidDel="00000000" w:rsidP="00000000" w:rsidRDefault="00000000" w:rsidRPr="00000000" w14:paraId="0000011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Funcionalidades agrupadas del incremento</w:t>
      </w:r>
    </w:p>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before="240" w:line="276" w:lineRule="auto"/>
        <w:rPr>
          <w:rFonts w:ascii="Times New Roman" w:cs="Times New Roman" w:eastAsia="Times New Roman" w:hAnsi="Times New Roman"/>
          <w:b w:val="1"/>
          <w:bCs w:val="1"/>
          <w:sz w:val="28"/>
          <w:szCs w:val="28"/>
        </w:rPr>
      </w:pPr>
      <w:bookmarkStart w:colFirst="0" w:colLast="0" w:name="_t7z0zeizxqw" w:id="9"/>
      <w:bookmarkEnd w:id="9"/>
      <w:r w:rsidDel="00000000" w:rsidR="00000000" w:rsidRPr="00000000">
        <w:rPr>
          <w:rFonts w:ascii="Times New Roman" w:cs="Times New Roman" w:eastAsia="Times New Roman" w:hAnsi="Times New Roman"/>
          <w:b w:val="1"/>
          <w:bCs w:val="1"/>
          <w:sz w:val="28"/>
          <w:szCs w:val="28"/>
          <w:rtl w:val="0"/>
        </w:rPr>
        <w:t xml:space="preserve">3. DOCUMENTACIÓN ASOCIADA A SCRUM++</w:t>
      </w:r>
    </w:p>
    <w:p w:rsidR="00000000" w:rsidDel="00000000" w:rsidP="00000000" w:rsidRDefault="00000000" w:rsidRPr="00000000" w14:paraId="00000122">
      <w:pPr>
        <w:pStyle w:val="Heading2"/>
        <w:spacing w:before="160" w:line="276" w:lineRule="auto"/>
        <w:rPr>
          <w:rFonts w:ascii="Times New Roman" w:cs="Times New Roman" w:eastAsia="Times New Roman" w:hAnsi="Times New Roman"/>
          <w:b w:val="1"/>
          <w:bCs w:val="1"/>
          <w:sz w:val="28"/>
          <w:szCs w:val="28"/>
        </w:rPr>
      </w:pPr>
      <w:bookmarkStart w:colFirst="0" w:colLast="0" w:name="_ktji27ltfmmt" w:id="10"/>
      <w:bookmarkEnd w:id="10"/>
      <w:r w:rsidDel="00000000" w:rsidR="00000000" w:rsidRPr="00000000">
        <w:rPr>
          <w:rFonts w:ascii="Times New Roman" w:cs="Times New Roman" w:eastAsia="Times New Roman" w:hAnsi="Times New Roman"/>
          <w:b w:val="1"/>
          <w:bCs w:val="1"/>
          <w:sz w:val="28"/>
          <w:szCs w:val="28"/>
          <w:rtl w:val="0"/>
        </w:rPr>
        <w:t xml:space="preserve">3.1. Product Backlog</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del proyecto está compuesto por los 70 requerimientos funcionales y 10 requerimientos no funcionales definidos en el Documento 0, materializados en 96 casos de uso. Para el primer incremento se seleccionaron los 46 casos de uso de mayor prioridad, que habilitan la base transversal del sistema (seguridad, aislamiento por empresa e inventario) y sirven de fundamento para los incrementos posteriores.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0566023496267"/>
        <w:gridCol w:w="2825.8790973811983"/>
        <w:gridCol w:w="1196.6732912379564"/>
        <w:gridCol w:w="2032.9028200548416"/>
        <w:tblGridChange w:id="0">
          <w:tblGrid>
            <w:gridCol w:w="2970.0566023496267"/>
            <w:gridCol w:w="2825.8790973811983"/>
            <w:gridCol w:w="1196.6732912379564"/>
            <w:gridCol w:w="2032.902820054841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Grupo del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Ingresos, salidas, terreno, devoluciones, préstamos, reportes y notificaciones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RF-28 a RF-70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 posterior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 en este incremento</w:t>
            </w:r>
          </w:p>
        </w:tc>
      </w:tr>
    </w:tbl>
    <w:p w:rsidR="00000000" w:rsidDel="00000000" w:rsidP="00000000" w:rsidRDefault="00000000" w:rsidRPr="00000000" w14:paraId="0000014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Product Backlog</w:t>
      </w:r>
    </w:p>
    <w:p w:rsidR="00000000" w:rsidDel="00000000" w:rsidP="00000000" w:rsidRDefault="00000000" w:rsidRPr="00000000" w14:paraId="00000146">
      <w:pPr>
        <w:spacing w:after="20" w:before="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147">
      <w:pPr>
        <w:pStyle w:val="Heading2"/>
        <w:spacing w:before="160" w:line="276" w:lineRule="auto"/>
        <w:rPr>
          <w:rFonts w:ascii="Times New Roman" w:cs="Times New Roman" w:eastAsia="Times New Roman" w:hAnsi="Times New Roman"/>
          <w:b w:val="1"/>
          <w:bCs w:val="1"/>
          <w:sz w:val="28"/>
          <w:szCs w:val="28"/>
        </w:rPr>
      </w:pPr>
      <w:bookmarkStart w:colFirst="0" w:colLast="0" w:name="_ur0v9r1gaeia" w:id="11"/>
      <w:bookmarkEnd w:id="11"/>
      <w:r w:rsidDel="00000000" w:rsidR="00000000" w:rsidRPr="00000000">
        <w:rPr>
          <w:rFonts w:ascii="Times New Roman" w:cs="Times New Roman" w:eastAsia="Times New Roman" w:hAnsi="Times New Roman"/>
          <w:b w:val="1"/>
          <w:bCs w:val="1"/>
          <w:sz w:val="28"/>
          <w:szCs w:val="28"/>
          <w:rtl w:val="0"/>
        </w:rPr>
        <w:t xml:space="preserve">3.2. Sprint Backlog</w:t>
      </w:r>
    </w:p>
    <w:p w:rsidR="00000000" w:rsidDel="00000000" w:rsidP="00000000" w:rsidRDefault="00000000" w:rsidRPr="00000000" w14:paraId="00000148">
      <w:pPr>
        <w:spacing w:after="120" w:line="360" w:lineRule="auto"/>
        <w:jc w:val="both"/>
        <w:rPr/>
      </w:pPr>
      <w:r w:rsidDel="00000000" w:rsidR="00000000" w:rsidRPr="00000000">
        <w:rPr>
          <w:rtl w:val="0"/>
        </w:rPr>
        <w:t xml:space="preserve">El Sprint Backlog del primer incremento se organiza alrededor de los casos de uso que cuentan con diagrama de secuencia principal y diagramas de excepción. Cada elemento representa una unidad funcional trazable contra su requerimiento RF y contra su archivo .drawio asociado.</w:t>
      </w:r>
    </w:p>
    <w:p w:rsidR="00000000" w:rsidDel="00000000" w:rsidP="00000000" w:rsidRDefault="00000000" w:rsidRPr="00000000" w14:paraId="00000149">
      <w:pPr>
        <w:spacing w:after="120" w:line="360" w:lineRule="auto"/>
        <w:jc w:val="both"/>
        <w:rPr/>
      </w:pPr>
      <w:r w:rsidDel="00000000" w:rsidR="00000000" w:rsidRPr="00000000">
        <w:rPr>
          <w:rtl w:val="0"/>
        </w:rPr>
        <w:t xml:space="preserve">A continu</w:t>
      </w:r>
    </w:p>
    <w:p w:rsidR="00000000" w:rsidDel="00000000" w:rsidP="00000000" w:rsidRDefault="00000000" w:rsidRPr="00000000" w14:paraId="0000014A">
      <w:pPr>
        <w:rPr/>
      </w:pPr>
      <w:r w:rsidDel="00000000" w:rsidR="00000000" w:rsidRPr="00000000">
        <w:rPr>
          <w:rtl w:val="0"/>
        </w:rPr>
      </w:r>
    </w:p>
    <w:tbl>
      <w:tblPr>
        <w:tblStyle w:val="Table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 del Sprint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Artefacto asociado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207">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7.1:Sprint  Backlog</w:t>
      </w:r>
    </w:p>
    <w:p w:rsidR="00000000" w:rsidDel="00000000" w:rsidP="00000000" w:rsidRDefault="00000000" w:rsidRPr="00000000" w14:paraId="00000208">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09">
      <w:pPr>
        <w:pStyle w:val="Heading2"/>
        <w:spacing w:before="160" w:line="276" w:lineRule="auto"/>
        <w:rPr>
          <w:rFonts w:ascii="Times New Roman" w:cs="Times New Roman" w:eastAsia="Times New Roman" w:hAnsi="Times New Roman"/>
          <w:b w:val="1"/>
          <w:bCs w:val="1"/>
          <w:sz w:val="28"/>
          <w:szCs w:val="28"/>
        </w:rPr>
      </w:pPr>
      <w:bookmarkStart w:colFirst="0" w:colLast="0" w:name="_uxvdv0nupy9q" w:id="12"/>
      <w:bookmarkEnd w:id="12"/>
      <w:r w:rsidDel="00000000" w:rsidR="00000000" w:rsidRPr="00000000">
        <w:rPr>
          <w:rFonts w:ascii="Times New Roman" w:cs="Times New Roman" w:eastAsia="Times New Roman" w:hAnsi="Times New Roman"/>
          <w:b w:val="1"/>
          <w:bCs w:val="1"/>
          <w:sz w:val="28"/>
          <w:szCs w:val="28"/>
          <w:rtl w:val="0"/>
        </w:rPr>
        <w:t xml:space="preserve">3.3. Planificación del Sprint</w:t>
      </w:r>
    </w:p>
    <w:p w:rsidR="00000000" w:rsidDel="00000000" w:rsidP="00000000" w:rsidRDefault="00000000" w:rsidRPr="00000000" w14:paraId="0000020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Sprint se orienta a lograr una primera versión funcional de los flujos transversales del sistema de inventario. La meta del Sprint consiste en consolidar la cobertura de los casos CU-01 a CU-46 mediante diagramas de secuencia BCE, trazabilidad RF–CU, código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persistencia PostgreSQL con esquema por empresa, ejecución local con Docker y documentación técnica de validación. La asignación de responsables, prioridades y tiempos estimados se detalla en el Product Backlog y en la planificación general del proyecto (cronograma del Documento 0).</w:t>
      </w:r>
      <w:r w:rsidDel="00000000" w:rsidR="00000000" w:rsidRPr="00000000">
        <w:rPr>
          <w:rtl w:val="0"/>
        </w:rPr>
      </w:r>
    </w:p>
    <w:p w:rsidR="00000000" w:rsidDel="00000000" w:rsidP="00000000" w:rsidRDefault="00000000" w:rsidRPr="00000000" w14:paraId="0000020B">
      <w:pPr>
        <w:pStyle w:val="Heading2"/>
        <w:spacing w:before="160" w:line="276" w:lineRule="auto"/>
        <w:rPr>
          <w:rFonts w:ascii="Times New Roman" w:cs="Times New Roman" w:eastAsia="Times New Roman" w:hAnsi="Times New Roman"/>
          <w:b w:val="1"/>
          <w:bCs w:val="1"/>
          <w:sz w:val="28"/>
          <w:szCs w:val="28"/>
        </w:rPr>
      </w:pPr>
      <w:bookmarkStart w:colFirst="0" w:colLast="0" w:name="_epn1bn6rnmsx" w:id="13"/>
      <w:bookmarkEnd w:id="13"/>
      <w:r w:rsidDel="00000000" w:rsidR="00000000" w:rsidRPr="00000000">
        <w:rPr>
          <w:rFonts w:ascii="Times New Roman" w:cs="Times New Roman" w:eastAsia="Times New Roman" w:hAnsi="Times New Roman"/>
          <w:b w:val="1"/>
          <w:bCs w:val="1"/>
          <w:sz w:val="28"/>
          <w:szCs w:val="28"/>
          <w:rtl w:val="0"/>
        </w:rPr>
        <w:t xml:space="preserve">3.4. Daily Scrum Meeting</w:t>
      </w:r>
    </w:p>
    <w:p w:rsidR="00000000" w:rsidDel="00000000" w:rsidP="00000000" w:rsidRDefault="00000000" w:rsidRPr="00000000" w14:paraId="000002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el equipo realizó reuniones diarias (Daily Scrum) de no más de 15 minutos, en las que cada integrante expuso el avance de sus tareas, los obstáculos detectados y el plan para la jornada siguiente. La evidencia fechada de estas reuniones (actas y/o capturas) se incorpora en el Anexo 13.1; cuando no exista registro formal de alguna jornada, este debe adjuntarse antes de la entrega para mantener la trazabilidad.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spacing w:before="160" w:line="276" w:lineRule="auto"/>
        <w:rPr>
          <w:rFonts w:ascii="Times New Roman" w:cs="Times New Roman" w:eastAsia="Times New Roman" w:hAnsi="Times New Roman"/>
          <w:b w:val="1"/>
          <w:bCs w:val="1"/>
          <w:sz w:val="28"/>
          <w:szCs w:val="28"/>
        </w:rPr>
      </w:pPr>
      <w:bookmarkStart w:colFirst="0" w:colLast="0" w:name="_p2lbh5odul8t" w:id="14"/>
      <w:bookmarkEnd w:id="14"/>
      <w:r w:rsidDel="00000000" w:rsidR="00000000" w:rsidRPr="00000000">
        <w:rPr>
          <w:rFonts w:ascii="Times New Roman" w:cs="Times New Roman" w:eastAsia="Times New Roman" w:hAnsi="Times New Roman"/>
          <w:b w:val="1"/>
          <w:bCs w:val="1"/>
          <w:sz w:val="28"/>
          <w:szCs w:val="28"/>
          <w:rtl w:val="0"/>
        </w:rPr>
        <w:t xml:space="preserve">3.5. Sprint Review</w:t>
      </w:r>
    </w:p>
    <w:p w:rsidR="00000000" w:rsidDel="00000000" w:rsidP="00000000" w:rsidRDefault="00000000" w:rsidRPr="00000000" w14:paraId="0000020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revisión del Sprint el equipo presentó al Product Owner y al cliente el avance de los 46 casos de uso seleccionados, validando que cada uno cuente con diagrama principal, excepciones documentadas, relación directa con su requerimiento funcional e implementación en el repositorio. Como resultado de la revisión se confirma un Product Backlog actualizado que define los elementos del próximo Sprint (CU-47 en adelante).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spacing w:before="160" w:line="276" w:lineRule="auto"/>
        <w:rPr>
          <w:rFonts w:ascii="Times New Roman" w:cs="Times New Roman" w:eastAsia="Times New Roman" w:hAnsi="Times New Roman"/>
          <w:b w:val="1"/>
          <w:bCs w:val="1"/>
          <w:sz w:val="28"/>
          <w:szCs w:val="28"/>
        </w:rPr>
      </w:pPr>
      <w:bookmarkStart w:colFirst="0" w:colLast="0" w:name="_mkok9a9sevwn" w:id="15"/>
      <w:bookmarkEnd w:id="15"/>
      <w:r w:rsidDel="00000000" w:rsidR="00000000" w:rsidRPr="00000000">
        <w:rPr>
          <w:rFonts w:ascii="Times New Roman" w:cs="Times New Roman" w:eastAsia="Times New Roman" w:hAnsi="Times New Roman"/>
          <w:b w:val="1"/>
          <w:bCs w:val="1"/>
          <w:sz w:val="28"/>
          <w:szCs w:val="28"/>
          <w:rtl w:val="0"/>
        </w:rPr>
        <w:t xml:space="preserve">3.6. Sprint Retrospective</w:t>
      </w:r>
    </w:p>
    <w:p w:rsidR="00000000" w:rsidDel="00000000" w:rsidP="00000000" w:rsidRDefault="00000000" w:rsidRPr="00000000" w14:paraId="0000021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el equipo identificó como fortalezas la consistencia entre los diagramas de secuencia BCE y el código implementado, y la correcta aplicación del aislamiento de datos por empresa. Como mejoras para el próximo Sprint se acordó: incorporar reportes formales de ejecución de pruebas con su cobertura, exportar el historial de commits desde Git de forma sistemática y reforzar la documentación de excepciones en los diagramas.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spacing w:before="160" w:line="276" w:lineRule="auto"/>
        <w:rPr>
          <w:rFonts w:ascii="Times New Roman" w:cs="Times New Roman" w:eastAsia="Times New Roman" w:hAnsi="Times New Roman"/>
          <w:b w:val="1"/>
          <w:bCs w:val="1"/>
          <w:sz w:val="28"/>
          <w:szCs w:val="28"/>
        </w:rPr>
      </w:pPr>
      <w:bookmarkStart w:colFirst="0" w:colLast="0" w:name="_rmlrf0g30pul" w:id="16"/>
      <w:bookmarkEnd w:id="16"/>
      <w:r w:rsidDel="00000000" w:rsidR="00000000" w:rsidRPr="00000000">
        <w:rPr>
          <w:rFonts w:ascii="Times New Roman" w:cs="Times New Roman" w:eastAsia="Times New Roman" w:hAnsi="Times New Roman"/>
          <w:b w:val="1"/>
          <w:bCs w:val="1"/>
          <w:sz w:val="28"/>
          <w:szCs w:val="28"/>
          <w:rtl w:val="0"/>
        </w:rPr>
        <w:t xml:space="preserve">3.7. Definición de terminado del incremento</w:t>
      </w:r>
    </w:p>
    <w:p w:rsidR="00000000" w:rsidDel="00000000" w:rsidP="00000000" w:rsidRDefault="00000000" w:rsidRPr="00000000" w14:paraId="00000215">
      <w:pPr>
        <w:rPr/>
      </w:pPr>
      <w:r w:rsidDel="00000000" w:rsidR="00000000" w:rsidRPr="00000000">
        <w:rPr>
          <w:rtl w:val="0"/>
        </w:rPr>
        <w:t xml:space="preserve">En la siguiente sección se presenta la tabla 7.1 en donde se muestra la definición de terminado el incremento, con sus respectivos criterios, su descripcion y estado correspondiente a cada criterio.</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4209.983145078111"/>
        <w:gridCol w:w="2451.017584463284"/>
        <w:tblGridChange w:id="0">
          <w:tblGrid>
            <w:gridCol w:w="2364.5110814822274"/>
            <w:gridCol w:w="4209.983145078111"/>
            <w:gridCol w:w="2451.01758446328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RF–CU</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del incremento tiene un RF asociado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secuencia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seleccionado posee archivo .drawio principal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casos listados poseen diagramas de excepción cuando corresponde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fuente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verificable en backend, frontend y 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independiente por empresa en PostgreSQL (RNF-09)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 con su evidencia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 parcialmente</w:t>
            </w:r>
          </w:p>
        </w:tc>
      </w:tr>
    </w:tbl>
    <w:p w:rsidR="00000000" w:rsidDel="00000000" w:rsidP="00000000" w:rsidRDefault="00000000" w:rsidRPr="00000000" w14:paraId="0000022C">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7.1:Definición de terminado del incremento</w:t>
      </w:r>
    </w:p>
    <w:p w:rsidR="00000000" w:rsidDel="00000000" w:rsidP="00000000" w:rsidRDefault="00000000" w:rsidRPr="00000000" w14:paraId="000002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spacing w:before="240" w:line="276" w:lineRule="auto"/>
        <w:rPr>
          <w:rFonts w:ascii="Times New Roman" w:cs="Times New Roman" w:eastAsia="Times New Roman" w:hAnsi="Times New Roman"/>
          <w:b w:val="1"/>
          <w:bCs w:val="1"/>
          <w:sz w:val="28"/>
          <w:szCs w:val="28"/>
        </w:rPr>
      </w:pPr>
      <w:bookmarkStart w:colFirst="0" w:colLast="0" w:name="_6n81hmb7mqva" w:id="17"/>
      <w:bookmarkEnd w:id="17"/>
      <w:r w:rsidDel="00000000" w:rsidR="00000000" w:rsidRPr="00000000">
        <w:rPr>
          <w:rFonts w:ascii="Times New Roman" w:cs="Times New Roman" w:eastAsia="Times New Roman" w:hAnsi="Times New Roman"/>
          <w:b w:val="1"/>
          <w:bCs w:val="1"/>
          <w:sz w:val="28"/>
          <w:szCs w:val="28"/>
          <w:rtl w:val="0"/>
        </w:rPr>
        <w:t xml:space="preserve">4. VISTA EXTERNA DEL SISTEMA</w:t>
      </w:r>
    </w:p>
    <w:p w:rsidR="00000000" w:rsidDel="00000000" w:rsidP="00000000" w:rsidRDefault="00000000" w:rsidRPr="00000000" w14:paraId="0000022F">
      <w:pPr>
        <w:pStyle w:val="Heading2"/>
        <w:spacing w:before="160" w:line="276" w:lineRule="auto"/>
        <w:rPr>
          <w:rFonts w:ascii="Times New Roman" w:cs="Times New Roman" w:eastAsia="Times New Roman" w:hAnsi="Times New Roman"/>
          <w:b w:val="1"/>
          <w:bCs w:val="1"/>
          <w:sz w:val="28"/>
          <w:szCs w:val="28"/>
        </w:rPr>
      </w:pPr>
      <w:bookmarkStart w:colFirst="0" w:colLast="0" w:name="_n25fuf9mkjjr" w:id="18"/>
      <w:bookmarkEnd w:id="18"/>
      <w:r w:rsidDel="00000000" w:rsidR="00000000" w:rsidRPr="00000000">
        <w:rPr>
          <w:rFonts w:ascii="Times New Roman" w:cs="Times New Roman" w:eastAsia="Times New Roman" w:hAnsi="Times New Roman"/>
          <w:b w:val="1"/>
          <w:bCs w:val="1"/>
          <w:sz w:val="28"/>
          <w:szCs w:val="28"/>
          <w:rtl w:val="0"/>
        </w:rPr>
        <w:t xml:space="preserve">4.1. Descripción de la vista externa</w:t>
      </w:r>
    </w:p>
    <w:p w:rsidR="00000000" w:rsidDel="00000000" w:rsidP="00000000" w:rsidRDefault="00000000" w:rsidRPr="00000000" w14:paraId="0000023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externa describe la interacción de los actores con el sistema desde una perspectiva funcional. En el incremento participan actores humanos (Técnico de terreno, Administrador de bodega, Administrador y Superusuario) y actores sistémicos (el propio Sistema, que ejecuta acciones automáticas como el registro de auditoría, el cálculo de garantías o el cierre de sesión por inactividad). Los permisos son acumulativos hacia arriba, de modo que cada rol hereda las capacidades del rol inferior.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spacing w:before="160" w:line="276" w:lineRule="auto"/>
        <w:rPr>
          <w:rFonts w:ascii="Times New Roman" w:cs="Times New Roman" w:eastAsia="Times New Roman" w:hAnsi="Times New Roman"/>
          <w:b w:val="1"/>
          <w:bCs w:val="1"/>
          <w:sz w:val="28"/>
          <w:szCs w:val="28"/>
        </w:rPr>
      </w:pPr>
      <w:bookmarkStart w:colFirst="0" w:colLast="0" w:name="_sgd5ur2qu5f3" w:id="19"/>
      <w:bookmarkEnd w:id="19"/>
      <w:r w:rsidDel="00000000" w:rsidR="00000000" w:rsidRPr="00000000">
        <w:rPr>
          <w:rFonts w:ascii="Times New Roman" w:cs="Times New Roman" w:eastAsia="Times New Roman" w:hAnsi="Times New Roman"/>
          <w:b w:val="1"/>
          <w:bCs w:val="1"/>
          <w:sz w:val="28"/>
          <w:szCs w:val="28"/>
          <w:rtl w:val="0"/>
        </w:rPr>
        <w:t xml:space="preserve">4.2. Casos de uso del incremento</w:t>
      </w:r>
    </w:p>
    <w:p w:rsidR="00000000" w:rsidDel="00000000" w:rsidP="00000000" w:rsidRDefault="00000000" w:rsidRPr="00000000" w14:paraId="000002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del incremento se agrupan por módulo para conservar la continuidad con el Documento 0, concentrándose en la habilitación inicial del sistema de inventario. A continuación se presenta la tabla 7.1, donde se presentan los 5 módulos elegidos para trabajar en este primer incremento con sus respectivos casos de uso asociados.</w:t>
      </w:r>
    </w:p>
    <w:p w:rsidR="00000000" w:rsidDel="00000000" w:rsidP="00000000" w:rsidRDefault="00000000" w:rsidRPr="00000000" w14:paraId="00000234">
      <w:pPr>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5594.087192775025"/>
        <w:tblGridChange w:id="0">
          <w:tblGrid>
            <w:gridCol w:w="3431.4246182485977"/>
            <w:gridCol w:w="5594.08719277502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de uso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r>
    </w:tbl>
    <w:p w:rsidR="00000000" w:rsidDel="00000000" w:rsidP="00000000" w:rsidRDefault="00000000" w:rsidRPr="00000000" w14:paraId="00000243">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7.1:Casos de uso del incremento</w:t>
      </w:r>
    </w:p>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245">
      <w:pPr>
        <w:pStyle w:val="Heading2"/>
        <w:spacing w:before="160" w:line="276" w:lineRule="auto"/>
        <w:rPr>
          <w:rFonts w:ascii="Times New Roman" w:cs="Times New Roman" w:eastAsia="Times New Roman" w:hAnsi="Times New Roman"/>
          <w:b w:val="1"/>
          <w:bCs w:val="1"/>
          <w:sz w:val="28"/>
          <w:szCs w:val="28"/>
        </w:rPr>
      </w:pPr>
      <w:bookmarkStart w:colFirst="0" w:colLast="0" w:name="_3fk7yzb5fp0f" w:id="20"/>
      <w:bookmarkEnd w:id="20"/>
      <w:r w:rsidDel="00000000" w:rsidR="00000000" w:rsidRPr="00000000">
        <w:rPr>
          <w:rFonts w:ascii="Times New Roman" w:cs="Times New Roman" w:eastAsia="Times New Roman" w:hAnsi="Times New Roman"/>
          <w:b w:val="1"/>
          <w:bCs w:val="1"/>
          <w:sz w:val="28"/>
          <w:szCs w:val="28"/>
          <w:rtl w:val="0"/>
        </w:rPr>
        <w:t xml:space="preserve">4.3. Casos de uso extendidos del incremento</w:t>
      </w:r>
    </w:p>
    <w:p w:rsidR="00000000" w:rsidDel="00000000" w:rsidP="00000000" w:rsidRDefault="00000000" w:rsidRPr="00000000" w14:paraId="000002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extendidos mantienen la convención del Documento 0: nombre en gerundio, actor principal, precondiciones, descripción del flujo, excepciones, poscondiciones y dependencia RF. El detalle completo de cada caso se encuentra en el Documento 0 (sección 7.3); a continuación en la tabla 7.1 se presenta el resumen operativo del incremento conservando la trazabilidad.</w:t>
      </w:r>
    </w:p>
    <w:p w:rsidR="00000000" w:rsidDel="00000000" w:rsidP="00000000" w:rsidRDefault="00000000" w:rsidRPr="00000000" w14:paraId="00000247">
      <w:pPr>
        <w:rPr/>
      </w:pPr>
      <w:r w:rsidDel="00000000" w:rsidR="00000000" w:rsidRPr="00000000">
        <w:rPr>
          <w:rtl w:val="0"/>
        </w:rPr>
      </w:r>
    </w:p>
    <w:tbl>
      <w:tblPr>
        <w:tblStyle w:val="Table8"/>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4.8247842821564"/>
        <w:gridCol w:w="4382.996151040225"/>
        <w:gridCol w:w="2148.2448240295844"/>
        <w:gridCol w:w="1499.446051671656"/>
        <w:tblGridChange w:id="0">
          <w:tblGrid>
            <w:gridCol w:w="994.8247842821564"/>
            <w:gridCol w:w="4382.996151040225"/>
            <w:gridCol w:w="2148.2448240295844"/>
            <w:gridCol w:w="1499.44605167165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extendido (gerundio)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w:t>
            </w:r>
          </w:p>
        </w:tc>
      </w:tr>
      <w:tr>
        <w:trPr>
          <w:cantSplit w:val="0"/>
          <w:trHeight w:val="94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304">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7.1:Casos de uso extendidos del incremento</w:t>
      </w:r>
    </w:p>
    <w:p w:rsidR="00000000" w:rsidDel="00000000" w:rsidP="00000000" w:rsidRDefault="00000000" w:rsidRPr="00000000" w14:paraId="00000305">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06">
      <w:pPr>
        <w:pStyle w:val="Heading2"/>
        <w:spacing w:before="160" w:line="276" w:lineRule="auto"/>
        <w:rPr>
          <w:rFonts w:ascii="Times New Roman" w:cs="Times New Roman" w:eastAsia="Times New Roman" w:hAnsi="Times New Roman"/>
          <w:b w:val="1"/>
          <w:bCs w:val="1"/>
          <w:sz w:val="28"/>
          <w:szCs w:val="28"/>
        </w:rPr>
      </w:pPr>
      <w:bookmarkStart w:colFirst="0" w:colLast="0" w:name="_uoxzmyq0buqd" w:id="21"/>
      <w:bookmarkEnd w:id="21"/>
      <w:r w:rsidDel="00000000" w:rsidR="00000000" w:rsidRPr="00000000">
        <w:rPr>
          <w:rFonts w:ascii="Times New Roman" w:cs="Times New Roman" w:eastAsia="Times New Roman" w:hAnsi="Times New Roman"/>
          <w:b w:val="1"/>
          <w:bCs w:val="1"/>
          <w:sz w:val="28"/>
          <w:szCs w:val="28"/>
          <w:rtl w:val="0"/>
        </w:rPr>
        <w:t xml:space="preserve">4.4. Diagrama de casos de uso del incremento</w:t>
      </w:r>
    </w:p>
    <w:p w:rsidR="00000000" w:rsidDel="00000000" w:rsidP="00000000" w:rsidRDefault="00000000" w:rsidRPr="00000000" w14:paraId="00000307">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08">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4.1: Diagrama de casos de uso del primer incremento (CU-01 a CU-46)</w:t>
      </w:r>
    </w:p>
    <w:p w:rsidR="00000000" w:rsidDel="00000000" w:rsidP="00000000" w:rsidRDefault="00000000" w:rsidRPr="00000000" w14:paraId="00000309">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30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del incremento agrupa los actores del sistema (Técnico de terreno, Administrador de bodega, Administrador, Superusuario y Sistema) con los 46 casos de uso seleccionados, organizados por los seis módulos funcionales descritos en la Tabla 4.1. El diagrama UML completo del sistema permanece como referencia en el Documento 0.</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2"/>
        <w:spacing w:before="160" w:line="276" w:lineRule="auto"/>
        <w:rPr/>
      </w:pPr>
      <w:bookmarkStart w:colFirst="0" w:colLast="0" w:name="_o516h8t1ao6x" w:id="22"/>
      <w:bookmarkEnd w:id="22"/>
      <w:r w:rsidDel="00000000" w:rsidR="00000000" w:rsidRPr="00000000">
        <w:rPr>
          <w:rFonts w:ascii="Times New Roman" w:cs="Times New Roman" w:eastAsia="Times New Roman" w:hAnsi="Times New Roman"/>
          <w:b w:val="1"/>
          <w:bCs w:val="1"/>
          <w:sz w:val="28"/>
          <w:szCs w:val="28"/>
          <w:rtl w:val="0"/>
        </w:rPr>
        <w:t xml:space="preserve">4.5. Matriz de trazabilidad de requerimientos versus casos de uso</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 continuación en la tabla 7.1 se presentan los 27 requerimientos funcionales utilizados en este primer incremento, con sus respectivos casos de uso, su funcionalidad y diagrama principal.</w:t>
      </w: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1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Funcionalidad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1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3CA">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7.1:Matriz de trazabilidad de requerimientos versus casos de uso</w:t>
      </w:r>
    </w:p>
    <w:p w:rsidR="00000000" w:rsidDel="00000000" w:rsidP="00000000" w:rsidRDefault="00000000" w:rsidRPr="00000000" w14:paraId="000003CB">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spacing w:before="240" w:line="276" w:lineRule="auto"/>
        <w:rPr>
          <w:rFonts w:ascii="Times New Roman" w:cs="Times New Roman" w:eastAsia="Times New Roman" w:hAnsi="Times New Roman"/>
          <w:b w:val="1"/>
          <w:bCs w:val="1"/>
          <w:sz w:val="28"/>
          <w:szCs w:val="28"/>
        </w:rPr>
      </w:pPr>
      <w:bookmarkStart w:colFirst="0" w:colLast="0" w:name="_8euae7yly0b" w:id="23"/>
      <w:bookmarkEnd w:id="23"/>
      <w:r w:rsidDel="00000000" w:rsidR="00000000" w:rsidRPr="00000000">
        <w:rPr>
          <w:rFonts w:ascii="Times New Roman" w:cs="Times New Roman" w:eastAsia="Times New Roman" w:hAnsi="Times New Roman"/>
          <w:b w:val="1"/>
          <w:bCs w:val="1"/>
          <w:sz w:val="28"/>
          <w:szCs w:val="28"/>
          <w:rtl w:val="0"/>
        </w:rPr>
        <w:t xml:space="preserve">5. VISTA LÓGICA DEL SISTEMA</w:t>
      </w:r>
    </w:p>
    <w:p w:rsidR="00000000" w:rsidDel="00000000" w:rsidP="00000000" w:rsidRDefault="00000000" w:rsidRPr="00000000" w14:paraId="000003CE">
      <w:pPr>
        <w:pStyle w:val="Heading2"/>
        <w:spacing w:before="160" w:line="276" w:lineRule="auto"/>
        <w:rPr>
          <w:rFonts w:ascii="Times New Roman" w:cs="Times New Roman" w:eastAsia="Times New Roman" w:hAnsi="Times New Roman"/>
          <w:b w:val="1"/>
          <w:bCs w:val="1"/>
          <w:sz w:val="28"/>
          <w:szCs w:val="28"/>
        </w:rPr>
      </w:pPr>
      <w:bookmarkStart w:colFirst="0" w:colLast="0" w:name="_ph4xcicv73ef" w:id="24"/>
      <w:bookmarkEnd w:id="24"/>
      <w:r w:rsidDel="00000000" w:rsidR="00000000" w:rsidRPr="00000000">
        <w:rPr>
          <w:rFonts w:ascii="Times New Roman" w:cs="Times New Roman" w:eastAsia="Times New Roman" w:hAnsi="Times New Roman"/>
          <w:b w:val="1"/>
          <w:bCs w:val="1"/>
          <w:sz w:val="28"/>
          <w:szCs w:val="28"/>
          <w:rtl w:val="0"/>
        </w:rPr>
        <w:t xml:space="preserve">5.1. Descripción de la vista lógica</w:t>
      </w:r>
    </w:p>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y relaciones necesarias para soportar los flujos documentados en el incremento. La evidencia disponible incluye los diagramas de secuencia, el modelo de datos implementado en los scripts SQL de inicialización (db/init) y los esquemas independientes por empresa, por lo que la vista lógica se vincula tanto con los artefactos de diseño como con la implementación técnica del repositorio </w:t>
      </w:r>
      <w:r w:rsidDel="00000000" w:rsidR="00000000" w:rsidRPr="00000000">
        <w:rPr>
          <w:rtl w:val="0"/>
        </w:rPr>
      </w:r>
    </w:p>
    <w:p w:rsidR="00000000" w:rsidDel="00000000" w:rsidP="00000000" w:rsidRDefault="00000000" w:rsidRPr="00000000" w14:paraId="000003D0">
      <w:pPr>
        <w:pStyle w:val="Heading2"/>
        <w:spacing w:before="160" w:line="276" w:lineRule="auto"/>
        <w:rPr>
          <w:rFonts w:ascii="Times New Roman" w:cs="Times New Roman" w:eastAsia="Times New Roman" w:hAnsi="Times New Roman"/>
          <w:b w:val="1"/>
          <w:bCs w:val="1"/>
          <w:sz w:val="28"/>
          <w:szCs w:val="28"/>
        </w:rPr>
      </w:pPr>
      <w:bookmarkStart w:colFirst="0" w:colLast="0" w:name="_ufzd2svdg1le" w:id="25"/>
      <w:bookmarkEnd w:id="25"/>
      <w:r w:rsidDel="00000000" w:rsidR="00000000" w:rsidRPr="00000000">
        <w:rPr>
          <w:rFonts w:ascii="Times New Roman" w:cs="Times New Roman" w:eastAsia="Times New Roman" w:hAnsi="Times New Roman"/>
          <w:b w:val="1"/>
          <w:bCs w:val="1"/>
          <w:sz w:val="28"/>
          <w:szCs w:val="28"/>
          <w:rtl w:val="0"/>
        </w:rPr>
        <w:t xml:space="preserve">5.2. Modelo Entidad Relación Extendido</w:t>
      </w:r>
    </w:p>
    <w:p w:rsidR="00000000" w:rsidDel="00000000" w:rsidP="00000000" w:rsidRDefault="00000000" w:rsidRPr="00000000" w14:paraId="000003D1">
      <w:pPr>
        <w:rPr/>
      </w:pPr>
      <w:r w:rsidDel="00000000" w:rsidR="00000000" w:rsidRPr="00000000">
        <w:rPr>
          <w:rtl w:val="0"/>
        </w:rPr>
        <w:t xml:space="preserve">A continuación en la figura 5.1 se presenta el modelo de entidad relación extendido del primer incremento.</w:t>
      </w:r>
      <w:r w:rsidDel="00000000" w:rsidR="00000000" w:rsidRPr="00000000">
        <w:rPr>
          <w:rtl w:val="0"/>
        </w:rPr>
      </w:r>
    </w:p>
    <w:p w:rsidR="00000000" w:rsidDel="00000000" w:rsidP="00000000" w:rsidRDefault="00000000" w:rsidRPr="00000000" w14:paraId="000003D2">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D3">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5.1: Modelo Entidad Relación Extendido del primer incremento</w:t>
      </w:r>
    </w:p>
    <w:p w:rsidR="00000000" w:rsidDel="00000000" w:rsidP="00000000" w:rsidRDefault="00000000" w:rsidRPr="00000000" w14:paraId="000003D4">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3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 Relación Extendido del incremento considera las entidades que aparecen en las interacciones con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usuario, rol, empresa, </w:t>
      </w:r>
      <w:r w:rsidDel="00000000" w:rsidR="00000000" w:rsidRPr="00000000">
        <w:rPr>
          <w:rFonts w:ascii="Times New Roman" w:cs="Times New Roman" w:eastAsia="Times New Roman" w:hAnsi="Times New Roman"/>
          <w:sz w:val="24"/>
          <w:szCs w:val="24"/>
          <w:rtl w:val="0"/>
        </w:rPr>
        <w:t xml:space="preserve">log_auditoria</w:t>
      </w:r>
      <w:r w:rsidDel="00000000" w:rsidR="00000000" w:rsidRPr="00000000">
        <w:rPr>
          <w:rFonts w:ascii="Times New Roman" w:cs="Times New Roman" w:eastAsia="Times New Roman" w:hAnsi="Times New Roman"/>
          <w:sz w:val="24"/>
          <w:szCs w:val="24"/>
          <w:rtl w:val="0"/>
        </w:rPr>
        <w:t xml:space="preserve">, transferencia, </w:t>
      </w:r>
      <w:r w:rsidDel="00000000" w:rsidR="00000000" w:rsidRPr="00000000">
        <w:rPr>
          <w:rFonts w:ascii="Times New Roman" w:cs="Times New Roman" w:eastAsia="Times New Roman" w:hAnsi="Times New Roman"/>
          <w:sz w:val="24"/>
          <w:szCs w:val="24"/>
          <w:rtl w:val="0"/>
        </w:rPr>
        <w:t xml:space="preserve">tipo_equipo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unidad_equipo</w:t>
      </w:r>
      <w:r w:rsidDel="00000000" w:rsidR="00000000" w:rsidRPr="00000000">
        <w:rPr>
          <w:rFonts w:ascii="Times New Roman" w:cs="Times New Roman" w:eastAsia="Times New Roman" w:hAnsi="Times New Roman"/>
          <w:sz w:val="24"/>
          <w:szCs w:val="24"/>
          <w:rtl w:val="0"/>
        </w:rPr>
        <w:t xml:space="preserve">, stock_consumible, historial_estado, bodega, proveedor y diagnóstico. Estas entidades permiten cubrir autenticación, auditoría, aislamiento por empresa, transferencias, catálogo, ciclo de vida del equipo y bodegas.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2"/>
        <w:spacing w:before="160" w:line="276" w:lineRule="auto"/>
        <w:rPr>
          <w:rFonts w:ascii="Times New Roman" w:cs="Times New Roman" w:eastAsia="Times New Roman" w:hAnsi="Times New Roman"/>
          <w:b w:val="1"/>
          <w:bCs w:val="1"/>
          <w:sz w:val="28"/>
          <w:szCs w:val="28"/>
        </w:rPr>
      </w:pPr>
      <w:bookmarkStart w:colFirst="0" w:colLast="0" w:name="_j81e7qmazxcf" w:id="26"/>
      <w:bookmarkEnd w:id="26"/>
      <w:r w:rsidDel="00000000" w:rsidR="00000000" w:rsidRPr="00000000">
        <w:rPr>
          <w:rFonts w:ascii="Times New Roman" w:cs="Times New Roman" w:eastAsia="Times New Roman" w:hAnsi="Times New Roman"/>
          <w:b w:val="1"/>
          <w:bCs w:val="1"/>
          <w:sz w:val="28"/>
          <w:szCs w:val="28"/>
          <w:rtl w:val="0"/>
        </w:rPr>
        <w:t xml:space="preserve">5.3. Modelo Relacional</w:t>
      </w:r>
    </w:p>
    <w:p w:rsidR="00000000" w:rsidDel="00000000" w:rsidP="00000000" w:rsidRDefault="00000000" w:rsidRPr="00000000" w14:paraId="000003D8">
      <w:pPr>
        <w:rPr/>
      </w:pPr>
      <w:r w:rsidDel="00000000" w:rsidR="00000000" w:rsidRPr="00000000">
        <w:rPr>
          <w:rtl w:val="0"/>
        </w:rPr>
        <w:t xml:space="preserve">A continuación en la tabla 7.1 se presenta el modelo relacional con sus respectivas entidades/ tablas, con su propósito y con su respectivo uso en el incremento.</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tbl>
      <w:tblPr>
        <w:tblStyle w:val="Table10"/>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835.121632160198"/>
        <w:gridCol w:w="2970.0566023496267"/>
        <w:tblGridChange w:id="0">
          <w:tblGrid>
            <w:gridCol w:w="2220.3335765137986"/>
            <w:gridCol w:w="3835.121632160198"/>
            <w:gridCol w:w="2970.05660234962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 Tabla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 en el incremento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de empleado que accede al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roles, auditoría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acceso con permisos acumulativos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permisos (RF-02)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 o</w:t>
            </w:r>
            <w:r w:rsidDel="00000000" w:rsidR="00000000" w:rsidRPr="00000000">
              <w:rPr>
                <w:rFonts w:ascii="Times New Roman" w:cs="Times New Roman" w:eastAsia="Times New Roman" w:hAnsi="Times New Roman"/>
                <w:sz w:val="20"/>
                <w:szCs w:val="20"/>
                <w:rtl w:val="0"/>
              </w:rPr>
              <w:t xml:space="preserve">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Separación y aislamiento de datos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inmutable de acciones críticas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 (RF-05)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de movimiento de unidades entre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 (RF-11)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centralizado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(RF-12 a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física individualizable con número de 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individualizable (RF-18)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acumulada de consumibles por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por cantidad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Bitácora de transiciones de estado de cada unidad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(RF-19, RF-20, 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física asociada a una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(RF-25, RF-26)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de origen (RF-18)</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de equipos (RF-24)</w:t>
            </w:r>
          </w:p>
        </w:tc>
      </w:tr>
    </w:tbl>
    <w:p w:rsidR="00000000" w:rsidDel="00000000" w:rsidP="00000000" w:rsidRDefault="00000000" w:rsidRPr="00000000" w14:paraId="00000401">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7.1:Modelo Relacional</w:t>
      </w:r>
    </w:p>
    <w:p w:rsidR="00000000" w:rsidDel="00000000" w:rsidP="00000000" w:rsidRDefault="00000000" w:rsidRPr="00000000" w14:paraId="00000402">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03">
      <w:pPr>
        <w:pStyle w:val="Heading2"/>
        <w:spacing w:before="160" w:line="276" w:lineRule="auto"/>
        <w:rPr>
          <w:rFonts w:ascii="Times New Roman" w:cs="Times New Roman" w:eastAsia="Times New Roman" w:hAnsi="Times New Roman"/>
          <w:b w:val="1"/>
          <w:bCs w:val="1"/>
          <w:sz w:val="28"/>
          <w:szCs w:val="28"/>
        </w:rPr>
      </w:pPr>
      <w:bookmarkStart w:colFirst="0" w:colLast="0" w:name="_ghmeyri60cwp" w:id="27"/>
      <w:bookmarkEnd w:id="27"/>
      <w:r w:rsidDel="00000000" w:rsidR="00000000" w:rsidRPr="00000000">
        <w:rPr>
          <w:rFonts w:ascii="Times New Roman" w:cs="Times New Roman" w:eastAsia="Times New Roman" w:hAnsi="Times New Roman"/>
          <w:b w:val="1"/>
          <w:bCs w:val="1"/>
          <w:sz w:val="28"/>
          <w:szCs w:val="28"/>
          <w:rtl w:val="0"/>
        </w:rPr>
        <w:t xml:space="preserve">5.4. Modelo Físico de Base de Datos</w:t>
      </w:r>
    </w:p>
    <w:p w:rsidR="00000000" w:rsidDel="00000000" w:rsidP="00000000" w:rsidRDefault="00000000" w:rsidRPr="00000000" w14:paraId="00000404">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40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5.2: Modelo Físico de Base de Datos del primer incremento</w:t>
      </w:r>
    </w:p>
    <w:p w:rsidR="00000000" w:rsidDel="00000000" w:rsidP="00000000" w:rsidRDefault="00000000" w:rsidRPr="00000000" w14:paraId="00000406">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físico se implementa en PostgreSQL 14 o superior y se respalda mediante los scripts de db/init, que crean dos esquemas independientes (finet y cable_magico) dentro de la misma instancia, en cumplimiento del RNF-09. La codificación es UTF-8. La base de datos se levanta de forma reproducible mediante Docker Compose, manteniendo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como componente de persistencia del sistema.</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spacing w:before="160" w:line="276" w:lineRule="auto"/>
        <w:rPr>
          <w:rFonts w:ascii="Times New Roman" w:cs="Times New Roman" w:eastAsia="Times New Roman" w:hAnsi="Times New Roman"/>
          <w:b w:val="1"/>
          <w:bCs w:val="1"/>
          <w:sz w:val="28"/>
          <w:szCs w:val="28"/>
        </w:rPr>
      </w:pPr>
      <w:bookmarkStart w:colFirst="0" w:colLast="0" w:name="_bx26vre2ur6g" w:id="28"/>
      <w:bookmarkEnd w:id="28"/>
      <w:r w:rsidDel="00000000" w:rsidR="00000000" w:rsidRPr="00000000">
        <w:rPr>
          <w:rFonts w:ascii="Times New Roman" w:cs="Times New Roman" w:eastAsia="Times New Roman" w:hAnsi="Times New Roman"/>
          <w:b w:val="1"/>
          <w:bCs w:val="1"/>
          <w:sz w:val="28"/>
          <w:szCs w:val="28"/>
          <w:rtl w:val="0"/>
        </w:rPr>
        <w:t xml:space="preserve">5.5. Diccionario de datos</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continuación en la tabla 5.x se presenta el diccionario de datos utilizado para trabajar en este incremento con su respectiva entidad asociada y descripción.</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1.950420073089"/>
        <w:gridCol w:w="2619.8455336623597"/>
        <w:gridCol w:w="4073.7158572881744"/>
        <w:tblGridChange w:id="0">
          <w:tblGrid>
            <w:gridCol w:w="2331.950420073089"/>
            <w:gridCol w:w="2619.8455336623597"/>
            <w:gridCol w:w="4073.715857288174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asociada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inicio de sesión, 4–20 caracteres (a-z, 0-9, _)</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con permisos acumulativos del usuario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 y tablas asociadas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 Finet, Cable Mágico o vista consolidada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numero_serie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global, 4–30 caracteres (A-Z, 0-9, -)</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mac_address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MAC XX:XX:XX:XX:XX:XX, única si se ingresa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requiere_ns_individual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Lógico: Sí = individualizable, No = consumible por cantidad</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unidad_medida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metro o rollo (solo consumibles)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En bodega, Asignado, Instalado, En revisión, Préstamo, Baja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fecha_vencimiento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fecha_adquisicion + días de garantía del tipo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 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que dispara alerta de stock bajo (RF-27)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 / 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DD/MM/YYYY HH:MM:SS, zona America/Santiago</w:t>
            </w:r>
          </w:p>
        </w:tc>
      </w:tr>
    </w:tbl>
    <w:p w:rsidR="00000000" w:rsidDel="00000000" w:rsidP="00000000" w:rsidRDefault="00000000" w:rsidRPr="00000000" w14:paraId="00000430">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7.1:Diccionario de datos</w:t>
      </w:r>
    </w:p>
    <w:p w:rsidR="00000000" w:rsidDel="00000000" w:rsidP="00000000" w:rsidRDefault="00000000" w:rsidRPr="00000000" w14:paraId="00000431">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432">
      <w:pPr>
        <w:pStyle w:val="Heading1"/>
        <w:spacing w:before="240" w:line="276" w:lineRule="auto"/>
        <w:rPr>
          <w:rFonts w:ascii="Times New Roman" w:cs="Times New Roman" w:eastAsia="Times New Roman" w:hAnsi="Times New Roman"/>
          <w:b w:val="1"/>
          <w:bCs w:val="1"/>
          <w:sz w:val="28"/>
          <w:szCs w:val="28"/>
        </w:rPr>
      </w:pPr>
      <w:bookmarkStart w:colFirst="0" w:colLast="0" w:name="_gcqaqgv9ultb" w:id="29"/>
      <w:bookmarkEnd w:id="29"/>
      <w:r w:rsidDel="00000000" w:rsidR="00000000" w:rsidRPr="00000000">
        <w:rPr>
          <w:rFonts w:ascii="Times New Roman" w:cs="Times New Roman" w:eastAsia="Times New Roman" w:hAnsi="Times New Roman"/>
          <w:b w:val="1"/>
          <w:bCs w:val="1"/>
          <w:sz w:val="28"/>
          <w:szCs w:val="28"/>
          <w:rtl w:val="0"/>
        </w:rPr>
        <w:t xml:space="preserve">6. VISTA DE PROCESOS DEL SISTEMA</w:t>
      </w:r>
    </w:p>
    <w:p w:rsidR="00000000" w:rsidDel="00000000" w:rsidP="00000000" w:rsidRDefault="00000000" w:rsidRPr="00000000" w14:paraId="00000433">
      <w:pPr>
        <w:pStyle w:val="Heading2"/>
        <w:spacing w:before="160" w:line="276" w:lineRule="auto"/>
        <w:rPr>
          <w:rFonts w:ascii="Times New Roman" w:cs="Times New Roman" w:eastAsia="Times New Roman" w:hAnsi="Times New Roman"/>
          <w:b w:val="1"/>
          <w:bCs w:val="1"/>
          <w:sz w:val="28"/>
          <w:szCs w:val="28"/>
        </w:rPr>
      </w:pPr>
      <w:bookmarkStart w:colFirst="0" w:colLast="0" w:name="_q93ytjineci0" w:id="30"/>
      <w:bookmarkEnd w:id="30"/>
      <w:r w:rsidDel="00000000" w:rsidR="00000000" w:rsidRPr="00000000">
        <w:rPr>
          <w:rFonts w:ascii="Times New Roman" w:cs="Times New Roman" w:eastAsia="Times New Roman" w:hAnsi="Times New Roman"/>
          <w:b w:val="1"/>
          <w:bCs w:val="1"/>
          <w:sz w:val="28"/>
          <w:szCs w:val="28"/>
          <w:rtl w:val="0"/>
        </w:rPr>
        <w:t xml:space="preserve">6.1. Descripción de la vista de procesos</w:t>
      </w:r>
    </w:p>
    <w:p w:rsidR="00000000" w:rsidDel="00000000" w:rsidP="00000000" w:rsidRDefault="00000000" w:rsidRPr="00000000" w14:paraId="000004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se documenta mediante diagramas de secuencia de diseño para cada caso de uso del incremento, reflejando la interacción entre los objetos del sistema. Los archivos siguen la convención BCE: Actor, Vista (V_), Controlador (C_), C_PostgreSQL y tablas reales del modelo. Las flechas sólidas representan peticiones, las flechas punteadas representan retornos y las auto-llamadas representan operaciones internas. El conjunto completo de archivos .drawio se lista en el Anexo 13.4.</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spacing w:before="160" w:line="276" w:lineRule="auto"/>
        <w:rPr>
          <w:rFonts w:ascii="Times New Roman" w:cs="Times New Roman" w:eastAsia="Times New Roman" w:hAnsi="Times New Roman"/>
          <w:b w:val="1"/>
          <w:bCs w:val="1"/>
          <w:sz w:val="28"/>
          <w:szCs w:val="28"/>
        </w:rPr>
      </w:pPr>
      <w:bookmarkStart w:colFirst="0" w:colLast="0" w:name="_ju9w581nf7ey" w:id="31"/>
      <w:bookmarkEnd w:id="31"/>
      <w:r w:rsidDel="00000000" w:rsidR="00000000" w:rsidRPr="00000000">
        <w:rPr>
          <w:rFonts w:ascii="Times New Roman" w:cs="Times New Roman" w:eastAsia="Times New Roman" w:hAnsi="Times New Roman"/>
          <w:b w:val="1"/>
          <w:bCs w:val="1"/>
          <w:sz w:val="28"/>
          <w:szCs w:val="28"/>
          <w:rtl w:val="0"/>
        </w:rPr>
        <w:t xml:space="preserve">6.2. Diagramas de secuencia de casos de usos</w:t>
      </w:r>
    </w:p>
    <w:p w:rsidR="00000000" w:rsidDel="00000000" w:rsidP="00000000" w:rsidRDefault="00000000" w:rsidRPr="00000000" w14:paraId="0000043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46 casos de uso del incremento cuenta con su diagrama de secuencia de diseño exportado desde draw.io. Por extensión, los diagramas individuales se incorporan en el Anexo 13.4 y en el archivo comprimido de diagramas entregado junto a este documento; la Tabla 6.1 resume la interacción entre objetos de cada caso.</w:t>
      </w:r>
    </w:p>
    <w:p w:rsidR="00000000" w:rsidDel="00000000" w:rsidP="00000000" w:rsidRDefault="00000000" w:rsidRPr="00000000" w14:paraId="0000043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12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expone seguidamente la Figura 6.1, que exhibe el diseño de interacción para el proceso de autenticación del CU-01.</w:t>
      </w:r>
      <w:r w:rsidDel="00000000" w:rsidR="00000000" w:rsidRPr="00000000">
        <w:rPr>
          <w:rtl w:val="0"/>
        </w:rPr>
      </w:r>
    </w:p>
    <w:p w:rsidR="00000000" w:rsidDel="00000000" w:rsidP="00000000" w:rsidRDefault="00000000" w:rsidRPr="00000000" w14:paraId="0000043A">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290830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 Diagrama de secuencia representativo — CU-01 Iniciar sesión en el sistema</w:t>
      </w:r>
    </w:p>
    <w:p w:rsidR="00000000" w:rsidDel="00000000" w:rsidP="00000000" w:rsidRDefault="00000000" w:rsidRPr="00000000" w14:paraId="0000043C">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3D">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4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 en la cual se detalla el primer flujo de excepción correspondiente al CU01.</w:t>
      </w:r>
    </w:p>
    <w:p w:rsidR="00000000" w:rsidDel="00000000" w:rsidP="00000000" w:rsidRDefault="00000000" w:rsidRPr="00000000" w14:paraId="000004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100"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e3xbtjwqygv" w:id="32"/>
      <w:bookmarkEnd w:id="32"/>
      <w:r w:rsidDel="00000000" w:rsidR="00000000" w:rsidRPr="00000000">
        <w:rPr>
          <w:rFonts w:ascii="Times New Roman" w:cs="Times New Roman" w:eastAsia="Times New Roman" w:hAnsi="Times New Roman"/>
          <w:i w:val="1"/>
          <w:iCs w:val="1"/>
          <w:color w:val="000000"/>
          <w:sz w:val="18"/>
          <w:szCs w:val="18"/>
          <w:rtl w:val="0"/>
        </w:rPr>
        <w:t xml:space="preserve">Figura 6.2: Diagrama de secuencia de excepción 1 correspondiente al CU-01 Iniciando sesión en el sistema</w:t>
      </w:r>
    </w:p>
    <w:p w:rsidR="00000000" w:rsidDel="00000000" w:rsidP="00000000" w:rsidRDefault="00000000" w:rsidRPr="00000000" w14:paraId="000004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 en la cual se detalla el segundo flujo de excepción correspondiente al CU01.</w:t>
      </w:r>
    </w:p>
    <w:p w:rsidR="00000000" w:rsidDel="00000000" w:rsidP="00000000" w:rsidRDefault="00000000" w:rsidRPr="00000000" w14:paraId="0000044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59"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rtz5muguwjsf" w:id="33"/>
      <w:bookmarkEnd w:id="33"/>
      <w:r w:rsidDel="00000000" w:rsidR="00000000" w:rsidRPr="00000000">
        <w:rPr>
          <w:rFonts w:ascii="Times New Roman" w:cs="Times New Roman" w:eastAsia="Times New Roman" w:hAnsi="Times New Roman"/>
          <w:i w:val="1"/>
          <w:iCs w:val="1"/>
          <w:color w:val="000000"/>
          <w:sz w:val="18"/>
          <w:szCs w:val="18"/>
          <w:rtl w:val="0"/>
        </w:rPr>
        <w:t xml:space="preserve">Figura 6.3: Diagrama de secuencia de excepción 2 correspondiente al CU-01 Iniciando sesión en el sistema</w:t>
      </w:r>
    </w:p>
    <w:p w:rsidR="00000000" w:rsidDel="00000000" w:rsidP="00000000" w:rsidRDefault="00000000" w:rsidRPr="00000000" w14:paraId="0000044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8">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 en la cual se detalla el tercer flujo de excepción correspondiente al CU01.</w:t>
      </w:r>
      <w:r w:rsidDel="00000000" w:rsidR="00000000" w:rsidRPr="00000000">
        <w:rPr>
          <w:rtl w:val="0"/>
        </w:rPr>
      </w:r>
    </w:p>
    <w:p w:rsidR="00000000" w:rsidDel="00000000" w:rsidP="00000000" w:rsidRDefault="00000000" w:rsidRPr="00000000" w14:paraId="000004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3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2qdpbdt8rlz" w:id="34"/>
      <w:bookmarkEnd w:id="34"/>
      <w:r w:rsidDel="00000000" w:rsidR="00000000" w:rsidRPr="00000000">
        <w:rPr>
          <w:rFonts w:ascii="Times New Roman" w:cs="Times New Roman" w:eastAsia="Times New Roman" w:hAnsi="Times New Roman"/>
          <w:i w:val="1"/>
          <w:iCs w:val="1"/>
          <w:color w:val="000000"/>
          <w:sz w:val="18"/>
          <w:szCs w:val="18"/>
          <w:rtl w:val="0"/>
        </w:rPr>
        <w:t xml:space="preserve">Figura 6.4: Diagrama de secuencia de excepción 3 correspondiente al CU-01 Iniciando sesión en el sistema</w:t>
      </w:r>
    </w:p>
    <w:p w:rsidR="00000000" w:rsidDel="00000000" w:rsidP="00000000" w:rsidRDefault="00000000" w:rsidRPr="00000000" w14:paraId="0000044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4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al CU02.</w:t>
      </w:r>
    </w:p>
    <w:p w:rsidR="00000000" w:rsidDel="00000000" w:rsidP="00000000" w:rsidRDefault="00000000" w:rsidRPr="00000000" w14:paraId="000004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3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loq2l712sbj" w:id="35"/>
      <w:bookmarkEnd w:id="35"/>
      <w:r w:rsidDel="00000000" w:rsidR="00000000" w:rsidRPr="00000000">
        <w:rPr>
          <w:rFonts w:ascii="Times New Roman" w:cs="Times New Roman" w:eastAsia="Times New Roman" w:hAnsi="Times New Roman"/>
          <w:i w:val="1"/>
          <w:iCs w:val="1"/>
          <w:color w:val="000000"/>
          <w:sz w:val="18"/>
          <w:szCs w:val="18"/>
          <w:rtl w:val="0"/>
        </w:rPr>
        <w:t xml:space="preserve">Figura 6.5: Diagrama de secuencia correspondiente al CU02: Verificar permisos del rol al acceder a una funcionalidad</w:t>
      </w:r>
    </w:p>
    <w:p w:rsidR="00000000" w:rsidDel="00000000" w:rsidP="00000000" w:rsidRDefault="00000000" w:rsidRPr="00000000" w14:paraId="0000045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 en la cual se detalla el primer flujo de excepción correspondiente al CU02.</w:t>
      </w:r>
    </w:p>
    <w:p w:rsidR="00000000" w:rsidDel="00000000" w:rsidP="00000000" w:rsidRDefault="00000000" w:rsidRPr="00000000" w14:paraId="000004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74"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oyv1dq00t2m" w:id="36"/>
      <w:bookmarkEnd w:id="36"/>
      <w:r w:rsidDel="00000000" w:rsidR="00000000" w:rsidRPr="00000000">
        <w:rPr>
          <w:rFonts w:ascii="Times New Roman" w:cs="Times New Roman" w:eastAsia="Times New Roman" w:hAnsi="Times New Roman"/>
          <w:i w:val="1"/>
          <w:iCs w:val="1"/>
          <w:color w:val="000000"/>
          <w:sz w:val="18"/>
          <w:szCs w:val="18"/>
          <w:rtl w:val="0"/>
        </w:rPr>
        <w:t xml:space="preserve">Figura 6.6: Diagrama de secuencia de excepción 1 correspondiente al CU02: Verificar permisos del rol al acceder a una funcionalidad</w:t>
      </w:r>
    </w:p>
    <w:p w:rsidR="00000000" w:rsidDel="00000000" w:rsidP="00000000" w:rsidRDefault="00000000" w:rsidRPr="00000000" w14:paraId="0000045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6.7, en la cual se detalla el diagrama de secuencia correspondiente al CU03.</w:t>
      </w:r>
    </w:p>
    <w:p w:rsidR="00000000" w:rsidDel="00000000" w:rsidP="00000000" w:rsidRDefault="00000000" w:rsidRPr="00000000" w14:paraId="000004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106"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u575dzhkeo" w:id="37"/>
      <w:bookmarkEnd w:id="37"/>
      <w:r w:rsidDel="00000000" w:rsidR="00000000" w:rsidRPr="00000000">
        <w:rPr>
          <w:rFonts w:ascii="Times New Roman" w:cs="Times New Roman" w:eastAsia="Times New Roman" w:hAnsi="Times New Roman"/>
          <w:i w:val="1"/>
          <w:iCs w:val="1"/>
          <w:color w:val="000000"/>
          <w:sz w:val="18"/>
          <w:szCs w:val="18"/>
          <w:rtl w:val="0"/>
        </w:rPr>
        <w:t xml:space="preserve">Figura 6.7: Diagrama de secuencia correspondiente al CU03: Bloquear acceso a recursos no autorizados </w:t>
      </w:r>
    </w:p>
    <w:p w:rsidR="00000000" w:rsidDel="00000000" w:rsidP="00000000" w:rsidRDefault="00000000" w:rsidRPr="00000000" w14:paraId="0000045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6.8, en la cual se detalla el primer flujo de excepción correspondiente al CU03.</w:t>
      </w:r>
    </w:p>
    <w:p w:rsidR="00000000" w:rsidDel="00000000" w:rsidP="00000000" w:rsidRDefault="00000000" w:rsidRPr="00000000" w14:paraId="000004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b15tjt8ovro" w:id="38"/>
      <w:bookmarkEnd w:id="38"/>
      <w:r w:rsidDel="00000000" w:rsidR="00000000" w:rsidRPr="00000000">
        <w:rPr>
          <w:rFonts w:ascii="Times New Roman" w:cs="Times New Roman" w:eastAsia="Times New Roman" w:hAnsi="Times New Roman"/>
          <w:i w:val="1"/>
          <w:iCs w:val="1"/>
          <w:color w:val="000000"/>
          <w:sz w:val="18"/>
          <w:szCs w:val="18"/>
          <w:rtl w:val="0"/>
        </w:rPr>
        <w:t xml:space="preserve">Figura 6.8: Diagrama de secuencia de excepción 1 correspondiente al CU03: Bloquear acceso a recursos no autorizados.</w:t>
      </w:r>
    </w:p>
    <w:p w:rsidR="00000000" w:rsidDel="00000000" w:rsidP="00000000" w:rsidRDefault="00000000" w:rsidRPr="00000000" w14:paraId="0000045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6.9, en la cual se detalla el diagrama de secuencia correspondiente al CU04.</w:t>
      </w:r>
    </w:p>
    <w:p w:rsidR="00000000" w:rsidDel="00000000" w:rsidP="00000000" w:rsidRDefault="00000000" w:rsidRPr="00000000" w14:paraId="0000046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07"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v8q7zcrik20" w:id="39"/>
      <w:bookmarkEnd w:id="39"/>
      <w:r w:rsidDel="00000000" w:rsidR="00000000" w:rsidRPr="00000000">
        <w:rPr>
          <w:rFonts w:ascii="Times New Roman" w:cs="Times New Roman" w:eastAsia="Times New Roman" w:hAnsi="Times New Roman"/>
          <w:i w:val="1"/>
          <w:iCs w:val="1"/>
          <w:color w:val="000000"/>
          <w:sz w:val="18"/>
          <w:szCs w:val="18"/>
          <w:rtl w:val="0"/>
        </w:rPr>
        <w:t xml:space="preserve">Figura 6.9: Diagrama de secuencia correspondiente al CU04: Crear cuenta de usuario.</w:t>
      </w:r>
    </w:p>
    <w:p w:rsidR="00000000" w:rsidDel="00000000" w:rsidP="00000000" w:rsidRDefault="00000000" w:rsidRPr="00000000" w14:paraId="0000046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 en la cual se detalla el primer flujo de excepción correspondiente al CU04.</w:t>
      </w:r>
    </w:p>
    <w:p w:rsidR="00000000" w:rsidDel="00000000" w:rsidP="00000000" w:rsidRDefault="00000000" w:rsidRPr="00000000" w14:paraId="000004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6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s580h5xyxor" w:id="40"/>
      <w:bookmarkEnd w:id="40"/>
      <w:r w:rsidDel="00000000" w:rsidR="00000000" w:rsidRPr="00000000">
        <w:rPr>
          <w:rFonts w:ascii="Times New Roman" w:cs="Times New Roman" w:eastAsia="Times New Roman" w:hAnsi="Times New Roman"/>
          <w:i w:val="1"/>
          <w:iCs w:val="1"/>
          <w:color w:val="000000"/>
          <w:sz w:val="18"/>
          <w:szCs w:val="18"/>
          <w:rtl w:val="0"/>
        </w:rPr>
        <w:t xml:space="preserve">Figura 6.10: Diagrama de secuencia de excepción 1 correspondiente al CU04: Crear cuenta de usuario.</w:t>
      </w:r>
    </w:p>
    <w:p w:rsidR="00000000" w:rsidDel="00000000" w:rsidP="00000000" w:rsidRDefault="00000000" w:rsidRPr="00000000" w14:paraId="0000046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6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6.11, en la cual se detalla el segundo flujo de excepción correspondiente al CU04.</w:t>
      </w:r>
    </w:p>
    <w:p w:rsidR="00000000" w:rsidDel="00000000" w:rsidP="00000000" w:rsidRDefault="00000000" w:rsidRPr="00000000" w14:paraId="0000046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009bqfj3jd9" w:id="41"/>
      <w:bookmarkEnd w:id="41"/>
      <w:r w:rsidDel="00000000" w:rsidR="00000000" w:rsidRPr="00000000">
        <w:rPr>
          <w:rFonts w:ascii="Times New Roman" w:cs="Times New Roman" w:eastAsia="Times New Roman" w:hAnsi="Times New Roman"/>
          <w:i w:val="1"/>
          <w:iCs w:val="1"/>
          <w:color w:val="000000"/>
          <w:sz w:val="18"/>
          <w:szCs w:val="18"/>
          <w:rtl w:val="0"/>
        </w:rPr>
        <w:t xml:space="preserve">Figura 6.11: Diagrama de secuencia de excepción 2 correspondiente al CU04: Crear cuenta de usuario.</w:t>
      </w:r>
    </w:p>
    <w:p w:rsidR="00000000" w:rsidDel="00000000" w:rsidP="00000000" w:rsidRDefault="00000000" w:rsidRPr="00000000" w14:paraId="0000046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6.12, en la cual se detalla el tercer flujo de excepción correspondiente al CU04.</w:t>
      </w:r>
    </w:p>
    <w:p w:rsidR="00000000" w:rsidDel="00000000" w:rsidP="00000000" w:rsidRDefault="00000000" w:rsidRPr="00000000" w14:paraId="000004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43"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te66xkh2bt2" w:id="42"/>
      <w:bookmarkEnd w:id="42"/>
      <w:r w:rsidDel="00000000" w:rsidR="00000000" w:rsidRPr="00000000">
        <w:rPr>
          <w:rFonts w:ascii="Times New Roman" w:cs="Times New Roman" w:eastAsia="Times New Roman" w:hAnsi="Times New Roman"/>
          <w:i w:val="1"/>
          <w:iCs w:val="1"/>
          <w:color w:val="000000"/>
          <w:sz w:val="18"/>
          <w:szCs w:val="18"/>
          <w:rtl w:val="0"/>
        </w:rPr>
        <w:t xml:space="preserve">Figura 6.12: Diagrama de secuencia de excepción 3 correspondiente al CU04: Crear cuenta de usuario.</w:t>
      </w:r>
    </w:p>
    <w:p w:rsidR="00000000" w:rsidDel="00000000" w:rsidP="00000000" w:rsidRDefault="00000000" w:rsidRPr="00000000" w14:paraId="0000047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6.13, en la cual se detalla el diagrama de secuencia correspondiente al CU05.</w:t>
      </w:r>
    </w:p>
    <w:p w:rsidR="00000000" w:rsidDel="00000000" w:rsidP="00000000" w:rsidRDefault="00000000" w:rsidRPr="00000000" w14:paraId="0000047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92"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od2isgewk7q" w:id="43"/>
      <w:bookmarkEnd w:id="43"/>
      <w:r w:rsidDel="00000000" w:rsidR="00000000" w:rsidRPr="00000000">
        <w:rPr>
          <w:rFonts w:ascii="Times New Roman" w:cs="Times New Roman" w:eastAsia="Times New Roman" w:hAnsi="Times New Roman"/>
          <w:i w:val="1"/>
          <w:iCs w:val="1"/>
          <w:color w:val="000000"/>
          <w:sz w:val="18"/>
          <w:szCs w:val="18"/>
          <w:rtl w:val="0"/>
        </w:rPr>
        <w:t xml:space="preserve">Figura 6.13: Diagrama de secuencia correspondiente al CU05: Consultando listado de usuarios.</w:t>
      </w:r>
    </w:p>
    <w:p w:rsidR="00000000" w:rsidDel="00000000" w:rsidP="00000000" w:rsidRDefault="00000000" w:rsidRPr="00000000" w14:paraId="0000047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6.14, en la cual se detalla el primer flujo de excepción correspondiente al CU05.</w:t>
      </w:r>
    </w:p>
    <w:p w:rsidR="00000000" w:rsidDel="00000000" w:rsidP="00000000" w:rsidRDefault="00000000" w:rsidRPr="00000000" w14:paraId="000004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78"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0zi9bjk3vsb" w:id="44"/>
      <w:bookmarkEnd w:id="44"/>
      <w:r w:rsidDel="00000000" w:rsidR="00000000" w:rsidRPr="00000000">
        <w:rPr>
          <w:rFonts w:ascii="Times New Roman" w:cs="Times New Roman" w:eastAsia="Times New Roman" w:hAnsi="Times New Roman"/>
          <w:i w:val="1"/>
          <w:iCs w:val="1"/>
          <w:color w:val="000000"/>
          <w:sz w:val="18"/>
          <w:szCs w:val="18"/>
          <w:rtl w:val="0"/>
        </w:rPr>
        <w:t xml:space="preserve">Figura 6.14: Diagrama de secuencia de excepción 1 correspondiente al CU05: Consultando listado de usuarios.</w:t>
      </w:r>
    </w:p>
    <w:p w:rsidR="00000000" w:rsidDel="00000000" w:rsidP="00000000" w:rsidRDefault="00000000" w:rsidRPr="00000000" w14:paraId="0000047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7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6.15, en la cual se detalla el diagrama de secuencia correspondiente al CU06.</w:t>
      </w:r>
      <w:r w:rsidDel="00000000" w:rsidR="00000000" w:rsidRPr="00000000">
        <w:rPr>
          <w:rtl w:val="0"/>
        </w:rPr>
      </w:r>
    </w:p>
    <w:p w:rsidR="00000000" w:rsidDel="00000000" w:rsidP="00000000" w:rsidRDefault="00000000" w:rsidRPr="00000000" w14:paraId="0000048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93"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jpuk6ioc6dn" w:id="45"/>
      <w:bookmarkEnd w:id="45"/>
      <w:r w:rsidDel="00000000" w:rsidR="00000000" w:rsidRPr="00000000">
        <w:rPr>
          <w:rFonts w:ascii="Times New Roman" w:cs="Times New Roman" w:eastAsia="Times New Roman" w:hAnsi="Times New Roman"/>
          <w:i w:val="1"/>
          <w:iCs w:val="1"/>
          <w:color w:val="000000"/>
          <w:sz w:val="18"/>
          <w:szCs w:val="18"/>
          <w:rtl w:val="0"/>
        </w:rPr>
        <w:t xml:space="preserve">Figura 6.15: Diagrama de secuencia correspondiente al CU06: Editar cuenta de usuario.</w:t>
      </w:r>
    </w:p>
    <w:p w:rsidR="00000000" w:rsidDel="00000000" w:rsidP="00000000" w:rsidRDefault="00000000" w:rsidRPr="00000000" w14:paraId="0000048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6.16, en la cual se detalla el primer flujo de excepción correspondiente al CU06.</w:t>
      </w:r>
      <w:r w:rsidDel="00000000" w:rsidR="00000000" w:rsidRPr="00000000">
        <w:rPr>
          <w:rtl w:val="0"/>
        </w:rPr>
      </w:r>
    </w:p>
    <w:p w:rsidR="00000000" w:rsidDel="00000000" w:rsidP="00000000" w:rsidRDefault="00000000" w:rsidRPr="00000000" w14:paraId="0000048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9"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licobt8g69b" w:id="46"/>
      <w:bookmarkEnd w:id="46"/>
      <w:r w:rsidDel="00000000" w:rsidR="00000000" w:rsidRPr="00000000">
        <w:rPr>
          <w:rFonts w:ascii="Times New Roman" w:cs="Times New Roman" w:eastAsia="Times New Roman" w:hAnsi="Times New Roman"/>
          <w:i w:val="1"/>
          <w:iCs w:val="1"/>
          <w:color w:val="000000"/>
          <w:sz w:val="18"/>
          <w:szCs w:val="18"/>
          <w:rtl w:val="0"/>
        </w:rPr>
        <w:t xml:space="preserve">Figura 6.16: Diagrama de secuencia de excepción 1 correspondiente al CU06: Editar cuenta de usuario.</w:t>
      </w:r>
    </w:p>
    <w:p w:rsidR="00000000" w:rsidDel="00000000" w:rsidP="00000000" w:rsidRDefault="00000000" w:rsidRPr="00000000" w14:paraId="0000048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8">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6.17, en la cual se detalla el segundo flujo de excepción correspondiente al CU06.</w:t>
      </w:r>
      <w:r w:rsidDel="00000000" w:rsidR="00000000" w:rsidRPr="00000000">
        <w:rPr>
          <w:rtl w:val="0"/>
        </w:rPr>
      </w:r>
    </w:p>
    <w:p w:rsidR="00000000" w:rsidDel="00000000" w:rsidP="00000000" w:rsidRDefault="00000000" w:rsidRPr="00000000" w14:paraId="0000048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44600"/>
            <wp:effectExtent b="0" l="0" r="0" t="0"/>
            <wp:docPr id="99" name="image97.png"/>
            <a:graphic>
              <a:graphicData uri="http://schemas.openxmlformats.org/drawingml/2006/picture">
                <pic:pic>
                  <pic:nvPicPr>
                    <pic:cNvPr id="0" name="image97.png"/>
                    <pic:cNvPicPr preferRelativeResize="0"/>
                  </pic:nvPicPr>
                  <pic:blipFill>
                    <a:blip r:embed="rId2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f91fiuz8csse" w:id="47"/>
      <w:bookmarkEnd w:id="47"/>
      <w:r w:rsidDel="00000000" w:rsidR="00000000" w:rsidRPr="00000000">
        <w:rPr>
          <w:rFonts w:ascii="Times New Roman" w:cs="Times New Roman" w:eastAsia="Times New Roman" w:hAnsi="Times New Roman"/>
          <w:i w:val="1"/>
          <w:iCs w:val="1"/>
          <w:color w:val="000000"/>
          <w:sz w:val="18"/>
          <w:szCs w:val="18"/>
          <w:rtl w:val="0"/>
        </w:rPr>
        <w:t xml:space="preserve">Figura 6.17: Diagrama de secuencia de excepción 2 correspondiente al CU06: Editar cuenta de usuario.</w:t>
      </w:r>
    </w:p>
    <w:p w:rsidR="00000000" w:rsidDel="00000000" w:rsidP="00000000" w:rsidRDefault="00000000" w:rsidRPr="00000000" w14:paraId="0000048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8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6.18, en la cual se detalla el diagrama de secuencia correspondiente al CU07.</w:t>
      </w:r>
      <w:r w:rsidDel="00000000" w:rsidR="00000000" w:rsidRPr="00000000">
        <w:rPr>
          <w:rtl w:val="0"/>
        </w:rPr>
      </w:r>
    </w:p>
    <w:p w:rsidR="00000000" w:rsidDel="00000000" w:rsidP="00000000" w:rsidRDefault="00000000" w:rsidRPr="00000000" w14:paraId="0000048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52700"/>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q3n4gw995ud" w:id="48"/>
      <w:bookmarkEnd w:id="48"/>
      <w:r w:rsidDel="00000000" w:rsidR="00000000" w:rsidRPr="00000000">
        <w:rPr>
          <w:rFonts w:ascii="Times New Roman" w:cs="Times New Roman" w:eastAsia="Times New Roman" w:hAnsi="Times New Roman"/>
          <w:i w:val="1"/>
          <w:iCs w:val="1"/>
          <w:color w:val="000000"/>
          <w:sz w:val="18"/>
          <w:szCs w:val="18"/>
          <w:rtl w:val="0"/>
        </w:rPr>
        <w:t xml:space="preserve">Figura 6.18: Diagrama de secuencia correspondiente al CU07: Desactivar cuenta de usuario.</w:t>
      </w:r>
    </w:p>
    <w:p w:rsidR="00000000" w:rsidDel="00000000" w:rsidP="00000000" w:rsidRDefault="00000000" w:rsidRPr="00000000" w14:paraId="0000049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6.19, en la cual se detalla el primer flujo de excepción correspondiente al CU07.</w:t>
      </w:r>
      <w:r w:rsidDel="00000000" w:rsidR="00000000" w:rsidRPr="00000000">
        <w:rPr>
          <w:rtl w:val="0"/>
        </w:rPr>
      </w:r>
    </w:p>
    <w:p w:rsidR="00000000" w:rsidDel="00000000" w:rsidP="00000000" w:rsidRDefault="00000000" w:rsidRPr="00000000" w14:paraId="0000049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09700"/>
            <wp:effectExtent b="0" l="0" r="0" t="0"/>
            <wp:docPr id="4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5wdl7vvccbj4" w:id="49"/>
      <w:bookmarkEnd w:id="49"/>
      <w:r w:rsidDel="00000000" w:rsidR="00000000" w:rsidRPr="00000000">
        <w:rPr>
          <w:rFonts w:ascii="Times New Roman" w:cs="Times New Roman" w:eastAsia="Times New Roman" w:hAnsi="Times New Roman"/>
          <w:i w:val="1"/>
          <w:iCs w:val="1"/>
          <w:color w:val="000000"/>
          <w:sz w:val="18"/>
          <w:szCs w:val="18"/>
          <w:rtl w:val="0"/>
        </w:rPr>
        <w:t xml:space="preserve">Figura 6.19: Diagrama de secuencia de excepción 1 correspondiente al CU07: Desactivar cuenta de usuario.</w:t>
      </w:r>
    </w:p>
    <w:p w:rsidR="00000000" w:rsidDel="00000000" w:rsidP="00000000" w:rsidRDefault="00000000" w:rsidRPr="00000000" w14:paraId="0000049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6.20, en la cual se detalla el diagrama de secuencia correspondiente al CU08.</w:t>
      </w:r>
    </w:p>
    <w:p w:rsidR="00000000" w:rsidDel="00000000" w:rsidP="00000000" w:rsidRDefault="00000000" w:rsidRPr="00000000" w14:paraId="0000049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06600"/>
            <wp:effectExtent b="0" l="0" r="0" t="0"/>
            <wp:docPr id="108" name="image106.png"/>
            <a:graphic>
              <a:graphicData uri="http://schemas.openxmlformats.org/drawingml/2006/picture">
                <pic:pic>
                  <pic:nvPicPr>
                    <pic:cNvPr id="0" name="image106.png"/>
                    <pic:cNvPicPr preferRelativeResize="0"/>
                  </pic:nvPicPr>
                  <pic:blipFill>
                    <a:blip r:embed="rId2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02em1da418n" w:id="50"/>
      <w:bookmarkEnd w:id="50"/>
      <w:r w:rsidDel="00000000" w:rsidR="00000000" w:rsidRPr="00000000">
        <w:rPr>
          <w:rFonts w:ascii="Times New Roman" w:cs="Times New Roman" w:eastAsia="Times New Roman" w:hAnsi="Times New Roman"/>
          <w:i w:val="1"/>
          <w:iCs w:val="1"/>
          <w:color w:val="000000"/>
          <w:sz w:val="18"/>
          <w:szCs w:val="18"/>
          <w:rtl w:val="0"/>
        </w:rPr>
        <w:t xml:space="preserve">Figura 6.20: Diagrama de secuencia correspondiente al CU08: Registrar evento en el log de auditoría.</w:t>
      </w:r>
    </w:p>
    <w:p w:rsidR="00000000" w:rsidDel="00000000" w:rsidP="00000000" w:rsidRDefault="00000000" w:rsidRPr="00000000" w14:paraId="0000049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6.21, en la cual se detalla el primer flujo de excepción correspondiente al CU08.</w:t>
      </w:r>
    </w:p>
    <w:p w:rsidR="00000000" w:rsidDel="00000000" w:rsidP="00000000" w:rsidRDefault="00000000" w:rsidRPr="00000000" w14:paraId="000004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35"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ydpghcadch2" w:id="51"/>
      <w:bookmarkEnd w:id="51"/>
      <w:r w:rsidDel="00000000" w:rsidR="00000000" w:rsidRPr="00000000">
        <w:rPr>
          <w:rFonts w:ascii="Times New Roman" w:cs="Times New Roman" w:eastAsia="Times New Roman" w:hAnsi="Times New Roman"/>
          <w:i w:val="1"/>
          <w:iCs w:val="1"/>
          <w:color w:val="000000"/>
          <w:sz w:val="18"/>
          <w:szCs w:val="18"/>
          <w:rtl w:val="0"/>
        </w:rPr>
        <w:t xml:space="preserve">Figura 6.21: Diagrama de secuencia de excepción 1 correspondiente al CU08: Registrar evento en el log de auditoría.</w:t>
      </w:r>
    </w:p>
    <w:p w:rsidR="00000000" w:rsidDel="00000000" w:rsidP="00000000" w:rsidRDefault="00000000" w:rsidRPr="00000000" w14:paraId="000004A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6.22, en la cual se detalla el diagrama de secuencia correspondiente al CU09.</w:t>
      </w:r>
    </w:p>
    <w:p w:rsidR="00000000" w:rsidDel="00000000" w:rsidP="00000000" w:rsidRDefault="00000000" w:rsidRPr="00000000" w14:paraId="000004A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32"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dbwo0gdg1dpq" w:id="52"/>
      <w:bookmarkEnd w:id="52"/>
      <w:r w:rsidDel="00000000" w:rsidR="00000000" w:rsidRPr="00000000">
        <w:rPr>
          <w:rFonts w:ascii="Times New Roman" w:cs="Times New Roman" w:eastAsia="Times New Roman" w:hAnsi="Times New Roman"/>
          <w:i w:val="1"/>
          <w:iCs w:val="1"/>
          <w:color w:val="000000"/>
          <w:sz w:val="18"/>
          <w:szCs w:val="18"/>
          <w:rtl w:val="0"/>
        </w:rPr>
        <w:t xml:space="preserve">Figura 6.22: Diagrama de secuencia correspondiente al CU09: Consultar log de auditoría.</w:t>
      </w:r>
    </w:p>
    <w:p w:rsidR="00000000" w:rsidDel="00000000" w:rsidP="00000000" w:rsidRDefault="00000000" w:rsidRPr="00000000" w14:paraId="000004A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6">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6.23, en la cual se detalla el primer flujo de excepción correspondiente al CU09.</w:t>
      </w:r>
    </w:p>
    <w:p w:rsidR="00000000" w:rsidDel="00000000" w:rsidP="00000000" w:rsidRDefault="00000000" w:rsidRPr="00000000" w14:paraId="000004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63"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2j850r9y3vq" w:id="53"/>
      <w:bookmarkEnd w:id="53"/>
      <w:r w:rsidDel="00000000" w:rsidR="00000000" w:rsidRPr="00000000">
        <w:rPr>
          <w:rFonts w:ascii="Times New Roman" w:cs="Times New Roman" w:eastAsia="Times New Roman" w:hAnsi="Times New Roman"/>
          <w:i w:val="1"/>
          <w:iCs w:val="1"/>
          <w:color w:val="000000"/>
          <w:sz w:val="18"/>
          <w:szCs w:val="18"/>
          <w:rtl w:val="0"/>
        </w:rPr>
        <w:t xml:space="preserve">Figura 6.23: Diagrama de secuencia de excepción 1 correspondiente al CU09: Consultar log de auditoría.</w:t>
      </w:r>
    </w:p>
    <w:p w:rsidR="00000000" w:rsidDel="00000000" w:rsidP="00000000" w:rsidRDefault="00000000" w:rsidRPr="00000000" w14:paraId="000004A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A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6.24, en la cual se detalla el diagrama de secuencia correspondiente al CU10.</w:t>
      </w:r>
      <w:r w:rsidDel="00000000" w:rsidR="00000000" w:rsidRPr="00000000">
        <w:rPr>
          <w:rtl w:val="0"/>
        </w:rPr>
      </w:r>
    </w:p>
    <w:p w:rsidR="00000000" w:rsidDel="00000000" w:rsidP="00000000" w:rsidRDefault="00000000" w:rsidRPr="00000000" w14:paraId="000004AD">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71" name="image74.png"/>
            <a:graphic>
              <a:graphicData uri="http://schemas.openxmlformats.org/drawingml/2006/picture">
                <pic:pic>
                  <pic:nvPicPr>
                    <pic:cNvPr id="0" name="image74.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6v9cjrk7svc" w:id="54"/>
      <w:bookmarkEnd w:id="54"/>
      <w:r w:rsidDel="00000000" w:rsidR="00000000" w:rsidRPr="00000000">
        <w:rPr>
          <w:rFonts w:ascii="Times New Roman" w:cs="Times New Roman" w:eastAsia="Times New Roman" w:hAnsi="Times New Roman"/>
          <w:i w:val="1"/>
          <w:iCs w:val="1"/>
          <w:color w:val="000000"/>
          <w:sz w:val="18"/>
          <w:szCs w:val="18"/>
          <w:rtl w:val="0"/>
        </w:rPr>
        <w:t xml:space="preserve">Figura 6.24: Diagrama de secuencia correspondiente al CU10: Restableciendo contraseña de usuario.</w:t>
      </w:r>
    </w:p>
    <w:p w:rsidR="00000000" w:rsidDel="00000000" w:rsidP="00000000" w:rsidRDefault="00000000" w:rsidRPr="00000000" w14:paraId="000004A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6.25, en la cual se detalla el primer flujo de excepción correspondiente al CU10.</w:t>
      </w:r>
    </w:p>
    <w:p w:rsidR="00000000" w:rsidDel="00000000" w:rsidP="00000000" w:rsidRDefault="00000000" w:rsidRPr="00000000" w14:paraId="000004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n3ft94qvany" w:id="55"/>
      <w:bookmarkEnd w:id="55"/>
      <w:r w:rsidDel="00000000" w:rsidR="00000000" w:rsidRPr="00000000">
        <w:rPr>
          <w:rFonts w:ascii="Times New Roman" w:cs="Times New Roman" w:eastAsia="Times New Roman" w:hAnsi="Times New Roman"/>
          <w:i w:val="1"/>
          <w:iCs w:val="1"/>
          <w:color w:val="000000"/>
          <w:sz w:val="18"/>
          <w:szCs w:val="18"/>
          <w:rtl w:val="0"/>
        </w:rPr>
        <w:t xml:space="preserve">Figura 6.25: Diagrama de secuencia de excepción 1 correspondiente al CU10: Restableciendo contraseña de usuario.</w:t>
      </w:r>
    </w:p>
    <w:p w:rsidR="00000000" w:rsidDel="00000000" w:rsidP="00000000" w:rsidRDefault="00000000" w:rsidRPr="00000000" w14:paraId="000004B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6.26, en la cual se detalla el diagrama de secuencia correspondiente al CU11.</w:t>
      </w:r>
    </w:p>
    <w:p w:rsidR="00000000" w:rsidDel="00000000" w:rsidP="00000000" w:rsidRDefault="00000000" w:rsidRPr="00000000" w14:paraId="000004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04" name="image104.png"/>
            <a:graphic>
              <a:graphicData uri="http://schemas.openxmlformats.org/drawingml/2006/picture">
                <pic:pic>
                  <pic:nvPicPr>
                    <pic:cNvPr id="0" name="image104.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eoef2atact" w:id="56"/>
      <w:bookmarkEnd w:id="56"/>
      <w:r w:rsidDel="00000000" w:rsidR="00000000" w:rsidRPr="00000000">
        <w:rPr>
          <w:rFonts w:ascii="Times New Roman" w:cs="Times New Roman" w:eastAsia="Times New Roman" w:hAnsi="Times New Roman"/>
          <w:i w:val="1"/>
          <w:iCs w:val="1"/>
          <w:color w:val="000000"/>
          <w:sz w:val="18"/>
          <w:szCs w:val="18"/>
          <w:rtl w:val="0"/>
        </w:rPr>
        <w:t xml:space="preserve">Figura 6.26: Diagrama de secuencia correspondiente al CU11: cerrando sesión automáticamente por inactividad.</w:t>
      </w:r>
    </w:p>
    <w:p w:rsidR="00000000" w:rsidDel="00000000" w:rsidP="00000000" w:rsidRDefault="00000000" w:rsidRPr="00000000" w14:paraId="000004B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B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6.27, en la cual se detalla el primer flujo de excepción correspondiente al CU11.</w:t>
      </w:r>
    </w:p>
    <w:p w:rsidR="00000000" w:rsidDel="00000000" w:rsidP="00000000" w:rsidRDefault="00000000" w:rsidRPr="00000000" w14:paraId="000004BC">
      <w:pPr>
        <w:spacing w:after="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4343400"/>
            <wp:effectExtent b="0" l="0" r="0" t="0"/>
            <wp:docPr id="84" name="image89.png"/>
            <a:graphic>
              <a:graphicData uri="http://schemas.openxmlformats.org/drawingml/2006/picture">
                <pic:pic>
                  <pic:nvPicPr>
                    <pic:cNvPr id="0" name="image89.png"/>
                    <pic:cNvPicPr preferRelativeResize="0"/>
                  </pic:nvPicPr>
                  <pic:blipFill>
                    <a:blip r:embed="rId33"/>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ifjtrtkzmp1" w:id="57"/>
      <w:bookmarkEnd w:id="57"/>
      <w:r w:rsidDel="00000000" w:rsidR="00000000" w:rsidRPr="00000000">
        <w:rPr>
          <w:rFonts w:ascii="Times New Roman" w:cs="Times New Roman" w:eastAsia="Times New Roman" w:hAnsi="Times New Roman"/>
          <w:i w:val="1"/>
          <w:iCs w:val="1"/>
          <w:color w:val="000000"/>
          <w:sz w:val="18"/>
          <w:szCs w:val="18"/>
          <w:rtl w:val="0"/>
        </w:rPr>
        <w:t xml:space="preserve">Figura 6.27: Diagrama de secuencia de excepción 1 correspondiente al CU11: cerrando sesión automáticamente por inactividad.</w:t>
      </w:r>
    </w:p>
    <w:p w:rsidR="00000000" w:rsidDel="00000000" w:rsidP="00000000" w:rsidRDefault="00000000" w:rsidRPr="00000000" w14:paraId="000004B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F">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C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6.28, en la cual se detalla el diagrama de secuencia correspondiente al CU12.</w:t>
      </w:r>
    </w:p>
    <w:p w:rsidR="00000000" w:rsidDel="00000000" w:rsidP="00000000" w:rsidRDefault="00000000" w:rsidRPr="00000000" w14:paraId="000004C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d7ik9dl3k73" w:id="58"/>
      <w:bookmarkEnd w:id="58"/>
      <w:r w:rsidDel="00000000" w:rsidR="00000000" w:rsidRPr="00000000">
        <w:rPr>
          <w:rFonts w:ascii="Times New Roman" w:cs="Times New Roman" w:eastAsia="Times New Roman" w:hAnsi="Times New Roman"/>
          <w:i w:val="1"/>
          <w:iCs w:val="1"/>
          <w:color w:val="000000"/>
          <w:sz w:val="18"/>
          <w:szCs w:val="18"/>
          <w:rtl w:val="0"/>
        </w:rPr>
        <w:t xml:space="preserve">Figura 6.28: Diagrama de secuencia correspondiente al CU12: Cerrar sesión del sistema</w:t>
      </w:r>
    </w:p>
    <w:p w:rsidR="00000000" w:rsidDel="00000000" w:rsidP="00000000" w:rsidRDefault="00000000" w:rsidRPr="00000000" w14:paraId="000004C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6.29, en la cual se detalla el primer flujo de excepción correspondiente al CU12.</w:t>
      </w:r>
    </w:p>
    <w:p w:rsidR="00000000" w:rsidDel="00000000" w:rsidP="00000000" w:rsidRDefault="00000000" w:rsidRPr="00000000" w14:paraId="000004C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17600"/>
            <wp:effectExtent b="0" l="0" r="0" t="0"/>
            <wp:docPr id="3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bs0gla2kgqww" w:id="59"/>
      <w:bookmarkEnd w:id="59"/>
      <w:r w:rsidDel="00000000" w:rsidR="00000000" w:rsidRPr="00000000">
        <w:rPr>
          <w:rFonts w:ascii="Times New Roman" w:cs="Times New Roman" w:eastAsia="Times New Roman" w:hAnsi="Times New Roman"/>
          <w:i w:val="1"/>
          <w:iCs w:val="1"/>
          <w:color w:val="000000"/>
          <w:sz w:val="18"/>
          <w:szCs w:val="18"/>
          <w:rtl w:val="0"/>
        </w:rPr>
        <w:t xml:space="preserve">Figura 6.29: Diagrama de secuencia de excepción 1 correspondiente al CU12: Cerrar sesión del sistema</w:t>
      </w:r>
    </w:p>
    <w:p w:rsidR="00000000" w:rsidDel="00000000" w:rsidP="00000000" w:rsidRDefault="00000000" w:rsidRPr="00000000" w14:paraId="000004C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C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C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6.30, en la cual se detalla el diagrama de secuencia correspondiente al CU13.</w:t>
      </w:r>
    </w:p>
    <w:p w:rsidR="00000000" w:rsidDel="00000000" w:rsidP="00000000" w:rsidRDefault="00000000" w:rsidRPr="00000000" w14:paraId="000004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0" name="image70.png"/>
            <a:graphic>
              <a:graphicData uri="http://schemas.openxmlformats.org/drawingml/2006/picture">
                <pic:pic>
                  <pic:nvPicPr>
                    <pic:cNvPr id="0" name="image70.png"/>
                    <pic:cNvPicPr preferRelativeResize="0"/>
                  </pic:nvPicPr>
                  <pic:blipFill>
                    <a:blip r:embed="rId3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69tvp2pan4g" w:id="60"/>
      <w:bookmarkEnd w:id="60"/>
      <w:r w:rsidDel="00000000" w:rsidR="00000000" w:rsidRPr="00000000">
        <w:rPr>
          <w:rFonts w:ascii="Times New Roman" w:cs="Times New Roman" w:eastAsia="Times New Roman" w:hAnsi="Times New Roman"/>
          <w:i w:val="1"/>
          <w:iCs w:val="1"/>
          <w:color w:val="000000"/>
          <w:sz w:val="18"/>
          <w:szCs w:val="18"/>
          <w:rtl w:val="0"/>
        </w:rPr>
        <w:t xml:space="preserve">Figura 6.30: Diagrama de secuencia correspondiente al CU13: Cargar contexto de empresa Finet al iniciar sesión.</w:t>
      </w:r>
    </w:p>
    <w:p w:rsidR="00000000" w:rsidDel="00000000" w:rsidP="00000000" w:rsidRDefault="00000000" w:rsidRPr="00000000" w14:paraId="000004C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6.31, en la cual se detalla el primer flujo de excepción correspondiente al CU13.</w:t>
      </w:r>
    </w:p>
    <w:p w:rsidR="00000000" w:rsidDel="00000000" w:rsidP="00000000" w:rsidRDefault="00000000" w:rsidRPr="00000000" w14:paraId="000004D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37"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f6t5exjxv0b" w:id="61"/>
      <w:bookmarkEnd w:id="61"/>
      <w:r w:rsidDel="00000000" w:rsidR="00000000" w:rsidRPr="00000000">
        <w:rPr>
          <w:rFonts w:ascii="Times New Roman" w:cs="Times New Roman" w:eastAsia="Times New Roman" w:hAnsi="Times New Roman"/>
          <w:i w:val="1"/>
          <w:iCs w:val="1"/>
          <w:color w:val="000000"/>
          <w:sz w:val="18"/>
          <w:szCs w:val="18"/>
          <w:rtl w:val="0"/>
        </w:rPr>
        <w:t xml:space="preserve">Figura 6.31: Diagrama de secuencia de excepción 1 correspondiente al CU13: Cargar contexto de empresa Finet al iniciar sesión.</w:t>
      </w:r>
    </w:p>
    <w:p w:rsidR="00000000" w:rsidDel="00000000" w:rsidP="00000000" w:rsidRDefault="00000000" w:rsidRPr="00000000" w14:paraId="000004D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3">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6.32, en la cual se detalla el diagrama de secuencia correspondiente al CU14.</w:t>
      </w:r>
    </w:p>
    <w:p w:rsidR="00000000" w:rsidDel="00000000" w:rsidP="00000000" w:rsidRDefault="00000000" w:rsidRPr="00000000" w14:paraId="000004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109" name="image107.png"/>
            <a:graphic>
              <a:graphicData uri="http://schemas.openxmlformats.org/drawingml/2006/picture">
                <pic:pic>
                  <pic:nvPicPr>
                    <pic:cNvPr id="0" name="image107.png"/>
                    <pic:cNvPicPr preferRelativeResize="0"/>
                  </pic:nvPicPr>
                  <pic:blipFill>
                    <a:blip r:embed="rId3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yyy6mzcmefjw" w:id="62"/>
      <w:bookmarkEnd w:id="62"/>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correspondiente al CU14: Cargando contexto de empresa Cable mágico al iniciar sesión.</w:t>
      </w:r>
    </w:p>
    <w:p w:rsidR="00000000" w:rsidDel="00000000" w:rsidP="00000000" w:rsidRDefault="00000000" w:rsidRPr="00000000" w14:paraId="000004D7">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8">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primer flujo de excepción correspondiente al CU14.</w:t>
      </w:r>
    </w:p>
    <w:p w:rsidR="00000000" w:rsidDel="00000000" w:rsidP="00000000" w:rsidRDefault="00000000" w:rsidRPr="00000000" w14:paraId="000004D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1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xyub25totab" w:id="63"/>
      <w:bookmarkEnd w:id="63"/>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de excepción 1 correspondiente al CU14: Cargando contexto de empresa Cable mágico al iniciar sesión.</w:t>
      </w:r>
    </w:p>
    <w:p w:rsidR="00000000" w:rsidDel="00000000" w:rsidP="00000000" w:rsidRDefault="00000000" w:rsidRPr="00000000" w14:paraId="000004D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D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diagrama de secuencia correspondiente al CU15.</w:t>
      </w:r>
    </w:p>
    <w:p w:rsidR="00000000" w:rsidDel="00000000" w:rsidP="00000000" w:rsidRDefault="00000000" w:rsidRPr="00000000" w14:paraId="000004D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1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raeltuilomz" w:id="64"/>
      <w:bookmarkEnd w:id="64"/>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correspondiente al CU15: Consultando dashboard consolidado de ambas empresas.</w:t>
      </w:r>
    </w:p>
    <w:p w:rsidR="00000000" w:rsidDel="00000000" w:rsidP="00000000" w:rsidRDefault="00000000" w:rsidRPr="00000000" w14:paraId="000004E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E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primer flujo de excepción correspondiente al CU15.</w:t>
      </w:r>
    </w:p>
    <w:p w:rsidR="00000000" w:rsidDel="00000000" w:rsidP="00000000" w:rsidRDefault="00000000" w:rsidRPr="00000000" w14:paraId="000004E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1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clt7648wuoz" w:id="65"/>
      <w:bookmarkEnd w:id="65"/>
      <w:r w:rsidDel="00000000" w:rsidR="00000000" w:rsidRPr="00000000">
        <w:rPr>
          <w:rFonts w:ascii="Times New Roman" w:cs="Times New Roman" w:eastAsia="Times New Roman" w:hAnsi="Times New Roman"/>
          <w:i w:val="1"/>
          <w:iCs w:val="1"/>
          <w:color w:val="000000"/>
          <w:sz w:val="18"/>
          <w:szCs w:val="18"/>
          <w:rtl w:val="0"/>
        </w:rPr>
        <w:t xml:space="preserve">Figura 6.35: Diagrama de secuencia de excepción 1 correspondiente al CU15: Consultando dashboard consolidado de ambas empresas.</w:t>
      </w:r>
    </w:p>
    <w:p w:rsidR="00000000" w:rsidDel="00000000" w:rsidP="00000000" w:rsidRDefault="00000000" w:rsidRPr="00000000" w14:paraId="000004E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diagrama de secuencia correspondiente al CU16.</w:t>
      </w:r>
    </w:p>
    <w:p w:rsidR="00000000" w:rsidDel="00000000" w:rsidP="00000000" w:rsidRDefault="00000000" w:rsidRPr="00000000" w14:paraId="000004E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26"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p09oisn347u" w:id="66"/>
      <w:bookmarkEnd w:id="66"/>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correspondiente al CU16: Consultando datos aislados por empresa.</w:t>
      </w:r>
    </w:p>
    <w:p w:rsidR="00000000" w:rsidDel="00000000" w:rsidP="00000000" w:rsidRDefault="00000000" w:rsidRPr="00000000" w14:paraId="000004E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E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E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primer flujo de excepción correspondiente al CU16.</w:t>
      </w:r>
    </w:p>
    <w:p w:rsidR="00000000" w:rsidDel="00000000" w:rsidP="00000000" w:rsidRDefault="00000000" w:rsidRPr="00000000" w14:paraId="000004E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51"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ghsy5k60h0ua" w:id="67"/>
      <w:bookmarkEnd w:id="67"/>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de excepción 1 correspondiente al CU16: Consultando datos aislados por empresa.</w:t>
      </w:r>
    </w:p>
    <w:p w:rsidR="00000000" w:rsidDel="00000000" w:rsidP="00000000" w:rsidRDefault="00000000" w:rsidRPr="00000000" w14:paraId="000004E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diagrama de secuencia correspondiente al CU17.</w:t>
      </w:r>
    </w:p>
    <w:p w:rsidR="00000000" w:rsidDel="00000000" w:rsidP="00000000" w:rsidRDefault="00000000" w:rsidRPr="00000000" w14:paraId="000004F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24"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q02r4s32vfro" w:id="68"/>
      <w:bookmarkEnd w:id="68"/>
      <w:r w:rsidDel="00000000" w:rsidR="00000000" w:rsidRPr="00000000">
        <w:rPr>
          <w:rFonts w:ascii="Times New Roman" w:cs="Times New Roman" w:eastAsia="Times New Roman" w:hAnsi="Times New Roman"/>
          <w:i w:val="1"/>
          <w:iCs w:val="1"/>
          <w:color w:val="000000"/>
          <w:sz w:val="18"/>
          <w:szCs w:val="18"/>
          <w:rtl w:val="0"/>
        </w:rPr>
        <w:t xml:space="preserve">Figura 6.35: Diagrama de secuencia correspondiente al CU17: Crear tipo de equipo.</w:t>
      </w:r>
    </w:p>
    <w:p w:rsidR="00000000" w:rsidDel="00000000" w:rsidP="00000000" w:rsidRDefault="00000000" w:rsidRPr="00000000" w14:paraId="000004F4">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F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6.36, en la cual se detalla el primer flujo de excepción correspondiente al CU17.</w:t>
      </w:r>
    </w:p>
    <w:p w:rsidR="00000000" w:rsidDel="00000000" w:rsidP="00000000" w:rsidRDefault="00000000" w:rsidRPr="00000000" w14:paraId="000004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2"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88pminpj1qjt" w:id="69"/>
      <w:bookmarkEnd w:id="69"/>
      <w:r w:rsidDel="00000000" w:rsidR="00000000" w:rsidRPr="00000000">
        <w:rPr>
          <w:rFonts w:ascii="Times New Roman" w:cs="Times New Roman" w:eastAsia="Times New Roman" w:hAnsi="Times New Roman"/>
          <w:i w:val="1"/>
          <w:iCs w:val="1"/>
          <w:color w:val="000000"/>
          <w:sz w:val="18"/>
          <w:szCs w:val="18"/>
          <w:rtl w:val="0"/>
        </w:rPr>
        <w:t xml:space="preserve">Figura 6.36: Diagrama de secuencia de excepción 1 correspondiente al CU17: Crear tipo de equipo.</w:t>
      </w:r>
    </w:p>
    <w:p w:rsidR="00000000" w:rsidDel="00000000" w:rsidP="00000000" w:rsidRDefault="00000000" w:rsidRPr="00000000" w14:paraId="000004F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FB">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6.37, en la cual se detalla el diagrama de secuencia correspondiente al CU18.</w:t>
      </w:r>
      <w:r w:rsidDel="00000000" w:rsidR="00000000" w:rsidRPr="00000000">
        <w:rPr>
          <w:rtl w:val="0"/>
        </w:rPr>
      </w:r>
    </w:p>
    <w:p w:rsidR="00000000" w:rsidDel="00000000" w:rsidP="00000000" w:rsidRDefault="00000000" w:rsidRPr="00000000" w14:paraId="000004FC">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3771900"/>
            <wp:effectExtent b="0" l="0" r="0" t="0"/>
            <wp:docPr id="90" name="image78.png"/>
            <a:graphic>
              <a:graphicData uri="http://schemas.openxmlformats.org/drawingml/2006/picture">
                <pic:pic>
                  <pic:nvPicPr>
                    <pic:cNvPr id="0" name="image78.png"/>
                    <pic:cNvPicPr preferRelativeResize="0"/>
                  </pic:nvPicPr>
                  <pic:blipFill>
                    <a:blip r:embed="rId4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xxjs34d6wkt" w:id="70"/>
      <w:bookmarkEnd w:id="70"/>
      <w:r w:rsidDel="00000000" w:rsidR="00000000" w:rsidRPr="00000000">
        <w:rPr>
          <w:rFonts w:ascii="Times New Roman" w:cs="Times New Roman" w:eastAsia="Times New Roman" w:hAnsi="Times New Roman"/>
          <w:i w:val="1"/>
          <w:iCs w:val="1"/>
          <w:color w:val="000000"/>
          <w:sz w:val="18"/>
          <w:szCs w:val="18"/>
          <w:rtl w:val="0"/>
        </w:rPr>
        <w:t xml:space="preserve">Figura 6.37: Diagrama de secuencia correspondiente al CU18: Editar tipo de equipo con aislamiento de empresa.</w:t>
      </w:r>
    </w:p>
    <w:p w:rsidR="00000000" w:rsidDel="00000000" w:rsidP="00000000" w:rsidRDefault="00000000" w:rsidRPr="00000000" w14:paraId="000004F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F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0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6.38, en la cual se detalla el diagrama de secuencia correspondiente al CU18.</w:t>
      </w:r>
      <w:r w:rsidDel="00000000" w:rsidR="00000000" w:rsidRPr="00000000">
        <w:rPr>
          <w:rtl w:val="0"/>
        </w:rPr>
      </w:r>
    </w:p>
    <w:p w:rsidR="00000000" w:rsidDel="00000000" w:rsidP="00000000" w:rsidRDefault="00000000" w:rsidRPr="00000000" w14:paraId="0000050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76" name="image75.png"/>
            <a:graphic>
              <a:graphicData uri="http://schemas.openxmlformats.org/drawingml/2006/picture">
                <pic:pic>
                  <pic:nvPicPr>
                    <pic:cNvPr id="0" name="image75.png"/>
                    <pic:cNvPicPr preferRelativeResize="0"/>
                  </pic:nvPicPr>
                  <pic:blipFill>
                    <a:blip r:embed="rId4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i9bun2iap" w:id="71"/>
      <w:bookmarkEnd w:id="71"/>
      <w:r w:rsidDel="00000000" w:rsidR="00000000" w:rsidRPr="00000000">
        <w:rPr>
          <w:rFonts w:ascii="Times New Roman" w:cs="Times New Roman" w:eastAsia="Times New Roman" w:hAnsi="Times New Roman"/>
          <w:i w:val="1"/>
          <w:iCs w:val="1"/>
          <w:color w:val="000000"/>
          <w:sz w:val="18"/>
          <w:szCs w:val="18"/>
          <w:rtl w:val="0"/>
        </w:rPr>
        <w:t xml:space="preserve">Figura 6.38: Diagrama de secuencia de excepción 1 correspondiente al CU18: Editar tipo de equipo con aislamiento de empresa.</w:t>
      </w:r>
    </w:p>
    <w:p w:rsidR="00000000" w:rsidDel="00000000" w:rsidP="00000000" w:rsidRDefault="00000000" w:rsidRPr="00000000" w14:paraId="0000050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4">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05">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CU19.</w:t>
      </w:r>
      <w:r w:rsidDel="00000000" w:rsidR="00000000" w:rsidRPr="00000000">
        <w:rPr>
          <w:rtl w:val="0"/>
        </w:rPr>
      </w:r>
    </w:p>
    <w:p w:rsidR="00000000" w:rsidDel="00000000" w:rsidP="00000000" w:rsidRDefault="00000000" w:rsidRPr="00000000" w14:paraId="0000050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17"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uey79uvzj4" w:id="72"/>
      <w:bookmarkEnd w:id="72"/>
      <w:r w:rsidDel="00000000" w:rsidR="00000000" w:rsidRPr="00000000">
        <w:rPr>
          <w:rFonts w:ascii="Times New Roman" w:cs="Times New Roman" w:eastAsia="Times New Roman" w:hAnsi="Times New Roman"/>
          <w:i w:val="1"/>
          <w:iCs w:val="1"/>
          <w:color w:val="000000"/>
          <w:sz w:val="18"/>
          <w:szCs w:val="18"/>
          <w:rtl w:val="0"/>
        </w:rPr>
        <w:t xml:space="preserve">Figura 6.39: Diagrama de secuencia correspondiente al CU19:Desactivar tipo de equipo con aislamiento de empresa.</w:t>
      </w:r>
    </w:p>
    <w:p w:rsidR="00000000" w:rsidDel="00000000" w:rsidP="00000000" w:rsidRDefault="00000000" w:rsidRPr="00000000" w14:paraId="0000050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9">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6.40, en la cual se detalla el primer flujo de excepción correspondiente al CU19.</w:t>
      </w:r>
      <w:r w:rsidDel="00000000" w:rsidR="00000000" w:rsidRPr="00000000">
        <w:rPr>
          <w:rtl w:val="0"/>
        </w:rPr>
      </w:r>
    </w:p>
    <w:p w:rsidR="00000000" w:rsidDel="00000000" w:rsidP="00000000" w:rsidRDefault="00000000" w:rsidRPr="00000000" w14:paraId="0000050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48338" cy="2549512"/>
            <wp:effectExtent b="0" l="0" r="0" t="0"/>
            <wp:docPr id="89" name="image91.png"/>
            <a:graphic>
              <a:graphicData uri="http://schemas.openxmlformats.org/drawingml/2006/picture">
                <pic:pic>
                  <pic:nvPicPr>
                    <pic:cNvPr id="0" name="image91.png"/>
                    <pic:cNvPicPr preferRelativeResize="0"/>
                  </pic:nvPicPr>
                  <pic:blipFill>
                    <a:blip r:embed="rId49"/>
                    <a:srcRect b="0" l="0" r="0" t="0"/>
                    <a:stretch>
                      <a:fillRect/>
                    </a:stretch>
                  </pic:blipFill>
                  <pic:spPr>
                    <a:xfrm>
                      <a:off x="0" y="0"/>
                      <a:ext cx="5748338" cy="254951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m2kgqxrqkxh" w:id="73"/>
      <w:bookmarkEnd w:id="73"/>
      <w:r w:rsidDel="00000000" w:rsidR="00000000" w:rsidRPr="00000000">
        <w:rPr>
          <w:rFonts w:ascii="Times New Roman" w:cs="Times New Roman" w:eastAsia="Times New Roman" w:hAnsi="Times New Roman"/>
          <w:i w:val="1"/>
          <w:iCs w:val="1"/>
          <w:color w:val="000000"/>
          <w:sz w:val="18"/>
          <w:szCs w:val="18"/>
          <w:rtl w:val="0"/>
        </w:rPr>
        <w:t xml:space="preserve">Figura 6.40: Diagrama de secuencia de excepción 1 correspondiente al CU19: Desactivar tipo de equipo</w:t>
      </w:r>
    </w:p>
    <w:p w:rsidR="00000000" w:rsidDel="00000000" w:rsidP="00000000" w:rsidRDefault="00000000" w:rsidRPr="00000000" w14:paraId="0000050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0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Times New Roman" w:cs="Times New Roman" w:eastAsia="Times New Roman" w:hAnsi="Times New Roman"/>
          <w:sz w:val="24"/>
          <w:szCs w:val="24"/>
          <w:rtl w:val="0"/>
        </w:rPr>
        <w:t xml:space="preserve">A continuación, se presenta la Figura 6.41, en la cual se detalla el diagrama de secuencia correspondiente al CU20.</w:t>
      </w:r>
      <w:r w:rsidDel="00000000" w:rsidR="00000000" w:rsidRPr="00000000">
        <w:rPr>
          <w:rtl w:val="0"/>
        </w:rPr>
      </w:r>
    </w:p>
    <w:p w:rsidR="00000000" w:rsidDel="00000000" w:rsidP="00000000" w:rsidRDefault="00000000" w:rsidRPr="00000000" w14:paraId="0000050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52800"/>
            <wp:effectExtent b="0" l="0" r="0" t="0"/>
            <wp:docPr id="45"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76fm13jtfeoh" w:id="74"/>
      <w:bookmarkEnd w:id="74"/>
      <w:r w:rsidDel="00000000" w:rsidR="00000000" w:rsidRPr="00000000">
        <w:rPr>
          <w:rFonts w:ascii="Times New Roman" w:cs="Times New Roman" w:eastAsia="Times New Roman" w:hAnsi="Times New Roman"/>
          <w:i w:val="1"/>
          <w:iCs w:val="1"/>
          <w:color w:val="000000"/>
          <w:sz w:val="18"/>
          <w:szCs w:val="18"/>
          <w:rtl w:val="0"/>
        </w:rPr>
        <w:t xml:space="preserve">Figura 6.41: Diagrama de secuencia correspondiente al CU20:Registrando solicitud de transferencia inter-empresa.</w:t>
      </w:r>
    </w:p>
    <w:p w:rsidR="00000000" w:rsidDel="00000000" w:rsidP="00000000" w:rsidRDefault="00000000" w:rsidRPr="00000000" w14:paraId="00000511">
      <w:pPr>
        <w:pStyle w:val="Heading4"/>
        <w:spacing w:after="40" w:before="0" w:line="360" w:lineRule="auto"/>
        <w:jc w:val="center"/>
        <w:rPr>
          <w:rFonts w:ascii="Times New Roman" w:cs="Times New Roman" w:eastAsia="Times New Roman" w:hAnsi="Times New Roman"/>
          <w:i w:val="1"/>
          <w:iCs w:val="1"/>
          <w:color w:val="000000"/>
          <w:sz w:val="16"/>
          <w:szCs w:val="16"/>
        </w:rPr>
      </w:pPr>
      <w:bookmarkStart w:colFirst="0" w:colLast="0" w:name="_ym8u9dgvw7pb" w:id="75"/>
      <w:bookmarkEnd w:id="75"/>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1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6.42, en la cual se detalla el primer flujo de excepción correspondiente al CU20.</w:t>
      </w:r>
      <w:r w:rsidDel="00000000" w:rsidR="00000000" w:rsidRPr="00000000">
        <w:rPr>
          <w:rtl w:val="0"/>
        </w:rPr>
      </w:r>
    </w:p>
    <w:p w:rsidR="00000000" w:rsidDel="00000000" w:rsidP="00000000" w:rsidRDefault="00000000" w:rsidRPr="00000000" w14:paraId="0000051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57400"/>
            <wp:effectExtent b="0" l="0" r="0" t="0"/>
            <wp:docPr id="4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6.42: Diagrama de secuencia de excepción 1 correspondiente al CU20: Registrando solicitud de transferencia.</w:t>
      </w:r>
    </w:p>
    <w:p w:rsidR="00000000" w:rsidDel="00000000" w:rsidP="00000000" w:rsidRDefault="00000000" w:rsidRPr="00000000" w14:paraId="0000051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18">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6.43, en la cual se detalla el primer flujo de excepción correspondiente al CU20.</w:t>
      </w:r>
      <w:r w:rsidDel="00000000" w:rsidR="00000000" w:rsidRPr="00000000">
        <w:rPr>
          <w:rtl w:val="0"/>
        </w:rPr>
      </w:r>
    </w:p>
    <w:p w:rsidR="00000000" w:rsidDel="00000000" w:rsidP="00000000" w:rsidRDefault="00000000" w:rsidRPr="00000000" w14:paraId="000005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498600"/>
            <wp:effectExtent b="0" l="0" r="0" t="0"/>
            <wp:docPr id="85" name="image73.png"/>
            <a:graphic>
              <a:graphicData uri="http://schemas.openxmlformats.org/drawingml/2006/picture">
                <pic:pic>
                  <pic:nvPicPr>
                    <pic:cNvPr id="0" name="image73.png"/>
                    <pic:cNvPicPr preferRelativeResize="0"/>
                  </pic:nvPicPr>
                  <pic:blipFill>
                    <a:blip r:embed="rId5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6.43: Diagrama de secuencia de excepción 2 correspondiente al CU20: Registrando solicitud de transferencia.</w:t>
      </w:r>
    </w:p>
    <w:p w:rsidR="00000000" w:rsidDel="00000000" w:rsidP="00000000" w:rsidRDefault="00000000" w:rsidRPr="00000000" w14:paraId="0000051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1C">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1D">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6.44, en la cual se detalla el tercer flujo de excepción correspondiente al CU20.</w:t>
      </w:r>
      <w:r w:rsidDel="00000000" w:rsidR="00000000" w:rsidRPr="00000000">
        <w:rPr>
          <w:rtl w:val="0"/>
        </w:rPr>
      </w:r>
    </w:p>
    <w:p w:rsidR="00000000" w:rsidDel="00000000" w:rsidP="00000000" w:rsidRDefault="00000000" w:rsidRPr="00000000" w14:paraId="0000051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270000"/>
            <wp:effectExtent b="0" l="0" r="0" t="0"/>
            <wp:docPr id="49"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6.44: Diagrama de secuencia de excepción 3 correspondiente al CU20: Registrando solicitud de transferencia.</w:t>
      </w:r>
    </w:p>
    <w:p w:rsidR="00000000" w:rsidDel="00000000" w:rsidP="00000000" w:rsidRDefault="00000000" w:rsidRPr="00000000" w14:paraId="0000052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1">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2">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6.45, en la cual se detalla el diagrama de secuencia correspondiente al CU21.</w:t>
      </w:r>
      <w:r w:rsidDel="00000000" w:rsidR="00000000" w:rsidRPr="00000000">
        <w:rPr>
          <w:rtl w:val="0"/>
        </w:rPr>
      </w:r>
    </w:p>
    <w:p w:rsidR="00000000" w:rsidDel="00000000" w:rsidP="00000000" w:rsidRDefault="00000000" w:rsidRPr="00000000" w14:paraId="0000052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29000"/>
            <wp:effectExtent b="0" l="0" r="0" t="0"/>
            <wp:docPr id="12"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z6blhet5agr0" w:id="76"/>
      <w:bookmarkEnd w:id="76"/>
      <w:r w:rsidDel="00000000" w:rsidR="00000000" w:rsidRPr="00000000">
        <w:rPr>
          <w:rFonts w:ascii="Times New Roman" w:cs="Times New Roman" w:eastAsia="Times New Roman" w:hAnsi="Times New Roman"/>
          <w:i w:val="1"/>
          <w:iCs w:val="1"/>
          <w:color w:val="000000"/>
          <w:sz w:val="18"/>
          <w:szCs w:val="18"/>
          <w:rtl w:val="0"/>
        </w:rPr>
        <w:t xml:space="preserve">Figura 6.45: Diagrama de secuencia correspondiente al CU21:Aprobar transferencia inter-empresa</w:t>
      </w:r>
    </w:p>
    <w:p w:rsidR="00000000" w:rsidDel="00000000" w:rsidP="00000000" w:rsidRDefault="00000000" w:rsidRPr="00000000" w14:paraId="00000525">
      <w:pPr>
        <w:pStyle w:val="Heading4"/>
        <w:spacing w:after="40" w:before="0" w:line="360" w:lineRule="auto"/>
        <w:jc w:val="center"/>
        <w:rPr/>
      </w:pPr>
      <w:bookmarkStart w:colFirst="0" w:colLast="0" w:name="_ssyt0pfi5ht4" w:id="77"/>
      <w:bookmarkEnd w:id="77"/>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jc w:val="left"/>
        <w:rPr/>
      </w:pPr>
      <w:r w:rsidDel="00000000" w:rsidR="00000000" w:rsidRPr="00000000">
        <w:rPr>
          <w:rFonts w:ascii="Times New Roman" w:cs="Times New Roman" w:eastAsia="Times New Roman" w:hAnsi="Times New Roman"/>
          <w:sz w:val="24"/>
          <w:szCs w:val="24"/>
          <w:rtl w:val="0"/>
        </w:rPr>
        <w:t xml:space="preserve">A continuación, se presenta la Figura 6.46, en la cual se detalla el primer flujo de excepción correspondiente al CU21.</w:t>
      </w:r>
      <w:r w:rsidDel="00000000" w:rsidR="00000000" w:rsidRPr="00000000">
        <w:rPr>
          <w:rtl w:val="0"/>
        </w:rPr>
      </w:r>
    </w:p>
    <w:p w:rsidR="00000000" w:rsidDel="00000000" w:rsidP="00000000" w:rsidRDefault="00000000" w:rsidRPr="00000000" w14:paraId="0000052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70100"/>
            <wp:effectExtent b="0" l="0" r="0" t="0"/>
            <wp:docPr id="80"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6.46: Diagrama de secuencia de excepción 1 correspondiente al CU21:Aprobar transferencia inter-empresa</w:t>
      </w:r>
    </w:p>
    <w:p w:rsidR="00000000" w:rsidDel="00000000" w:rsidP="00000000" w:rsidRDefault="00000000" w:rsidRPr="00000000" w14:paraId="0000052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2B">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2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6.47, en la cual se detalla el diagrama de secuencia correspondiente al CU22.</w:t>
      </w:r>
      <w:r w:rsidDel="00000000" w:rsidR="00000000" w:rsidRPr="00000000">
        <w:rPr>
          <w:rtl w:val="0"/>
        </w:rPr>
      </w:r>
    </w:p>
    <w:p w:rsidR="00000000" w:rsidDel="00000000" w:rsidP="00000000" w:rsidRDefault="00000000" w:rsidRPr="00000000" w14:paraId="0000052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54300"/>
            <wp:effectExtent b="0" l="0" r="0" t="0"/>
            <wp:docPr id="21"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kgk3fkkg5gv" w:id="78"/>
      <w:bookmarkEnd w:id="78"/>
      <w:r w:rsidDel="00000000" w:rsidR="00000000" w:rsidRPr="00000000">
        <w:rPr>
          <w:rFonts w:ascii="Times New Roman" w:cs="Times New Roman" w:eastAsia="Times New Roman" w:hAnsi="Times New Roman"/>
          <w:i w:val="1"/>
          <w:iCs w:val="1"/>
          <w:color w:val="000000"/>
          <w:sz w:val="18"/>
          <w:szCs w:val="18"/>
          <w:rtl w:val="0"/>
        </w:rPr>
        <w:t xml:space="preserve">Figura 6.47: Diagrama de secuencia correspondiente al CU22: Rechazar transferencia inter-empresa</w:t>
      </w:r>
    </w:p>
    <w:p w:rsidR="00000000" w:rsidDel="00000000" w:rsidP="00000000" w:rsidRDefault="00000000" w:rsidRPr="00000000" w14:paraId="0000052F">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al4rwu74i5" w:id="79"/>
      <w:bookmarkEnd w:id="79"/>
      <w:r w:rsidDel="00000000" w:rsidR="00000000" w:rsidRPr="00000000">
        <w:rPr>
          <w:rFonts w:ascii="Times New Roman" w:cs="Times New Roman" w:eastAsia="Times New Roman" w:hAnsi="Times New Roman"/>
          <w:i w:val="1"/>
          <w:iCs w:val="1"/>
          <w:color w:val="000000"/>
          <w:sz w:val="18"/>
          <w:szCs w:val="18"/>
          <w:rtl w:val="0"/>
        </w:rPr>
        <w:t xml:space="preserve">Fuente: Desarrollado por los estudiantes de acuerdo al proyecto, 2026.</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 la Figura 6.48, en la cual se detalla el primer flujo de excepción  correspondiente al CU19.</w:t>
      </w:r>
      <w:r w:rsidDel="00000000" w:rsidR="00000000" w:rsidRPr="00000000">
        <w:rPr>
          <w:rtl w:val="0"/>
        </w:rPr>
      </w:r>
    </w:p>
    <w:p w:rsidR="00000000" w:rsidDel="00000000" w:rsidP="00000000" w:rsidRDefault="00000000" w:rsidRPr="00000000" w14:paraId="0000053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63700"/>
            <wp:effectExtent b="0" l="0" r="0" t="0"/>
            <wp:docPr id="28"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6.48: Diagrama de secuencia de excepción 1 correspondiente al CU22:Rechazar transferencia inter-empresa</w:t>
      </w:r>
    </w:p>
    <w:p w:rsidR="00000000" w:rsidDel="00000000" w:rsidP="00000000" w:rsidRDefault="00000000" w:rsidRPr="00000000" w14:paraId="0000053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36">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6.49, en la cual se detalla el segundo flujo de excepción correspondiente al CU22.</w:t>
      </w:r>
      <w:r w:rsidDel="00000000" w:rsidR="00000000" w:rsidRPr="00000000">
        <w:rPr>
          <w:rtl w:val="0"/>
        </w:rPr>
      </w:r>
    </w:p>
    <w:p w:rsidR="00000000" w:rsidDel="00000000" w:rsidP="00000000" w:rsidRDefault="00000000" w:rsidRPr="00000000" w14:paraId="0000053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892300"/>
            <wp:effectExtent b="0" l="0" r="0" t="0"/>
            <wp:docPr id="62"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6.49: Diagrama de secuencia de excepción 2 correspondiente al CU22:Rechazar transferencia inter-empresa</w:t>
      </w:r>
    </w:p>
    <w:p w:rsidR="00000000" w:rsidDel="00000000" w:rsidP="00000000" w:rsidRDefault="00000000" w:rsidRPr="00000000" w14:paraId="0000053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A">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6.50, en la cual se detalla el diagrama de secuencia correspondiente al CU23.</w:t>
      </w:r>
      <w:r w:rsidDel="00000000" w:rsidR="00000000" w:rsidRPr="00000000">
        <w:rPr>
          <w:rtl w:val="0"/>
        </w:rPr>
      </w:r>
    </w:p>
    <w:p w:rsidR="00000000" w:rsidDel="00000000" w:rsidP="00000000" w:rsidRDefault="00000000" w:rsidRPr="00000000" w14:paraId="0000053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49500"/>
            <wp:effectExtent b="0" l="0" r="0" t="0"/>
            <wp:docPr id="101"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6.50: Diagrama de secuencia correspondiente al CU23:Consultar transferencias inter-empresa</w:t>
      </w:r>
    </w:p>
    <w:p w:rsidR="00000000" w:rsidDel="00000000" w:rsidP="00000000" w:rsidRDefault="00000000" w:rsidRPr="00000000" w14:paraId="0000053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3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6.51, en la cual se detalla el primer flujo de excepción  correspondiente al CU23.</w:t>
      </w:r>
      <w:r w:rsidDel="00000000" w:rsidR="00000000" w:rsidRPr="00000000">
        <w:rPr>
          <w:rtl w:val="0"/>
        </w:rPr>
      </w:r>
    </w:p>
    <w:p w:rsidR="00000000" w:rsidDel="00000000" w:rsidP="00000000" w:rsidRDefault="00000000" w:rsidRPr="00000000" w14:paraId="0000054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74900"/>
            <wp:effectExtent b="0" l="0" r="0" t="0"/>
            <wp:docPr id="70" name="image65.png"/>
            <a:graphic>
              <a:graphicData uri="http://schemas.openxmlformats.org/drawingml/2006/picture">
                <pic:pic>
                  <pic:nvPicPr>
                    <pic:cNvPr id="0" name="image65.png"/>
                    <pic:cNvPicPr preferRelativeResize="0"/>
                  </pic:nvPicPr>
                  <pic:blipFill>
                    <a:blip r:embed="rId6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6.51: Diagrama de secuencia de excepción 1 correspondiente al CU23:Consultar transferencias inter-empresa</w:t>
      </w:r>
    </w:p>
    <w:p w:rsidR="00000000" w:rsidDel="00000000" w:rsidP="00000000" w:rsidRDefault="00000000" w:rsidRPr="00000000" w14:paraId="00000543">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44">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6.52, en la cual se detalla el diagrama de secuencia correspondiente al CU24.</w:t>
      </w:r>
      <w:r w:rsidDel="00000000" w:rsidR="00000000" w:rsidRPr="00000000">
        <w:rPr>
          <w:rtl w:val="0"/>
        </w:rPr>
      </w:r>
    </w:p>
    <w:p w:rsidR="00000000" w:rsidDel="00000000" w:rsidP="00000000" w:rsidRDefault="00000000" w:rsidRPr="00000000" w14:paraId="0000054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470400"/>
            <wp:effectExtent b="0" l="0" r="0" t="0"/>
            <wp:docPr id="20"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6.52: Diagrama de secuencia correspondiente al CU24:Creando tipo de equipo en el catalogo</w:t>
      </w:r>
    </w:p>
    <w:p w:rsidR="00000000" w:rsidDel="00000000" w:rsidP="00000000" w:rsidRDefault="00000000" w:rsidRPr="00000000" w14:paraId="0000054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9">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4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CU24.</w:t>
      </w:r>
      <w:r w:rsidDel="00000000" w:rsidR="00000000" w:rsidRPr="00000000">
        <w:rPr>
          <w:rtl w:val="0"/>
        </w:rPr>
      </w:r>
    </w:p>
    <w:p w:rsidR="00000000" w:rsidDel="00000000" w:rsidP="00000000" w:rsidRDefault="00000000" w:rsidRPr="00000000" w14:paraId="0000054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63900"/>
            <wp:effectExtent b="0" l="0" r="0" t="0"/>
            <wp:docPr id="31"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CU24:Creando tipo de equipo en el catálogo</w:t>
      </w:r>
    </w:p>
    <w:p w:rsidR="00000000" w:rsidDel="00000000" w:rsidP="00000000" w:rsidRDefault="00000000" w:rsidRPr="00000000" w14:paraId="0000054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4E">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4F">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CU24.</w:t>
      </w:r>
      <w:r w:rsidDel="00000000" w:rsidR="00000000" w:rsidRPr="00000000">
        <w:rPr>
          <w:rtl w:val="0"/>
        </w:rPr>
      </w:r>
    </w:p>
    <w:p w:rsidR="00000000" w:rsidDel="00000000" w:rsidP="00000000" w:rsidRDefault="00000000" w:rsidRPr="00000000" w14:paraId="0000055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302000"/>
            <wp:effectExtent b="0" l="0" r="0" t="0"/>
            <wp:docPr id="40"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CU24:Creando tipo de equipo en el catálogo</w:t>
      </w:r>
    </w:p>
    <w:p w:rsidR="00000000" w:rsidDel="00000000" w:rsidP="00000000" w:rsidRDefault="00000000" w:rsidRPr="00000000" w14:paraId="0000055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4">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tercer flujo de excepción correspondiente al CU24.</w:t>
      </w:r>
      <w:r w:rsidDel="00000000" w:rsidR="00000000" w:rsidRPr="00000000">
        <w:rPr>
          <w:rtl w:val="0"/>
        </w:rPr>
      </w:r>
    </w:p>
    <w:p w:rsidR="00000000" w:rsidDel="00000000" w:rsidP="00000000" w:rsidRDefault="00000000" w:rsidRPr="00000000" w14:paraId="0000055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57500"/>
            <wp:effectExtent b="0" l="0" r="0" t="0"/>
            <wp:docPr id="61" name="image64.png"/>
            <a:graphic>
              <a:graphicData uri="http://schemas.openxmlformats.org/drawingml/2006/picture">
                <pic:pic>
                  <pic:nvPicPr>
                    <pic:cNvPr id="0" name="image64.png"/>
                    <pic:cNvPicPr preferRelativeResize="0"/>
                  </pic:nvPicPr>
                  <pic:blipFill>
                    <a:blip r:embed="rId6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3 correspondiente al CU24:Creando tipo de equipo en el catálogo</w:t>
      </w:r>
    </w:p>
    <w:p w:rsidR="00000000" w:rsidDel="00000000" w:rsidP="00000000" w:rsidRDefault="00000000" w:rsidRPr="00000000" w14:paraId="0000055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8">
      <w:pPr>
        <w:spacing w:after="160"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9">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CU25.</w:t>
      </w:r>
      <w:r w:rsidDel="00000000" w:rsidR="00000000" w:rsidRPr="00000000">
        <w:rPr>
          <w:rtl w:val="0"/>
        </w:rPr>
      </w:r>
    </w:p>
    <w:p w:rsidR="00000000" w:rsidDel="00000000" w:rsidP="00000000" w:rsidRDefault="00000000" w:rsidRPr="00000000" w14:paraId="0000055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17800"/>
            <wp:effectExtent b="0" l="0" r="0" t="0"/>
            <wp:docPr id="66"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CU25:Consultando catálogo de tipos de equipo</w:t>
      </w:r>
    </w:p>
    <w:p w:rsidR="00000000" w:rsidDel="00000000" w:rsidP="00000000" w:rsidRDefault="00000000" w:rsidRPr="00000000" w14:paraId="0000055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5D">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5E">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CU25.</w:t>
      </w:r>
      <w:r w:rsidDel="00000000" w:rsidR="00000000" w:rsidRPr="00000000">
        <w:rPr>
          <w:rtl w:val="0"/>
        </w:rPr>
      </w:r>
    </w:p>
    <w:p w:rsidR="00000000" w:rsidDel="00000000" w:rsidP="00000000" w:rsidRDefault="00000000" w:rsidRPr="00000000" w14:paraId="0000055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CU25: Consultado catálogo de tipos de equipo</w:t>
      </w:r>
    </w:p>
    <w:p w:rsidR="00000000" w:rsidDel="00000000" w:rsidP="00000000" w:rsidRDefault="00000000" w:rsidRPr="00000000" w14:paraId="0000056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2">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3">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CU26.</w:t>
      </w:r>
      <w:r w:rsidDel="00000000" w:rsidR="00000000" w:rsidRPr="00000000">
        <w:rPr>
          <w:rtl w:val="0"/>
        </w:rPr>
      </w:r>
    </w:p>
    <w:p w:rsidR="00000000" w:rsidDel="00000000" w:rsidP="00000000" w:rsidRDefault="00000000" w:rsidRPr="00000000" w14:paraId="0000056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114800"/>
            <wp:effectExtent b="0" l="0" r="0" t="0"/>
            <wp:docPr id="82" name="image93.png"/>
            <a:graphic>
              <a:graphicData uri="http://schemas.openxmlformats.org/drawingml/2006/picture">
                <pic:pic>
                  <pic:nvPicPr>
                    <pic:cNvPr id="0" name="image93.png"/>
                    <pic:cNvPicPr preferRelativeResize="0"/>
                  </pic:nvPicPr>
                  <pic:blipFill>
                    <a:blip r:embed="rId6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CU26:Editar tipo de equipo existente</w:t>
      </w:r>
    </w:p>
    <w:p w:rsidR="00000000" w:rsidDel="00000000" w:rsidP="00000000" w:rsidRDefault="00000000" w:rsidRPr="00000000" w14:paraId="0000056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7">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68">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CU26.</w:t>
      </w:r>
      <w:r w:rsidDel="00000000" w:rsidR="00000000" w:rsidRPr="00000000">
        <w:rPr>
          <w:rtl w:val="0"/>
        </w:rPr>
      </w:r>
    </w:p>
    <w:p w:rsidR="00000000" w:rsidDel="00000000" w:rsidP="00000000" w:rsidRDefault="00000000" w:rsidRPr="00000000" w14:paraId="0000056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73400"/>
            <wp:effectExtent b="0" l="0" r="0" t="0"/>
            <wp:docPr id="103" name="image108.png"/>
            <a:graphic>
              <a:graphicData uri="http://schemas.openxmlformats.org/drawingml/2006/picture">
                <pic:pic>
                  <pic:nvPicPr>
                    <pic:cNvPr id="0" name="image108.png"/>
                    <pic:cNvPicPr preferRelativeResize="0"/>
                  </pic:nvPicPr>
                  <pic:blipFill>
                    <a:blip r:embed="rId6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CU26: Editar tipo de equipo existente</w:t>
      </w:r>
    </w:p>
    <w:p w:rsidR="00000000" w:rsidDel="00000000" w:rsidP="00000000" w:rsidRDefault="00000000" w:rsidRPr="00000000" w14:paraId="0000056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6C">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6D">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CU26.</w:t>
      </w:r>
      <w:r w:rsidDel="00000000" w:rsidR="00000000" w:rsidRPr="00000000">
        <w:rPr>
          <w:rtl w:val="0"/>
        </w:rPr>
      </w:r>
    </w:p>
    <w:p w:rsidR="00000000" w:rsidDel="00000000" w:rsidP="00000000" w:rsidRDefault="00000000" w:rsidRPr="00000000" w14:paraId="0000056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65400"/>
            <wp:effectExtent b="0" l="0" r="0" t="0"/>
            <wp:docPr id="87" name="image85.png"/>
            <a:graphic>
              <a:graphicData uri="http://schemas.openxmlformats.org/drawingml/2006/picture">
                <pic:pic>
                  <pic:nvPicPr>
                    <pic:cNvPr id="0" name="image85.png"/>
                    <pic:cNvPicPr preferRelativeResize="0"/>
                  </pic:nvPicPr>
                  <pic:blipFill>
                    <a:blip r:embed="rId6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CU26: Editar tipo de equipo existente</w:t>
      </w:r>
    </w:p>
    <w:p w:rsidR="00000000" w:rsidDel="00000000" w:rsidP="00000000" w:rsidRDefault="00000000" w:rsidRPr="00000000" w14:paraId="0000057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1">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2">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CU27.</w:t>
      </w:r>
      <w:r w:rsidDel="00000000" w:rsidR="00000000" w:rsidRPr="00000000">
        <w:rPr>
          <w:rtl w:val="0"/>
        </w:rPr>
      </w:r>
    </w:p>
    <w:p w:rsidR="00000000" w:rsidDel="00000000" w:rsidP="00000000" w:rsidRDefault="00000000" w:rsidRPr="00000000" w14:paraId="0000057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76600"/>
            <wp:effectExtent b="0" l="0" r="0" t="0"/>
            <wp:docPr id="36"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CU27: Desactivar tipo de equipo del catálogo</w:t>
      </w:r>
    </w:p>
    <w:p w:rsidR="00000000" w:rsidDel="00000000" w:rsidP="00000000" w:rsidRDefault="00000000" w:rsidRPr="00000000" w14:paraId="0000057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7">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CU27.</w:t>
      </w:r>
      <w:r w:rsidDel="00000000" w:rsidR="00000000" w:rsidRPr="00000000">
        <w:rPr>
          <w:rtl w:val="0"/>
        </w:rPr>
      </w:r>
    </w:p>
    <w:p w:rsidR="00000000" w:rsidDel="00000000" w:rsidP="00000000" w:rsidRDefault="00000000" w:rsidRPr="00000000" w14:paraId="0000057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78100"/>
            <wp:effectExtent b="0" l="0" r="0" t="0"/>
            <wp:docPr id="98" name="image101.png"/>
            <a:graphic>
              <a:graphicData uri="http://schemas.openxmlformats.org/drawingml/2006/picture">
                <pic:pic>
                  <pic:nvPicPr>
                    <pic:cNvPr id="0" name="image101.png"/>
                    <pic:cNvPicPr preferRelativeResize="0"/>
                  </pic:nvPicPr>
                  <pic:blipFill>
                    <a:blip r:embed="rId7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CU27: Desactivar tipo de equipo del catálogo</w:t>
      </w:r>
    </w:p>
    <w:p w:rsidR="00000000" w:rsidDel="00000000" w:rsidP="00000000" w:rsidRDefault="00000000" w:rsidRPr="00000000" w14:paraId="0000057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7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7C">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CU28.</w:t>
      </w:r>
      <w:r w:rsidDel="00000000" w:rsidR="00000000" w:rsidRPr="00000000">
        <w:rPr>
          <w:rtl w:val="0"/>
        </w:rPr>
      </w:r>
    </w:p>
    <w:p w:rsidR="00000000" w:rsidDel="00000000" w:rsidP="00000000" w:rsidRDefault="00000000" w:rsidRPr="00000000" w14:paraId="0000057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19400"/>
            <wp:effectExtent b="0" l="0" r="0" t="0"/>
            <wp:docPr id="22"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CU28: Validar numero de serie de equipo</w:t>
      </w:r>
    </w:p>
    <w:p w:rsidR="00000000" w:rsidDel="00000000" w:rsidP="00000000" w:rsidRDefault="00000000" w:rsidRPr="00000000" w14:paraId="0000057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0">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1">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CU28.</w:t>
      </w:r>
      <w:r w:rsidDel="00000000" w:rsidR="00000000" w:rsidRPr="00000000">
        <w:rPr>
          <w:rtl w:val="0"/>
        </w:rPr>
      </w:r>
    </w:p>
    <w:p w:rsidR="00000000" w:rsidDel="00000000" w:rsidP="00000000" w:rsidRDefault="00000000" w:rsidRPr="00000000" w14:paraId="0000058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438400"/>
            <wp:effectExtent b="0" l="0" r="0" t="0"/>
            <wp:docPr id="105" name="image98.png"/>
            <a:graphic>
              <a:graphicData uri="http://schemas.openxmlformats.org/drawingml/2006/picture">
                <pic:pic>
                  <pic:nvPicPr>
                    <pic:cNvPr id="0" name="image98.png"/>
                    <pic:cNvPicPr preferRelativeResize="0"/>
                  </pic:nvPicPr>
                  <pic:blipFill>
                    <a:blip r:embed="rId73"/>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CU28:  Validar número de serie de equipo</w:t>
      </w:r>
    </w:p>
    <w:p w:rsidR="00000000" w:rsidDel="00000000" w:rsidP="00000000" w:rsidRDefault="00000000" w:rsidRPr="00000000" w14:paraId="0000058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5">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CU28.</w:t>
      </w:r>
      <w:r w:rsidDel="00000000" w:rsidR="00000000" w:rsidRPr="00000000">
        <w:rPr>
          <w:rtl w:val="0"/>
        </w:rPr>
      </w:r>
    </w:p>
    <w:p w:rsidR="00000000" w:rsidDel="00000000" w:rsidP="00000000" w:rsidRDefault="00000000" w:rsidRPr="00000000" w14:paraId="0000058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511300"/>
            <wp:effectExtent b="0" l="0" r="0" t="0"/>
            <wp:docPr id="97" name="image90.png"/>
            <a:graphic>
              <a:graphicData uri="http://schemas.openxmlformats.org/drawingml/2006/picture">
                <pic:pic>
                  <pic:nvPicPr>
                    <pic:cNvPr id="0" name="image90.png"/>
                    <pic:cNvPicPr preferRelativeResize="0"/>
                  </pic:nvPicPr>
                  <pic:blipFill>
                    <a:blip r:embed="rId7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CU28:  Validar número de serie de equipo</w:t>
      </w:r>
    </w:p>
    <w:p w:rsidR="00000000" w:rsidDel="00000000" w:rsidP="00000000" w:rsidRDefault="00000000" w:rsidRPr="00000000" w14:paraId="0000058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8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CU29.</w:t>
      </w:r>
      <w:r w:rsidDel="00000000" w:rsidR="00000000" w:rsidRPr="00000000">
        <w:rPr>
          <w:rtl w:val="0"/>
        </w:rPr>
      </w:r>
    </w:p>
    <w:p w:rsidR="00000000" w:rsidDel="00000000" w:rsidP="00000000" w:rsidRDefault="00000000" w:rsidRPr="00000000" w14:paraId="0000058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17900"/>
            <wp:effectExtent b="0" l="0" r="0" t="0"/>
            <wp:docPr id="56" name="image60.png"/>
            <a:graphic>
              <a:graphicData uri="http://schemas.openxmlformats.org/drawingml/2006/picture">
                <pic:pic>
                  <pic:nvPicPr>
                    <pic:cNvPr id="0" name="image60.png"/>
                    <pic:cNvPicPr preferRelativeResize="0"/>
                  </pic:nvPicPr>
                  <pic:blipFill>
                    <a:blip r:embed="rId7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CU29: Adjuntar ficha técnica a PDF a tipo de equipo</w:t>
      </w:r>
    </w:p>
    <w:p w:rsidR="00000000" w:rsidDel="00000000" w:rsidP="00000000" w:rsidRDefault="00000000" w:rsidRPr="00000000" w14:paraId="0000058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8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CU29.</w:t>
      </w:r>
      <w:r w:rsidDel="00000000" w:rsidR="00000000" w:rsidRPr="00000000">
        <w:rPr>
          <w:rtl w:val="0"/>
        </w:rPr>
      </w:r>
    </w:p>
    <w:p w:rsidR="00000000" w:rsidDel="00000000" w:rsidP="00000000" w:rsidRDefault="00000000" w:rsidRPr="00000000" w14:paraId="0000059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19300"/>
            <wp:effectExtent b="0" l="0" r="0" t="0"/>
            <wp:docPr id="96" name="image100.png"/>
            <a:graphic>
              <a:graphicData uri="http://schemas.openxmlformats.org/drawingml/2006/picture">
                <pic:pic>
                  <pic:nvPicPr>
                    <pic:cNvPr id="0" name="image100.png"/>
                    <pic:cNvPicPr preferRelativeResize="0"/>
                  </pic:nvPicPr>
                  <pic:blipFill>
                    <a:blip r:embed="rId7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CU29:  Adjuntar ficha técnica a PDF a tipo de equipo</w:t>
      </w:r>
    </w:p>
    <w:p w:rsidR="00000000" w:rsidDel="00000000" w:rsidP="00000000" w:rsidRDefault="00000000" w:rsidRPr="00000000" w14:paraId="0000059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95">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CU30.</w:t>
      </w:r>
      <w:r w:rsidDel="00000000" w:rsidR="00000000" w:rsidRPr="00000000">
        <w:rPr>
          <w:rtl w:val="0"/>
        </w:rPr>
      </w:r>
    </w:p>
    <w:p w:rsidR="00000000" w:rsidDel="00000000" w:rsidP="00000000" w:rsidRDefault="00000000" w:rsidRPr="00000000" w14:paraId="0000059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98800"/>
            <wp:effectExtent b="0" l="0" r="0" t="0"/>
            <wp:docPr id="48"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CU30: Descargar ficha técnica de tipo de equipo</w:t>
      </w:r>
    </w:p>
    <w:p w:rsidR="00000000" w:rsidDel="00000000" w:rsidP="00000000" w:rsidRDefault="00000000" w:rsidRPr="00000000" w14:paraId="0000059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9">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A">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CU30.</w:t>
      </w:r>
      <w:r w:rsidDel="00000000" w:rsidR="00000000" w:rsidRPr="00000000">
        <w:rPr>
          <w:rtl w:val="0"/>
        </w:rPr>
      </w:r>
    </w:p>
    <w:p w:rsidR="00000000" w:rsidDel="00000000" w:rsidP="00000000" w:rsidRDefault="00000000" w:rsidRPr="00000000" w14:paraId="0000059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97200"/>
            <wp:effectExtent b="0" l="0" r="0" t="0"/>
            <wp:docPr id="86" name="image83.png"/>
            <a:graphic>
              <a:graphicData uri="http://schemas.openxmlformats.org/drawingml/2006/picture">
                <pic:pic>
                  <pic:nvPicPr>
                    <pic:cNvPr id="0" name="image83.png"/>
                    <pic:cNvPicPr preferRelativeResize="0"/>
                  </pic:nvPicPr>
                  <pic:blipFill>
                    <a:blip r:embed="rId7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CU30: Descargar ficha técnica de tipo de equipo</w:t>
      </w:r>
    </w:p>
    <w:p w:rsidR="00000000" w:rsidDel="00000000" w:rsidP="00000000" w:rsidRDefault="00000000" w:rsidRPr="00000000" w14:paraId="0000059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9E">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9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CU31.</w:t>
      </w:r>
      <w:r w:rsidDel="00000000" w:rsidR="00000000" w:rsidRPr="00000000">
        <w:rPr>
          <w:rtl w:val="0"/>
        </w:rPr>
      </w:r>
    </w:p>
    <w:p w:rsidR="00000000" w:rsidDel="00000000" w:rsidP="00000000" w:rsidRDefault="00000000" w:rsidRPr="00000000" w14:paraId="000005A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30500"/>
            <wp:effectExtent b="0" l="0" r="0" t="0"/>
            <wp:docPr id="72"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CU31: Distinguir naturaleza de equipo.</w:t>
      </w:r>
    </w:p>
    <w:p w:rsidR="00000000" w:rsidDel="00000000" w:rsidP="00000000" w:rsidRDefault="00000000" w:rsidRPr="00000000" w14:paraId="000005A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3">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4">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CU31.</w:t>
      </w:r>
      <w:r w:rsidDel="00000000" w:rsidR="00000000" w:rsidRPr="00000000">
        <w:rPr>
          <w:rtl w:val="0"/>
        </w:rPr>
      </w:r>
    </w:p>
    <w:p w:rsidR="00000000" w:rsidDel="00000000" w:rsidP="00000000" w:rsidRDefault="00000000" w:rsidRPr="00000000" w14:paraId="000005A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32100"/>
            <wp:effectExtent b="0" l="0" r="0" t="0"/>
            <wp:docPr id="88" name="image94.png"/>
            <a:graphic>
              <a:graphicData uri="http://schemas.openxmlformats.org/drawingml/2006/picture">
                <pic:pic>
                  <pic:nvPicPr>
                    <pic:cNvPr id="0" name="image94.png"/>
                    <pic:cNvPicPr preferRelativeResize="0"/>
                  </pic:nvPicPr>
                  <pic:blipFill>
                    <a:blip r:embed="rId8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CU31: Distinguir naturaleza de equipo.</w:t>
      </w:r>
    </w:p>
    <w:p w:rsidR="00000000" w:rsidDel="00000000" w:rsidP="00000000" w:rsidRDefault="00000000" w:rsidRPr="00000000" w14:paraId="000005A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A8">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A9">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CU32.</w:t>
      </w:r>
      <w:r w:rsidDel="00000000" w:rsidR="00000000" w:rsidRPr="00000000">
        <w:rPr>
          <w:rtl w:val="0"/>
        </w:rPr>
      </w:r>
    </w:p>
    <w:p w:rsidR="00000000" w:rsidDel="00000000" w:rsidP="00000000" w:rsidRDefault="00000000" w:rsidRPr="00000000" w14:paraId="000005A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75" name="image84.png"/>
            <a:graphic>
              <a:graphicData uri="http://schemas.openxmlformats.org/drawingml/2006/picture">
                <pic:pic>
                  <pic:nvPicPr>
                    <pic:cNvPr id="0" name="image84.png"/>
                    <pic:cNvPicPr preferRelativeResize="0"/>
                  </pic:nvPicPr>
                  <pic:blipFill>
                    <a:blip r:embed="rId81"/>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CU32: Registrar unidad de equipo individualizable</w:t>
      </w:r>
    </w:p>
    <w:p w:rsidR="00000000" w:rsidDel="00000000" w:rsidP="00000000" w:rsidRDefault="00000000" w:rsidRPr="00000000" w14:paraId="000005A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AD">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AE">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CU32.</w:t>
      </w:r>
      <w:r w:rsidDel="00000000" w:rsidR="00000000" w:rsidRPr="00000000">
        <w:rPr>
          <w:rtl w:val="0"/>
        </w:rPr>
      </w:r>
    </w:p>
    <w:p w:rsidR="00000000" w:rsidDel="00000000" w:rsidP="00000000" w:rsidRDefault="00000000" w:rsidRPr="00000000" w14:paraId="000005A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946400"/>
            <wp:effectExtent b="0" l="0" r="0" t="0"/>
            <wp:docPr id="102" name="image109.png"/>
            <a:graphic>
              <a:graphicData uri="http://schemas.openxmlformats.org/drawingml/2006/picture">
                <pic:pic>
                  <pic:nvPicPr>
                    <pic:cNvPr id="0" name="image109.png"/>
                    <pic:cNvPicPr preferRelativeResize="0"/>
                  </pic:nvPicPr>
                  <pic:blipFill>
                    <a:blip r:embed="rId8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CU32: Fuente: Registrar unidad de equipo individualizable</w:t>
      </w:r>
    </w:p>
    <w:p w:rsidR="00000000" w:rsidDel="00000000" w:rsidP="00000000" w:rsidRDefault="00000000" w:rsidRPr="00000000" w14:paraId="000005B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2">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B3">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segundo flujo de excepción correspondiente al CU20.</w:t>
      </w:r>
      <w:r w:rsidDel="00000000" w:rsidR="00000000" w:rsidRPr="00000000">
        <w:rPr>
          <w:rtl w:val="0"/>
        </w:rPr>
      </w:r>
    </w:p>
    <w:p w:rsidR="00000000" w:rsidDel="00000000" w:rsidP="00000000" w:rsidRDefault="00000000" w:rsidRPr="00000000" w14:paraId="000005B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11500"/>
            <wp:effectExtent b="0" l="0" r="0" t="0"/>
            <wp:docPr id="19"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2 correspondiente al CU32: Fuente: Registrar unidad de equipo individualizable</w:t>
      </w:r>
    </w:p>
    <w:p w:rsidR="00000000" w:rsidDel="00000000" w:rsidP="00000000" w:rsidRDefault="00000000" w:rsidRPr="00000000" w14:paraId="000005B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7">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8">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tercer flujo de excepción  correspondiente al CU32.</w:t>
      </w:r>
      <w:r w:rsidDel="00000000" w:rsidR="00000000" w:rsidRPr="00000000">
        <w:rPr>
          <w:rtl w:val="0"/>
        </w:rPr>
      </w:r>
    </w:p>
    <w:p w:rsidR="00000000" w:rsidDel="00000000" w:rsidP="00000000" w:rsidRDefault="00000000" w:rsidRPr="00000000" w14:paraId="000005B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54400"/>
            <wp:effectExtent b="0" l="0" r="0" t="0"/>
            <wp:docPr id="52"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3 correspondiente al CU32: Fuente: Registrar unidad de equipo individualizable</w:t>
      </w:r>
    </w:p>
    <w:p w:rsidR="00000000" w:rsidDel="00000000" w:rsidP="00000000" w:rsidRDefault="00000000" w:rsidRPr="00000000" w14:paraId="000005B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BC">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BD">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CU33.</w:t>
      </w:r>
      <w:r w:rsidDel="00000000" w:rsidR="00000000" w:rsidRPr="00000000">
        <w:rPr>
          <w:rtl w:val="0"/>
        </w:rPr>
      </w:r>
    </w:p>
    <w:p w:rsidR="00000000" w:rsidDel="00000000" w:rsidP="00000000" w:rsidRDefault="00000000" w:rsidRPr="00000000" w14:paraId="000005B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42"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CU33: Fuente: Consultar ficha de detalle unidad de equipo</w:t>
      </w:r>
    </w:p>
    <w:p w:rsidR="00000000" w:rsidDel="00000000" w:rsidP="00000000" w:rsidRDefault="00000000" w:rsidRPr="00000000" w14:paraId="000005C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2">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CU33.</w:t>
      </w:r>
      <w:r w:rsidDel="00000000" w:rsidR="00000000" w:rsidRPr="00000000">
        <w:rPr>
          <w:rtl w:val="0"/>
        </w:rPr>
      </w:r>
    </w:p>
    <w:p w:rsidR="00000000" w:rsidDel="00000000" w:rsidP="00000000" w:rsidRDefault="00000000" w:rsidRPr="00000000" w14:paraId="000005C3">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59000"/>
            <wp:effectExtent b="0" l="0" r="0" t="0"/>
            <wp:docPr id="91"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CU33: Fuente: Consultar ficha de detalle unidad de equipo</w:t>
      </w:r>
    </w:p>
    <w:p w:rsidR="00000000" w:rsidDel="00000000" w:rsidP="00000000" w:rsidRDefault="00000000" w:rsidRPr="00000000" w14:paraId="000005C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6">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C7">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CU34.</w:t>
      </w:r>
      <w:r w:rsidDel="00000000" w:rsidR="00000000" w:rsidRPr="00000000">
        <w:rPr>
          <w:rtl w:val="0"/>
        </w:rPr>
      </w:r>
    </w:p>
    <w:p w:rsidR="00000000" w:rsidDel="00000000" w:rsidP="00000000" w:rsidRDefault="00000000" w:rsidRPr="00000000" w14:paraId="000005C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086100"/>
            <wp:effectExtent b="0" l="0" r="0" t="0"/>
            <wp:docPr id="53" name="image52.png"/>
            <a:graphic>
              <a:graphicData uri="http://schemas.openxmlformats.org/drawingml/2006/picture">
                <pic:pic>
                  <pic:nvPicPr>
                    <pic:cNvPr id="0" name="image52.png"/>
                    <pic:cNvPicPr preferRelativeResize="0"/>
                  </pic:nvPicPr>
                  <pic:blipFill>
                    <a:blip r:embed="rId8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CU34: Fuente: Editar datos de unidad de equipo</w:t>
      </w:r>
    </w:p>
    <w:p w:rsidR="00000000" w:rsidDel="00000000" w:rsidP="00000000" w:rsidRDefault="00000000" w:rsidRPr="00000000" w14:paraId="000005C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C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C">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CU34.</w:t>
      </w:r>
      <w:r w:rsidDel="00000000" w:rsidR="00000000" w:rsidRPr="00000000">
        <w:rPr>
          <w:rtl w:val="0"/>
        </w:rPr>
      </w:r>
    </w:p>
    <w:p w:rsidR="00000000" w:rsidDel="00000000" w:rsidP="00000000" w:rsidRDefault="00000000" w:rsidRPr="00000000" w14:paraId="000005CD">
      <w:pPr>
        <w:spacing w:after="160" w:line="36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95500"/>
            <wp:effectExtent b="0" l="0" r="0" t="0"/>
            <wp:docPr id="65" name="image68.png"/>
            <a:graphic>
              <a:graphicData uri="http://schemas.openxmlformats.org/drawingml/2006/picture">
                <pic:pic>
                  <pic:nvPicPr>
                    <pic:cNvPr id="0" name="image68.png"/>
                    <pic:cNvPicPr preferRelativeResize="0"/>
                  </pic:nvPicPr>
                  <pic:blipFill>
                    <a:blip r:embed="rId88"/>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CU34: Fuente: Editar datos de unidad de equipo</w:t>
      </w:r>
    </w:p>
    <w:p w:rsidR="00000000" w:rsidDel="00000000" w:rsidP="00000000" w:rsidRDefault="00000000" w:rsidRPr="00000000" w14:paraId="000005C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Desarrollado por los estudiantes de acuerdo al proyecto, 2026.</w:t>
      </w:r>
    </w:p>
    <w:p w:rsidR="00000000" w:rsidDel="00000000" w:rsidP="00000000" w:rsidRDefault="00000000" w:rsidRPr="00000000" w14:paraId="000005D0">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1">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CU35.</w:t>
      </w:r>
      <w:r w:rsidDel="00000000" w:rsidR="00000000" w:rsidRPr="00000000">
        <w:rPr>
          <w:rtl w:val="0"/>
        </w:rPr>
      </w:r>
    </w:p>
    <w:p w:rsidR="00000000" w:rsidDel="00000000" w:rsidP="00000000" w:rsidRDefault="00000000" w:rsidRPr="00000000" w14:paraId="000005D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94000"/>
            <wp:effectExtent b="0" l="0" r="0" t="0"/>
            <wp:docPr id="10"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CU35: Gestionar transición de estado equipo</w:t>
      </w:r>
    </w:p>
    <w:p w:rsidR="00000000" w:rsidDel="00000000" w:rsidP="00000000" w:rsidRDefault="00000000" w:rsidRPr="00000000" w14:paraId="000005D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5">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D6">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CU35.</w:t>
      </w:r>
      <w:r w:rsidDel="00000000" w:rsidR="00000000" w:rsidRPr="00000000">
        <w:rPr>
          <w:rtl w:val="0"/>
        </w:rPr>
      </w:r>
    </w:p>
    <w:p w:rsidR="00000000" w:rsidDel="00000000" w:rsidP="00000000" w:rsidRDefault="00000000" w:rsidRPr="00000000" w14:paraId="000005D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46300"/>
            <wp:effectExtent b="0" l="0" r="0" t="0"/>
            <wp:docPr id="4"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CU35: Gestionar transición de estado equipo</w:t>
      </w:r>
    </w:p>
    <w:p w:rsidR="00000000" w:rsidDel="00000000" w:rsidP="00000000" w:rsidRDefault="00000000" w:rsidRPr="00000000" w14:paraId="000005D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A">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DB">
      <w:pPr>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CU36.</w:t>
      </w:r>
      <w:r w:rsidDel="00000000" w:rsidR="00000000" w:rsidRPr="00000000">
        <w:rPr>
          <w:rtl w:val="0"/>
        </w:rPr>
      </w:r>
    </w:p>
    <w:p w:rsidR="00000000" w:rsidDel="00000000" w:rsidP="00000000" w:rsidRDefault="00000000" w:rsidRPr="00000000" w14:paraId="000005D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9"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CU36: Registrando automáticamente cambio de estado de equipo</w:t>
      </w:r>
    </w:p>
    <w:p w:rsidR="00000000" w:rsidDel="00000000" w:rsidP="00000000" w:rsidRDefault="00000000" w:rsidRPr="00000000" w14:paraId="000005D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DF">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E0">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CU36.</w:t>
      </w:r>
      <w:r w:rsidDel="00000000" w:rsidR="00000000" w:rsidRPr="00000000">
        <w:rPr>
          <w:rtl w:val="0"/>
        </w:rPr>
      </w:r>
    </w:p>
    <w:p w:rsidR="00000000" w:rsidDel="00000000" w:rsidP="00000000" w:rsidRDefault="00000000" w:rsidRPr="00000000" w14:paraId="000005E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30600"/>
            <wp:effectExtent b="0" l="0" r="0" t="0"/>
            <wp:docPr id="54"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CU36: Registrando automáticamente cambio de estado de equipo</w:t>
      </w:r>
    </w:p>
    <w:p w:rsidR="00000000" w:rsidDel="00000000" w:rsidP="00000000" w:rsidRDefault="00000000" w:rsidRPr="00000000" w14:paraId="000005E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4">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5">
      <w:pPr>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CU37.</w:t>
      </w:r>
      <w:r w:rsidDel="00000000" w:rsidR="00000000" w:rsidRPr="00000000">
        <w:rPr>
          <w:rtl w:val="0"/>
        </w:rPr>
      </w:r>
    </w:p>
    <w:p w:rsidR="00000000" w:rsidDel="00000000" w:rsidP="00000000" w:rsidRDefault="00000000" w:rsidRPr="00000000" w14:paraId="000005E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222500"/>
            <wp:effectExtent b="0" l="0" r="0" t="0"/>
            <wp:docPr id="29" name="image21.png"/>
            <a:graphic>
              <a:graphicData uri="http://schemas.openxmlformats.org/drawingml/2006/picture">
                <pic:pic>
                  <pic:nvPicPr>
                    <pic:cNvPr id="0" name="image21.png"/>
                    <pic:cNvPicPr preferRelativeResize="0"/>
                  </pic:nvPicPr>
                  <pic:blipFill>
                    <a:blip r:embed="rId93"/>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CU37: Consultar historial completo de estados de equipo</w:t>
      </w:r>
    </w:p>
    <w:p w:rsidR="00000000" w:rsidDel="00000000" w:rsidP="00000000" w:rsidRDefault="00000000" w:rsidRPr="00000000" w14:paraId="000005E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CU37.</w:t>
      </w:r>
      <w:r w:rsidDel="00000000" w:rsidR="00000000" w:rsidRPr="00000000">
        <w:rPr>
          <w:rtl w:val="0"/>
        </w:rPr>
      </w:r>
    </w:p>
    <w:p w:rsidR="00000000" w:rsidDel="00000000" w:rsidP="00000000" w:rsidRDefault="00000000" w:rsidRPr="00000000" w14:paraId="000005E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33600"/>
            <wp:effectExtent b="0" l="0" r="0" t="0"/>
            <wp:docPr id="58"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de excepción 1 correspondiente al CU37: Consultar historial completo de estados de equipo</w:t>
      </w:r>
    </w:p>
    <w:p w:rsidR="00000000" w:rsidDel="00000000" w:rsidP="00000000" w:rsidRDefault="00000000" w:rsidRPr="00000000" w14:paraId="000005E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EE">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E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CU38.</w:t>
      </w:r>
      <w:r w:rsidDel="00000000" w:rsidR="00000000" w:rsidRPr="00000000">
        <w:rPr>
          <w:rtl w:val="0"/>
        </w:rPr>
      </w:r>
    </w:p>
    <w:p w:rsidR="00000000" w:rsidDel="00000000" w:rsidP="00000000" w:rsidRDefault="00000000" w:rsidRPr="00000000" w14:paraId="000005F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746500"/>
            <wp:effectExtent b="0" l="0" r="0" t="0"/>
            <wp:docPr id="73" name="image77.png"/>
            <a:graphic>
              <a:graphicData uri="http://schemas.openxmlformats.org/drawingml/2006/picture">
                <pic:pic>
                  <pic:nvPicPr>
                    <pic:cNvPr id="0" name="image77.png"/>
                    <pic:cNvPicPr preferRelativeResize="0"/>
                  </pic:nvPicPr>
                  <pic:blipFill>
                    <a:blip r:embed="rId9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Figura 6.53: Diagrama de secuencia correspondiente al CU38: Calcular fecha de vencimiento de garantía</w:t>
      </w:r>
    </w:p>
    <w:p w:rsidR="00000000" w:rsidDel="00000000" w:rsidP="00000000" w:rsidRDefault="00000000" w:rsidRPr="00000000" w14:paraId="000005F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5F3">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CU38.</w:t>
      </w:r>
      <w:r w:rsidDel="00000000" w:rsidR="00000000" w:rsidRPr="00000000">
        <w:rPr>
          <w:rtl w:val="0"/>
        </w:rPr>
      </w:r>
    </w:p>
    <w:p w:rsidR="00000000" w:rsidDel="00000000" w:rsidP="00000000" w:rsidRDefault="00000000" w:rsidRPr="00000000" w14:paraId="000005F5">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683000"/>
            <wp:effectExtent b="0" l="0" r="0" t="0"/>
            <wp:docPr id="18" name="image16.png"/>
            <a:graphic>
              <a:graphicData uri="http://schemas.openxmlformats.org/drawingml/2006/picture">
                <pic:pic>
                  <pic:nvPicPr>
                    <pic:cNvPr id="0" name="image16.png"/>
                    <pic:cNvPicPr preferRelativeResize="0"/>
                  </pic:nvPicPr>
                  <pic:blipFill>
                    <a:blip r:embed="rId9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CU38: Calcular fecha de vencimiento de garantía</w:t>
      </w:r>
    </w:p>
    <w:p w:rsidR="00000000" w:rsidDel="00000000" w:rsidP="00000000" w:rsidRDefault="00000000" w:rsidRPr="00000000" w14:paraId="000005F7">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8">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9">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al CU39.</w:t>
      </w:r>
      <w:r w:rsidDel="00000000" w:rsidR="00000000" w:rsidRPr="00000000">
        <w:rPr>
          <w:rtl w:val="0"/>
        </w:rPr>
      </w:r>
    </w:p>
    <w:p w:rsidR="00000000" w:rsidDel="00000000" w:rsidP="00000000" w:rsidRDefault="00000000" w:rsidRPr="00000000" w14:paraId="000005FA">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06700"/>
            <wp:effectExtent b="0" l="0" r="0" t="0"/>
            <wp:docPr id="55" name="image59.png"/>
            <a:graphic>
              <a:graphicData uri="http://schemas.openxmlformats.org/drawingml/2006/picture">
                <pic:pic>
                  <pic:nvPicPr>
                    <pic:cNvPr id="0" name="image59.png"/>
                    <pic:cNvPicPr preferRelativeResize="0"/>
                  </pic:nvPicPr>
                  <pic:blipFill>
                    <a:blip r:embed="rId9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CU39: Mostrando indicador visual de garantía vigente</w:t>
      </w:r>
    </w:p>
    <w:p w:rsidR="00000000" w:rsidDel="00000000" w:rsidP="00000000" w:rsidRDefault="00000000" w:rsidRPr="00000000" w14:paraId="000005FC">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5FD">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FE">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CU39.</w:t>
      </w:r>
      <w:r w:rsidDel="00000000" w:rsidR="00000000" w:rsidRPr="00000000">
        <w:rPr>
          <w:rtl w:val="0"/>
        </w:rPr>
      </w:r>
    </w:p>
    <w:p w:rsidR="00000000" w:rsidDel="00000000" w:rsidP="00000000" w:rsidRDefault="00000000" w:rsidRPr="00000000" w14:paraId="000005FF">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05100"/>
            <wp:effectExtent b="0" l="0" r="0" t="0"/>
            <wp:docPr id="77" name="image82.png"/>
            <a:graphic>
              <a:graphicData uri="http://schemas.openxmlformats.org/drawingml/2006/picture">
                <pic:pic>
                  <pic:nvPicPr>
                    <pic:cNvPr id="0" name="image82.png"/>
                    <pic:cNvPicPr preferRelativeResize="0"/>
                  </pic:nvPicPr>
                  <pic:blipFill>
                    <a:blip r:embed="rId9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CU39: Mostrando indicador visual de garantía vigente</w:t>
      </w:r>
    </w:p>
    <w:p w:rsidR="00000000" w:rsidDel="00000000" w:rsidP="00000000" w:rsidRDefault="00000000" w:rsidRPr="00000000" w14:paraId="00000601">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CU40.</w:t>
      </w:r>
      <w:r w:rsidDel="00000000" w:rsidR="00000000" w:rsidRPr="00000000">
        <w:rPr>
          <w:rtl w:val="0"/>
        </w:rPr>
      </w:r>
    </w:p>
    <w:p w:rsidR="00000000" w:rsidDel="00000000" w:rsidP="00000000" w:rsidRDefault="00000000" w:rsidRPr="00000000" w14:paraId="00000604">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5257800"/>
            <wp:effectExtent b="0" l="0" r="0" t="0"/>
            <wp:docPr id="27" name="image41.png"/>
            <a:graphic>
              <a:graphicData uri="http://schemas.openxmlformats.org/drawingml/2006/picture">
                <pic:pic>
                  <pic:nvPicPr>
                    <pic:cNvPr id="0" name="image41.png"/>
                    <pic:cNvPicPr preferRelativeResize="0"/>
                  </pic:nvPicPr>
                  <pic:blipFill>
                    <a:blip r:embed="rId99"/>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CU40: Registrando diagnóstico técnico al enviar a revisión</w:t>
      </w:r>
    </w:p>
    <w:p w:rsidR="00000000" w:rsidDel="00000000" w:rsidP="00000000" w:rsidRDefault="00000000" w:rsidRPr="00000000" w14:paraId="00000606">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7">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CU40.</w:t>
      </w:r>
      <w:r w:rsidDel="00000000" w:rsidR="00000000" w:rsidRPr="00000000">
        <w:rPr>
          <w:rtl w:val="0"/>
        </w:rPr>
      </w:r>
    </w:p>
    <w:p w:rsidR="00000000" w:rsidDel="00000000" w:rsidP="00000000" w:rsidRDefault="00000000" w:rsidRPr="00000000" w14:paraId="00000609">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886200"/>
            <wp:effectExtent b="0" l="0" r="0" t="0"/>
            <wp:docPr id="57" name="image69.png"/>
            <a:graphic>
              <a:graphicData uri="http://schemas.openxmlformats.org/drawingml/2006/picture">
                <pic:pic>
                  <pic:nvPicPr>
                    <pic:cNvPr id="0" name="image69.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CU40: Registrando diagnóstico técnico al enviar a revisión</w:t>
      </w:r>
    </w:p>
    <w:p w:rsidR="00000000" w:rsidDel="00000000" w:rsidP="00000000" w:rsidRDefault="00000000" w:rsidRPr="00000000" w14:paraId="0000060B">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0C">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0D">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CU41.</w:t>
      </w:r>
      <w:r w:rsidDel="00000000" w:rsidR="00000000" w:rsidRPr="00000000">
        <w:rPr>
          <w:rtl w:val="0"/>
        </w:rPr>
      </w:r>
    </w:p>
    <w:p w:rsidR="00000000" w:rsidDel="00000000" w:rsidP="00000000" w:rsidRDefault="00000000" w:rsidRPr="00000000" w14:paraId="0000060E">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162300"/>
            <wp:effectExtent b="0" l="0" r="0" t="0"/>
            <wp:docPr id="94" name="image96.png"/>
            <a:graphic>
              <a:graphicData uri="http://schemas.openxmlformats.org/drawingml/2006/picture">
                <pic:pic>
                  <pic:nvPicPr>
                    <pic:cNvPr id="0" name="image96.png"/>
                    <pic:cNvPicPr preferRelativeResize="0"/>
                  </pic:nvPicPr>
                  <pic:blipFill>
                    <a:blip r:embed="rId10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CU41: Crear bodega</w:t>
      </w:r>
    </w:p>
    <w:p w:rsidR="00000000" w:rsidDel="00000000" w:rsidP="00000000" w:rsidRDefault="00000000" w:rsidRPr="00000000" w14:paraId="0000061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1">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CU41.</w:t>
      </w:r>
      <w:r w:rsidDel="00000000" w:rsidR="00000000" w:rsidRPr="00000000">
        <w:rPr>
          <w:rtl w:val="0"/>
        </w:rPr>
      </w:r>
    </w:p>
    <w:p w:rsidR="00000000" w:rsidDel="00000000" w:rsidP="00000000" w:rsidRDefault="00000000" w:rsidRPr="00000000" w14:paraId="00000613">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03500"/>
            <wp:effectExtent b="0" l="0" r="0" t="0"/>
            <wp:docPr id="46" name="image46.png"/>
            <a:graphic>
              <a:graphicData uri="http://schemas.openxmlformats.org/drawingml/2006/picture">
                <pic:pic>
                  <pic:nvPicPr>
                    <pic:cNvPr id="0" name="image46.png"/>
                    <pic:cNvPicPr preferRelativeResize="0"/>
                  </pic:nvPicPr>
                  <pic:blipFill>
                    <a:blip r:embed="rId10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CU41: Crear bodega</w:t>
      </w:r>
    </w:p>
    <w:p w:rsidR="00000000" w:rsidDel="00000000" w:rsidP="00000000" w:rsidRDefault="00000000" w:rsidRPr="00000000" w14:paraId="00000615">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16">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CU42.</w:t>
      </w:r>
      <w:r w:rsidDel="00000000" w:rsidR="00000000" w:rsidRPr="00000000">
        <w:rPr>
          <w:rtl w:val="0"/>
        </w:rPr>
      </w:r>
    </w:p>
    <w:p w:rsidR="00000000" w:rsidDel="00000000" w:rsidP="00000000" w:rsidRDefault="00000000" w:rsidRPr="00000000" w14:paraId="0000061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318000"/>
            <wp:effectExtent b="0" l="0" r="0" t="0"/>
            <wp:docPr id="3" name="image25.png"/>
            <a:graphic>
              <a:graphicData uri="http://schemas.openxmlformats.org/drawingml/2006/picture">
                <pic:pic>
                  <pic:nvPicPr>
                    <pic:cNvPr id="0" name="image25.png"/>
                    <pic:cNvPicPr preferRelativeResize="0"/>
                  </pic:nvPicPr>
                  <pic:blipFill>
                    <a:blip r:embed="rId10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CU42: Editar bodega</w:t>
      </w:r>
    </w:p>
    <w:p w:rsidR="00000000" w:rsidDel="00000000" w:rsidP="00000000" w:rsidRDefault="00000000" w:rsidRPr="00000000" w14:paraId="0000061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1B">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CU42.</w:t>
      </w:r>
      <w:r w:rsidDel="00000000" w:rsidR="00000000" w:rsidRPr="00000000">
        <w:rPr>
          <w:rtl w:val="0"/>
        </w:rPr>
      </w:r>
    </w:p>
    <w:p w:rsidR="00000000" w:rsidDel="00000000" w:rsidP="00000000" w:rsidRDefault="00000000" w:rsidRPr="00000000" w14:paraId="0000061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200400"/>
            <wp:effectExtent b="0" l="0" r="0" t="0"/>
            <wp:docPr id="33"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CU42: Editar bodega</w:t>
      </w:r>
    </w:p>
    <w:p w:rsidR="00000000" w:rsidDel="00000000" w:rsidP="00000000" w:rsidRDefault="00000000" w:rsidRPr="00000000" w14:paraId="0000061F">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0">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1">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CU43.</w:t>
      </w:r>
      <w:r w:rsidDel="00000000" w:rsidR="00000000" w:rsidRPr="00000000">
        <w:rPr>
          <w:rtl w:val="0"/>
        </w:rPr>
      </w:r>
    </w:p>
    <w:p w:rsidR="00000000" w:rsidDel="00000000" w:rsidP="00000000" w:rsidRDefault="00000000" w:rsidRPr="00000000" w14:paraId="00000622">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962400"/>
            <wp:effectExtent b="0" l="0" r="0" t="0"/>
            <wp:docPr id="95" name="image103.png"/>
            <a:graphic>
              <a:graphicData uri="http://schemas.openxmlformats.org/drawingml/2006/picture">
                <pic:pic>
                  <pic:nvPicPr>
                    <pic:cNvPr id="0" name="image103.png"/>
                    <pic:cNvPicPr preferRelativeResize="0"/>
                  </pic:nvPicPr>
                  <pic:blipFill>
                    <a:blip r:embed="rId10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CU43: Desactivar bodega</w:t>
      </w:r>
    </w:p>
    <w:p w:rsidR="00000000" w:rsidDel="00000000" w:rsidP="00000000" w:rsidRDefault="00000000" w:rsidRPr="00000000" w14:paraId="00000624">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5">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6">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CU43.</w:t>
      </w:r>
      <w:r w:rsidDel="00000000" w:rsidR="00000000" w:rsidRPr="00000000">
        <w:rPr>
          <w:rtl w:val="0"/>
        </w:rPr>
      </w:r>
    </w:p>
    <w:p w:rsidR="00000000" w:rsidDel="00000000" w:rsidP="00000000" w:rsidRDefault="00000000" w:rsidRPr="00000000" w14:paraId="00000627">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895600"/>
            <wp:effectExtent b="0" l="0" r="0" t="0"/>
            <wp:docPr id="83" name="image86.png"/>
            <a:graphic>
              <a:graphicData uri="http://schemas.openxmlformats.org/drawingml/2006/picture">
                <pic:pic>
                  <pic:nvPicPr>
                    <pic:cNvPr id="0" name="image86.png"/>
                    <pic:cNvPicPr preferRelativeResize="0"/>
                  </pic:nvPicPr>
                  <pic:blipFill>
                    <a:blip r:embed="rId10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CU43: Desactivar bodega</w:t>
      </w:r>
    </w:p>
    <w:p w:rsidR="00000000" w:rsidDel="00000000" w:rsidP="00000000" w:rsidRDefault="00000000" w:rsidRPr="00000000" w14:paraId="00000629">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A">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diagrama de secuencia correspondiente al CU44.</w:t>
      </w:r>
      <w:r w:rsidDel="00000000" w:rsidR="00000000" w:rsidRPr="00000000">
        <w:rPr>
          <w:rtl w:val="0"/>
        </w:rPr>
      </w:r>
    </w:p>
    <w:p w:rsidR="00000000" w:rsidDel="00000000" w:rsidP="00000000" w:rsidRDefault="00000000" w:rsidRPr="00000000" w14:paraId="0000062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4064000"/>
            <wp:effectExtent b="0" l="0" r="0" t="0"/>
            <wp:docPr id="81" name="image87.png"/>
            <a:graphic>
              <a:graphicData uri="http://schemas.openxmlformats.org/drawingml/2006/picture">
                <pic:pic>
                  <pic:nvPicPr>
                    <pic:cNvPr id="0" name="image87.png"/>
                    <pic:cNvPicPr preferRelativeResize="0"/>
                  </pic:nvPicPr>
                  <pic:blipFill>
                    <a:blip r:embed="rId10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CU44: Consultar listado de bodegas</w:t>
      </w:r>
    </w:p>
    <w:p w:rsidR="00000000" w:rsidDel="00000000" w:rsidP="00000000" w:rsidRDefault="00000000" w:rsidRPr="00000000" w14:paraId="0000062E">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2F">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6.53, en la cual se detalla el primer flujo de excepción correspondiente al CU44.</w:t>
      </w:r>
    </w:p>
    <w:p w:rsidR="00000000" w:rsidDel="00000000" w:rsidP="00000000" w:rsidRDefault="00000000" w:rsidRPr="00000000" w14:paraId="00000631">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184400"/>
            <wp:effectExtent b="0" l="0" r="0" t="0"/>
            <wp:docPr id="30" name="image40.png"/>
            <a:graphic>
              <a:graphicData uri="http://schemas.openxmlformats.org/drawingml/2006/picture">
                <pic:pic>
                  <pic:nvPicPr>
                    <pic:cNvPr id="0" name="image40.png"/>
                    <pic:cNvPicPr preferRelativeResize="0"/>
                  </pic:nvPicPr>
                  <pic:blipFill>
                    <a:blip r:embed="rId10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CU44: Consultar listado de bodegas</w:t>
      </w:r>
    </w:p>
    <w:p w:rsidR="00000000" w:rsidDel="00000000" w:rsidP="00000000" w:rsidRDefault="00000000" w:rsidRPr="00000000" w14:paraId="00000633">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4">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5">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CU45.</w:t>
      </w:r>
      <w:r w:rsidDel="00000000" w:rsidR="00000000" w:rsidRPr="00000000">
        <w:rPr>
          <w:rtl w:val="0"/>
        </w:rPr>
      </w:r>
    </w:p>
    <w:p w:rsidR="00000000" w:rsidDel="00000000" w:rsidP="00000000" w:rsidRDefault="00000000" w:rsidRPr="00000000" w14:paraId="00000636">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416300"/>
            <wp:effectExtent b="0" l="0" r="0" t="0"/>
            <wp:docPr id="23" name="image26.png"/>
            <a:graphic>
              <a:graphicData uri="http://schemas.openxmlformats.org/drawingml/2006/picture">
                <pic:pic>
                  <pic:nvPicPr>
                    <pic:cNvPr id="0" name="image26.png"/>
                    <pic:cNvPicPr preferRelativeResize="0"/>
                  </pic:nvPicPr>
                  <pic:blipFill>
                    <a:blip r:embed="rId10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CU45: Consultar stock de bodega</w:t>
      </w:r>
    </w:p>
    <w:p w:rsidR="00000000" w:rsidDel="00000000" w:rsidP="00000000" w:rsidRDefault="00000000" w:rsidRPr="00000000" w14:paraId="00000638">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9">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CU45.</w:t>
      </w:r>
      <w:r w:rsidDel="00000000" w:rsidR="00000000" w:rsidRPr="00000000">
        <w:rPr>
          <w:rtl w:val="0"/>
        </w:rPr>
      </w:r>
    </w:p>
    <w:p w:rsidR="00000000" w:rsidDel="00000000" w:rsidP="00000000" w:rsidRDefault="00000000" w:rsidRPr="00000000" w14:paraId="0000063B">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968500"/>
            <wp:effectExtent b="0" l="0" r="0" t="0"/>
            <wp:docPr id="6" name="image7.png"/>
            <a:graphic>
              <a:graphicData uri="http://schemas.openxmlformats.org/drawingml/2006/picture">
                <pic:pic>
                  <pic:nvPicPr>
                    <pic:cNvPr id="0" name="image7.png"/>
                    <pic:cNvPicPr preferRelativeResize="0"/>
                  </pic:nvPicPr>
                  <pic:blipFill>
                    <a:blip r:embed="rId11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CU45: Consultar stock de bodega</w:t>
      </w:r>
    </w:p>
    <w:p w:rsidR="00000000" w:rsidDel="00000000" w:rsidP="00000000" w:rsidRDefault="00000000" w:rsidRPr="00000000" w14:paraId="0000063D">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3E">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3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diagrama de secuencia correspondiente al CU46.</w:t>
      </w:r>
      <w:r w:rsidDel="00000000" w:rsidR="00000000" w:rsidRPr="00000000">
        <w:rPr>
          <w:rtl w:val="0"/>
        </w:rPr>
      </w:r>
    </w:p>
    <w:p w:rsidR="00000000" w:rsidDel="00000000" w:rsidP="00000000" w:rsidRDefault="00000000" w:rsidRPr="00000000" w14:paraId="0000064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3581400"/>
            <wp:effectExtent b="0" l="0" r="0" t="0"/>
            <wp:docPr id="67" name="image58.png"/>
            <a:graphic>
              <a:graphicData uri="http://schemas.openxmlformats.org/drawingml/2006/picture">
                <pic:pic>
                  <pic:nvPicPr>
                    <pic:cNvPr id="0" name="image58.png"/>
                    <pic:cNvPicPr preferRelativeResize="0"/>
                  </pic:nvPicPr>
                  <pic:blipFill>
                    <a:blip r:embed="rId1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correspondiente al CU46: Configurar umbral de stock mínimo</w:t>
      </w:r>
    </w:p>
    <w:p w:rsidR="00000000" w:rsidDel="00000000" w:rsidP="00000000" w:rsidRDefault="00000000" w:rsidRPr="00000000" w14:paraId="00000642">
      <w:pPr>
        <w:spacing w:after="160" w:line="36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43">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4">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6.39, en la cual se detalla el primer flujo de excepción  correspondiente al CU46.</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1625600"/>
            <wp:effectExtent b="0" l="0" r="0" t="0"/>
            <wp:docPr id="41" name="image43.png"/>
            <a:graphic>
              <a:graphicData uri="http://schemas.openxmlformats.org/drawingml/2006/picture">
                <pic:pic>
                  <pic:nvPicPr>
                    <pic:cNvPr id="0" name="image43.png"/>
                    <pic:cNvPicPr preferRelativeResize="0"/>
                  </pic:nvPicPr>
                  <pic:blipFill>
                    <a:blip r:embed="rId1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6.53: Diagrama de secuencia de excepción 1 correspondiente al CU46: Configurar umbral de stock mínimo</w:t>
      </w:r>
    </w:p>
    <w:p w:rsidR="00000000" w:rsidDel="00000000" w:rsidP="00000000" w:rsidRDefault="00000000" w:rsidRPr="00000000" w14:paraId="0000064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647">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Diagramas de interacción entre objetos</w:t>
      </w:r>
    </w:p>
    <w:p w:rsidR="00000000" w:rsidDel="00000000" w:rsidP="00000000" w:rsidRDefault="00000000" w:rsidRPr="00000000" w14:paraId="000006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A continuación en la tabla 6.53 se presentan los 46 casos de uso, de los primeros modulos elegidos para trabajar en este primer incremento, cada uno con sus respectivos archivos principales e interacciones resumidas.</w:t>
      </w:r>
    </w:p>
    <w:p w:rsidR="00000000" w:rsidDel="00000000" w:rsidP="00000000" w:rsidRDefault="00000000" w:rsidRPr="00000000" w14:paraId="0000064B">
      <w:pPr>
        <w:rPr/>
      </w:pPr>
      <w:r w:rsidDel="00000000" w:rsidR="00000000" w:rsidRPr="00000000">
        <w:rPr>
          <w:rtl w:val="0"/>
        </w:rPr>
        <w:t xml:space="preserve"> </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8.3182813010994"/>
        <w:gridCol w:w="2479.85308545697"/>
        <w:gridCol w:w="5637.340444265554"/>
        <w:tblGridChange w:id="0">
          <w:tblGrid>
            <w:gridCol w:w="908.3182813010994"/>
            <w:gridCol w:w="2479.85308545697"/>
            <w:gridCol w:w="5637.3404442655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4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Interacción resumida (BCE)</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usuario+contraseña → V_Login → C_Auth valida formato y credenciales → SELECT usuario WHERE nombre_usuario → genera sesión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funcionalidad → C_Permisos lee rol del usuario → SELECT rol/permiso → habilita o bloquea acción según permisos acumulativos</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Intenta acceder a ruta → C_Guard verifica rol vs recurso → si no autorizado retorna error y INSERT log_auditoria (recurso, método HTTP)</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Completa formulario usuario → V_Usuarios → C_Usuarios valida campos → bcrypt(contraseña) → INSERT usuario → muestra clave inicial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Abre listado → V_Usuarios → C_Usuarios → SELECT usuario WHERE id_empresa → retorna tabla paginada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datos → V_Usuarios → C_Usuarios valida → UPDATE usuario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cuenta → C_Usuarios → UPDATE usuario SET estado='Inactivo'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Acción crítica detectada → C_Auditoria captura datos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Times New Roman" w:cs="Times New Roman" w:eastAsia="Times New Roman" w:hAnsi="Times New Roman"/>
                <w:sz w:val="20"/>
                <w:szCs w:val="20"/>
                <w:rtl w:val="0"/>
              </w:rPr>
              <w:t xml:space="preserve"> (solo lectura, inmutable)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Filtra por fecha/usuario/evento → V_Auditoria → C_Auditoria → SELECT log_auditoria → tabla cronológica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reseteo → C_Usuarios genera clave temporal (10 chars) → UPDATE usuario SET clave, debe_cambiar=true → muestra una vez</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Detecta inactividad → C_Sesion temporiza → aviso 2 min → si no responde cierra sesión y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'Cerrar sesión' → C_Auth invalida token → INSERT </w:t>
            </w:r>
            <w:r w:rsidDel="00000000" w:rsidR="00000000" w:rsidRPr="00000000">
              <w:rPr>
                <w:rFonts w:ascii="Times New Roman" w:cs="Times New Roman" w:eastAsia="Times New Roman" w:hAnsi="Times New Roman"/>
                <w:sz w:val="20"/>
                <w:szCs w:val="20"/>
                <w:rtl w:val="0"/>
              </w:rPr>
              <w:t xml:space="preserve">log_auditoria</w:t>
            </w:r>
            <w:r w:rsidDel="00000000" w:rsidR="00000000" w:rsidRPr="00000000">
              <w:rPr>
                <w:rFonts w:ascii="Cardo" w:cs="Cardo" w:eastAsia="Cardo" w:hAnsi="Cardo"/>
                <w:sz w:val="20"/>
                <w:szCs w:val="20"/>
                <w:rtl w:val="0"/>
              </w:rPr>
              <w:t xml:space="preserve"> → redirige a </w:t>
            </w:r>
            <w:r w:rsidDel="00000000" w:rsidR="00000000" w:rsidRPr="00000000">
              <w:rPr>
                <w:rFonts w:ascii="Times New Roman" w:cs="Times New Roman" w:eastAsia="Times New Roman" w:hAnsi="Times New Roman"/>
                <w:sz w:val="20"/>
                <w:szCs w:val="20"/>
                <w:rtl w:val="0"/>
              </w:rPr>
              <w:t xml:space="preserve">V_Login</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Finet → C_Auth resuelve empresa → carga contexto Finet sin selector → datos filtrados WHERE id_empresa='Finet'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Cable Mágico → C_Auth resuelve empresa → carga contexto CM sin selector → WHERE id_empresa='CableMagico'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Superusuario abre dashboard → V_Dashboard → C_Reportes → SELECT agregados de ambas empresas → muestra indicadores lado a lado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datos → C_Aislamiento fuerza filtro por empresa del usuario autenticado → SELECT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registro → C_Aislamiento asigna id_empresa del usuario → INSERT con empresa forzada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registro → C_Aislamiento valida pertenencia a su empresa → UPDATE WHERE id=? AND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Elimina/desactiva → C_Aislamiento valida empresa → UPDATE estado / DELETE lógico WHERE id_empresa</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solicitud → V_Transferencias → C_Transferencia valida NS de unidades → INSERT transferencia (estado='Pendiente') → notifica campana al Superusuario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Aprueba → C_Transferencia → UPDATE transferencia SET estado='Aprobada' → descuenta stock origen, suma destino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Rechaza → C_Transferencia → UPDATE transferencia SET estado='Rechazada' + motivo → notifica al solicitante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 V_Transferencias → C_Transferencia → SELECT transferencia WHERE empresa/estado → tabla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tipo → V_Catalogo → C_TipoEquipo valida unicidad (nombre+marca+modelo) → INSERT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catálogo → V_Catalogo → C_TipoEquipo → SELECT tipo_equipo WHERE estado='Activo'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tipo → C_TipoEquipo valida (bloquea cambio requiere_ns si hay unidades) → UPDATE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tipo → C_TipoEquipo → UPDATE tipo_equipo SET estado='Inactivo' (mantiene históricos)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NS → C_ValidacionNS aplica regla (4–30, A-Z 0-9 -) y unicidad global → SELECT WHERE numero_serie → válido/duplicado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Sube PDF (≤5MB) → C_TipoEquipo guarda ficha → UPDATE tipo_equipo SET ficha_url (reemplaza anterior)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'Descargar ficha' → C_TipoEquipo → retorna archivo PDF asociado al 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Sistema evalúa requiere_ns_individual → si Sí gestiona por NS, si No gestiona por cantidad/unidad de medida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Registra unidad → V_Inventario → C_Unidad valida NS y MAC → INSERT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(estado='En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ficha → C_Unidad → SELECT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Times New Roman" w:cs="Times New Roman" w:eastAsia="Times New Roman" w:hAnsi="Times New Roman"/>
                <w:sz w:val="20"/>
                <w:szCs w:val="20"/>
                <w:rtl w:val="0"/>
              </w:rPr>
              <w:t xml:space="preserve"> + tipo + bodega + historial por numero_serie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unidad → C_Unidad valida → UPDATE </w:t>
            </w:r>
            <w:r w:rsidDel="00000000" w:rsidR="00000000" w:rsidRPr="00000000">
              <w:rPr>
                <w:rFonts w:ascii="Times New Roman" w:cs="Times New Roman" w:eastAsia="Times New Roman" w:hAnsi="Times New Roman"/>
                <w:sz w:val="20"/>
                <w:szCs w:val="20"/>
                <w:rtl w:val="0"/>
              </w:rPr>
              <w:t xml:space="preserve">unidad_equipo</w:t>
            </w:r>
            <w:r w:rsidDel="00000000" w:rsidR="00000000" w:rsidRPr="00000000">
              <w:rPr>
                <w:rFonts w:ascii="Cardo" w:cs="Cardo" w:eastAsia="Cardo" w:hAnsi="Cardo"/>
                <w:sz w:val="20"/>
                <w:szCs w:val="20"/>
                <w:rtl w:val="0"/>
              </w:rPr>
              <w:t xml:space="preserve"> → INSERT historial_estado si cambia 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transición → C_EstadoEquipo valida máquina de estados → si permitida UPDATE estado, si no mensaje de error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Cambio confirmado → C_EstadoEquipo → INSERT historial_estado (estado_anterior, estado_nuevo, usuario, fecha_hora)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historial → V_Inventario → C_Historial → SELECT historial_estado WHERE numero_serie ORDER BY fecha DESC</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Ingreso de unidad → C_Garantia calcula fecha_vencimiento = fecha_adquisicion + dias_garantia_tipo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Render de ficha → C_Garantia compara hoy vs fecha_vencimiento → muestra indicador Vigente/Vencida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Envía a revisión → V_Inventario → C_EstadoEquipo solicita diagnóstico → INSERT diagnostico + UPDATE estado='En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bodega → V_Bodegas → C_Bodega valida → INSERT bodega WHERE id_empresa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bodega → C_Bodega → UPDATE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bodega → C_Bodega valida sin stock pendiente → UPDATE bodega SET estado='Inactiva'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bodegas → V_Bodegas → C_Bodega → SELECT bodega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stock → V_Bodegas → C_Stock → SELECT por </w:t>
            </w:r>
            <w:r w:rsidDel="00000000" w:rsidR="00000000" w:rsidRPr="00000000">
              <w:rPr>
                <w:rFonts w:ascii="Times New Roman" w:cs="Times New Roman" w:eastAsia="Times New Roman" w:hAnsi="Times New Roman"/>
                <w:sz w:val="20"/>
                <w:szCs w:val="20"/>
                <w:rtl w:val="0"/>
              </w:rPr>
              <w:t xml:space="preserve">tipo_equipo</w:t>
            </w:r>
            <w:r w:rsidDel="00000000" w:rsidR="00000000" w:rsidRPr="00000000">
              <w:rPr>
                <w:rFonts w:ascii="Times New Roman" w:cs="Times New Roman" w:eastAsia="Times New Roman" w:hAnsi="Times New Roman"/>
                <w:sz w:val="20"/>
                <w:szCs w:val="20"/>
                <w:rtl w:val="0"/>
              </w:rPr>
              <w:t xml:space="preserve">/cantidad y unidades por estado en la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Configura umbral → V_Bodegas → C_Stock → UPDATE stock_minimo → habilita alerta cuando stock &lt; umbral</w:t>
            </w:r>
          </w:p>
        </w:tc>
      </w:tr>
    </w:tbl>
    <w:p w:rsidR="00000000" w:rsidDel="00000000" w:rsidP="00000000" w:rsidRDefault="00000000" w:rsidRPr="00000000" w14:paraId="000006D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6.53: Diagramas de interacción entre objetos</w:t>
      </w:r>
    </w:p>
    <w:p w:rsidR="00000000" w:rsidDel="00000000" w:rsidP="00000000" w:rsidRDefault="00000000" w:rsidRPr="00000000" w14:paraId="000006DA">
      <w:pPr>
        <w:spacing w:after="160" w:line="3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6DB">
      <w:pPr>
        <w:pStyle w:val="Heading1"/>
        <w:spacing w:before="240" w:line="276" w:lineRule="auto"/>
        <w:rPr>
          <w:rFonts w:ascii="Times New Roman" w:cs="Times New Roman" w:eastAsia="Times New Roman" w:hAnsi="Times New Roman"/>
          <w:b w:val="1"/>
          <w:bCs w:val="1"/>
          <w:sz w:val="28"/>
          <w:szCs w:val="28"/>
        </w:rPr>
      </w:pPr>
      <w:bookmarkStart w:colFirst="0" w:colLast="0" w:name="_fo3noq4y6ts2" w:id="80"/>
      <w:bookmarkEnd w:id="80"/>
      <w:r w:rsidDel="00000000" w:rsidR="00000000" w:rsidRPr="00000000">
        <w:br w:type="page"/>
      </w:r>
      <w:r w:rsidDel="00000000" w:rsidR="00000000" w:rsidRPr="00000000">
        <w:rPr>
          <w:rtl w:val="0"/>
        </w:rPr>
      </w:r>
    </w:p>
    <w:p w:rsidR="00000000" w:rsidDel="00000000" w:rsidP="00000000" w:rsidRDefault="00000000" w:rsidRPr="00000000" w14:paraId="000006DC">
      <w:pPr>
        <w:pStyle w:val="Heading1"/>
        <w:spacing w:before="240" w:line="276" w:lineRule="auto"/>
        <w:rPr>
          <w:rFonts w:ascii="Times New Roman" w:cs="Times New Roman" w:eastAsia="Times New Roman" w:hAnsi="Times New Roman"/>
          <w:b w:val="1"/>
          <w:bCs w:val="1"/>
          <w:sz w:val="28"/>
          <w:szCs w:val="28"/>
        </w:rPr>
      </w:pPr>
      <w:bookmarkStart w:colFirst="0" w:colLast="0" w:name="_k6nrg4mfyb24" w:id="81"/>
      <w:bookmarkEnd w:id="81"/>
      <w:r w:rsidDel="00000000" w:rsidR="00000000" w:rsidRPr="00000000">
        <w:rPr>
          <w:rFonts w:ascii="Times New Roman" w:cs="Times New Roman" w:eastAsia="Times New Roman" w:hAnsi="Times New Roman"/>
          <w:b w:val="1"/>
          <w:bCs w:val="1"/>
          <w:sz w:val="28"/>
          <w:szCs w:val="28"/>
          <w:rtl w:val="0"/>
        </w:rPr>
        <w:t xml:space="preserve">7. VISTA DE DESARROLLO DEL SISTEMA</w:t>
      </w:r>
    </w:p>
    <w:p w:rsidR="00000000" w:rsidDel="00000000" w:rsidP="00000000" w:rsidRDefault="00000000" w:rsidRPr="00000000" w14:paraId="000006DD">
      <w:pPr>
        <w:pStyle w:val="Heading2"/>
        <w:spacing w:before="160" w:line="276" w:lineRule="auto"/>
        <w:rPr>
          <w:rFonts w:ascii="Times New Roman" w:cs="Times New Roman" w:eastAsia="Times New Roman" w:hAnsi="Times New Roman"/>
          <w:b w:val="1"/>
          <w:bCs w:val="1"/>
          <w:sz w:val="28"/>
          <w:szCs w:val="28"/>
        </w:rPr>
      </w:pPr>
      <w:bookmarkStart w:colFirst="0" w:colLast="0" w:name="_40cduq65v8lc" w:id="82"/>
      <w:bookmarkEnd w:id="82"/>
      <w:r w:rsidDel="00000000" w:rsidR="00000000" w:rsidRPr="00000000">
        <w:rPr>
          <w:rFonts w:ascii="Times New Roman" w:cs="Times New Roman" w:eastAsia="Times New Roman" w:hAnsi="Times New Roman"/>
          <w:b w:val="1"/>
          <w:bCs w:val="1"/>
          <w:sz w:val="28"/>
          <w:szCs w:val="28"/>
          <w:rtl w:val="0"/>
        </w:rPr>
        <w:t xml:space="preserve">7.1. Descripción de la vista de desarrollo</w:t>
      </w:r>
    </w:p>
    <w:p w:rsidR="00000000" w:rsidDel="00000000" w:rsidP="00000000" w:rsidRDefault="00000000" w:rsidRPr="00000000" w14:paraId="000006D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describe la organización técnica del sistema y su correspondencia con los artefactos del repositorio. El sistema se implementa como un </w:t>
      </w:r>
      <w:r w:rsidDel="00000000" w:rsidR="00000000" w:rsidRPr="00000000">
        <w:rPr>
          <w:rFonts w:ascii="Times New Roman" w:cs="Times New Roman" w:eastAsia="Times New Roman" w:hAnsi="Times New Roman"/>
          <w:sz w:val="24"/>
          <w:szCs w:val="24"/>
          <w:rtl w:val="0"/>
        </w:rPr>
        <w:t xml:space="preserve">monorepo</w:t>
      </w:r>
      <w:r w:rsidDel="00000000" w:rsidR="00000000" w:rsidRPr="00000000">
        <w:rPr>
          <w:rFonts w:ascii="Times New Roman" w:cs="Times New Roman" w:eastAsia="Times New Roman" w:hAnsi="Times New Roman"/>
          <w:sz w:val="24"/>
          <w:szCs w:val="24"/>
          <w:rtl w:val="0"/>
        </w:rPr>
        <w:t xml:space="preserve"> con backend NestJS (TypeScript) sobre Node.js 20 LTS,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acceso a datos hacia PostgreSQL 14 o superior y ejecución reproducible mediante Docker Compose. Los diagramas de secuencia muestran la separación BCE, mientras que el código concreta dicha separación mediante vistas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controladores y servicios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tablas reales de persistencia con esquema por empresa.</w:t>
      </w:r>
      <w:r w:rsidDel="00000000" w:rsidR="00000000" w:rsidRPr="00000000">
        <w:rPr>
          <w:rtl w:val="0"/>
        </w:rPr>
      </w:r>
    </w:p>
    <w:p w:rsidR="00000000" w:rsidDel="00000000" w:rsidP="00000000" w:rsidRDefault="00000000" w:rsidRPr="00000000" w14:paraId="000006DF">
      <w:pPr>
        <w:pStyle w:val="Heading2"/>
        <w:spacing w:before="160" w:line="276" w:lineRule="auto"/>
        <w:rPr>
          <w:rFonts w:ascii="Times New Roman" w:cs="Times New Roman" w:eastAsia="Times New Roman" w:hAnsi="Times New Roman"/>
          <w:b w:val="1"/>
          <w:bCs w:val="1"/>
          <w:sz w:val="28"/>
          <w:szCs w:val="28"/>
        </w:rPr>
      </w:pPr>
      <w:bookmarkStart w:colFirst="0" w:colLast="0" w:name="_4pu5898n3el8" w:id="83"/>
      <w:bookmarkEnd w:id="83"/>
      <w:r w:rsidDel="00000000" w:rsidR="00000000" w:rsidRPr="00000000">
        <w:rPr>
          <w:rFonts w:ascii="Times New Roman" w:cs="Times New Roman" w:eastAsia="Times New Roman" w:hAnsi="Times New Roman"/>
          <w:b w:val="1"/>
          <w:bCs w:val="1"/>
          <w:sz w:val="28"/>
          <w:szCs w:val="28"/>
          <w:rtl w:val="0"/>
        </w:rPr>
        <w:t xml:space="preserve">7.2. Diagrama de componentes</w:t>
      </w:r>
    </w:p>
    <w:p w:rsidR="00000000" w:rsidDel="00000000" w:rsidP="00000000" w:rsidRDefault="00000000" w:rsidRPr="00000000" w14:paraId="000006E0">
      <w:pPr>
        <w:rPr/>
      </w:pPr>
      <w:r w:rsidDel="00000000" w:rsidR="00000000" w:rsidRPr="00000000">
        <w:rPr>
          <w:rtl w:val="0"/>
        </w:rPr>
        <w:t xml:space="preserve">A continuación se presenta la figura 7.1, donde se presenta el diagrama de componentes.</w:t>
      </w:r>
      <w:r w:rsidDel="00000000" w:rsidR="00000000" w:rsidRPr="00000000">
        <w:rPr>
          <w:rtl w:val="0"/>
        </w:rPr>
      </w:r>
    </w:p>
    <w:p w:rsidR="00000000" w:rsidDel="00000000" w:rsidP="00000000" w:rsidRDefault="00000000" w:rsidRPr="00000000" w14:paraId="000006E1">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898900"/>
            <wp:effectExtent b="0" l="0" r="0" t="0"/>
            <wp:docPr id="68" name="image57.png"/>
            <a:graphic>
              <a:graphicData uri="http://schemas.openxmlformats.org/drawingml/2006/picture">
                <pic:pic>
                  <pic:nvPicPr>
                    <pic:cNvPr id="0" name="image57.png"/>
                    <pic:cNvPicPr preferRelativeResize="0"/>
                  </pic:nvPicPr>
                  <pic:blipFill>
                    <a:blip r:embed="rId11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7.1: Diagrama de componentes del incremento</w:t>
      </w:r>
    </w:p>
    <w:p w:rsidR="00000000" w:rsidDel="00000000" w:rsidP="00000000" w:rsidRDefault="00000000" w:rsidRPr="00000000" w14:paraId="000006E3">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6E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representa 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la API REST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organizada en módulos (auth, users, companies, transfers, equipment-types, units, warehouses), la capa de acceso a datos y la base PostgreSQL con sus esquemas por empresa.</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2"/>
        <w:spacing w:before="160" w:line="276" w:lineRule="auto"/>
        <w:rPr>
          <w:rFonts w:ascii="Times New Roman" w:cs="Times New Roman" w:eastAsia="Times New Roman" w:hAnsi="Times New Roman"/>
          <w:b w:val="1"/>
          <w:bCs w:val="1"/>
          <w:sz w:val="28"/>
          <w:szCs w:val="28"/>
        </w:rPr>
      </w:pPr>
      <w:bookmarkStart w:colFirst="0" w:colLast="0" w:name="_dl8ztjrorwny" w:id="84"/>
      <w:bookmarkEnd w:id="84"/>
      <w:r w:rsidDel="00000000" w:rsidR="00000000" w:rsidRPr="00000000">
        <w:rPr>
          <w:rFonts w:ascii="Times New Roman" w:cs="Times New Roman" w:eastAsia="Times New Roman" w:hAnsi="Times New Roman"/>
          <w:b w:val="1"/>
          <w:bCs w:val="1"/>
          <w:sz w:val="28"/>
          <w:szCs w:val="28"/>
          <w:rtl w:val="0"/>
        </w:rPr>
        <w:t xml:space="preserve">7.3. Arquitectura del sistema</w:t>
      </w:r>
    </w:p>
    <w:p w:rsidR="00000000" w:rsidDel="00000000" w:rsidP="00000000" w:rsidRDefault="00000000" w:rsidRPr="00000000" w14:paraId="000006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incremento se organiza bajo una separación BCE aplicada a una solución web full-stack. Las vistas V_ se implementan en las rutas de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(frontend/src/routes); los controladores C_ se materializan como controladores y servicios NestJS dentro de backend-inventario/src; </w:t>
      </w:r>
      <w:r w:rsidDel="00000000" w:rsidR="00000000" w:rsidRPr="00000000">
        <w:rPr>
          <w:rFonts w:ascii="Times New Roman" w:cs="Times New Roman" w:eastAsia="Times New Roman" w:hAnsi="Times New Roman"/>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 se representa mediante la capa de acceso a datos y PostgreSQL; y las tablas reales almacenan la información de negocio separada por esquema de empresa. Esta arquitectura mantiene la trazabilidad entre casos de uso, requerimientos, endpoints REST, módulos de código y componentes de persistencia.</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pStyle w:val="Heading2"/>
        <w:spacing w:before="160" w:line="276" w:lineRule="auto"/>
        <w:rPr>
          <w:rFonts w:ascii="Times New Roman" w:cs="Times New Roman" w:eastAsia="Times New Roman" w:hAnsi="Times New Roman"/>
          <w:b w:val="1"/>
          <w:bCs w:val="1"/>
          <w:sz w:val="28"/>
          <w:szCs w:val="28"/>
        </w:rPr>
      </w:pPr>
      <w:bookmarkStart w:colFirst="0" w:colLast="0" w:name="_wut69qcov7k" w:id="85"/>
      <w:bookmarkEnd w:id="85"/>
      <w:r w:rsidDel="00000000" w:rsidR="00000000" w:rsidRPr="00000000">
        <w:rPr>
          <w:rFonts w:ascii="Times New Roman" w:cs="Times New Roman" w:eastAsia="Times New Roman" w:hAnsi="Times New Roman"/>
          <w:b w:val="1"/>
          <w:bCs w:val="1"/>
          <w:sz w:val="28"/>
          <w:szCs w:val="28"/>
          <w:rtl w:val="0"/>
        </w:rPr>
        <w:t xml:space="preserve">7.4. Estructura del código fuente</w:t>
      </w:r>
    </w:p>
    <w:p w:rsidR="00000000" w:rsidDel="00000000" w:rsidP="00000000" w:rsidRDefault="00000000" w:rsidRPr="00000000" w14:paraId="000006EA">
      <w:pPr>
        <w:rPr/>
      </w:pPr>
      <w:r w:rsidDel="00000000" w:rsidR="00000000" w:rsidRPr="00000000">
        <w:rPr>
          <w:rtl w:val="0"/>
        </w:rPr>
        <w:t xml:space="preserve">A continuación en la tabla 7.1, se presentan las rutas o componentes y los propósitos que cada uno de estos elementos abarca.</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90.944127191769"/>
        <w:gridCol w:w="5334.567683831854"/>
        <w:tblGridChange w:id="0">
          <w:tblGrid>
            <w:gridCol w:w="3690.944127191769"/>
            <w:gridCol w:w="5334.5676838318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E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Ruta o 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E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backend-inventario/src/auth, users, roles, 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JWT, roles acumulativos, reseteo de clave y log de auditoría (CU-01 a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backend-inventario/src/companies, isolation (guards)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por empresa, dashboard consolidado y aislamiento de datos (CU-13 a CU-19)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validación de NS y ficha técnica (CU-24 a CU-31)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 state-machine, warranty</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máquina de estados, historial, garantía y diagnóstico (CU-32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consulta de stock y umbral mínimo (CU-41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frontend/src/routes (SvelteKit)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Vistas V_Login, V_Dashboard, V_Usuarios, V_Auditoria, V_Transferencias, V_Catalogo, V_Inventario, V_Bodegas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frontend/src/lib/api.ts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HTTP hacia la API REST del backend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db/init/*.sql + esquemas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esquema finet y esquema cable_magico (RNF-09), tablas y datos semilla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Dockerfile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reproducible de PostgreSQL, backend NestJS y frontend SvelteKit</w:t>
            </w:r>
          </w:p>
        </w:tc>
      </w:tr>
    </w:tbl>
    <w:p w:rsidR="00000000" w:rsidDel="00000000" w:rsidP="00000000" w:rsidRDefault="00000000" w:rsidRPr="00000000" w14:paraId="00000702">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Estructura del código fuente</w:t>
      </w:r>
    </w:p>
    <w:p w:rsidR="00000000" w:rsidDel="00000000" w:rsidP="00000000" w:rsidRDefault="00000000" w:rsidRPr="00000000" w14:paraId="00000703">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04">
      <w:pPr>
        <w:pStyle w:val="Heading2"/>
        <w:spacing w:before="160" w:line="276" w:lineRule="auto"/>
        <w:rPr>
          <w:rFonts w:ascii="Times New Roman" w:cs="Times New Roman" w:eastAsia="Times New Roman" w:hAnsi="Times New Roman"/>
          <w:b w:val="1"/>
          <w:bCs w:val="1"/>
          <w:sz w:val="28"/>
          <w:szCs w:val="28"/>
        </w:rPr>
      </w:pPr>
      <w:bookmarkStart w:colFirst="0" w:colLast="0" w:name="_pn1lbvs7k1l" w:id="86"/>
      <w:bookmarkEnd w:id="86"/>
      <w:r w:rsidDel="00000000" w:rsidR="00000000" w:rsidRPr="00000000">
        <w:rPr>
          <w:rFonts w:ascii="Times New Roman" w:cs="Times New Roman" w:eastAsia="Times New Roman" w:hAnsi="Times New Roman"/>
          <w:b w:val="1"/>
          <w:bCs w:val="1"/>
          <w:sz w:val="28"/>
          <w:szCs w:val="28"/>
          <w:rtl w:val="0"/>
        </w:rPr>
        <w:t xml:space="preserve">7.5. Funcionalidades desarrolladas</w:t>
      </w:r>
    </w:p>
    <w:p w:rsidR="00000000" w:rsidDel="00000000" w:rsidP="00000000" w:rsidRDefault="00000000" w:rsidRPr="00000000" w14:paraId="0000070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corresponden a los 46 casos de uso del primer incremento y se encuentran implementadas en módulos del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vistas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scripts de persistencia PostgreSQL. Cada caso de uso se vincula con sus endpoints REST, sus componentes de interfaz y sus tablas de base de datos, conforme a la matriz de trazabilidad de la sección 11.3.</w:t>
      </w:r>
      <w:r w:rsidDel="00000000" w:rsidR="00000000" w:rsidRPr="00000000">
        <w:rPr>
          <w:rtl w:val="0"/>
        </w:rPr>
      </w:r>
    </w:p>
    <w:p w:rsidR="00000000" w:rsidDel="00000000" w:rsidP="00000000" w:rsidRDefault="00000000" w:rsidRPr="00000000" w14:paraId="00000706">
      <w:pPr>
        <w:pStyle w:val="Heading2"/>
        <w:spacing w:before="160" w:line="276" w:lineRule="auto"/>
        <w:rPr>
          <w:rFonts w:ascii="Times New Roman" w:cs="Times New Roman" w:eastAsia="Times New Roman" w:hAnsi="Times New Roman"/>
          <w:b w:val="1"/>
          <w:bCs w:val="1"/>
          <w:sz w:val="28"/>
          <w:szCs w:val="28"/>
        </w:rPr>
      </w:pPr>
      <w:bookmarkStart w:colFirst="0" w:colLast="0" w:name="_sgvb9t4c32wk" w:id="87"/>
      <w:bookmarkEnd w:id="87"/>
      <w:r w:rsidDel="00000000" w:rsidR="00000000" w:rsidRPr="00000000">
        <w:rPr>
          <w:rFonts w:ascii="Times New Roman" w:cs="Times New Roman" w:eastAsia="Times New Roman" w:hAnsi="Times New Roman"/>
          <w:b w:val="1"/>
          <w:bCs w:val="1"/>
          <w:sz w:val="28"/>
          <w:szCs w:val="28"/>
          <w:rtl w:val="0"/>
        </w:rPr>
        <w:t xml:space="preserve">7.6. Estado de avance del código funcional</w:t>
      </w:r>
    </w:p>
    <w:p w:rsidR="00000000" w:rsidDel="00000000" w:rsidP="00000000" w:rsidRDefault="00000000" w:rsidRPr="00000000" w14:paraId="00000707">
      <w:pPr>
        <w:rPr/>
      </w:pPr>
      <w:r w:rsidDel="00000000" w:rsidR="00000000" w:rsidRPr="00000000">
        <w:rPr>
          <w:rtl w:val="0"/>
        </w:rPr>
        <w:t xml:space="preserve">A continuación en la tabla 7.1, se presentan los elementos del proyecto como las figuras y diagramas realizados, códigos, la base de datos, pruebas y validación, historial de commits, junto con las evidencias entregadas y su respectivo estado.</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7.9678498654125"/>
        <w:gridCol w:w="4109.058891600212"/>
        <w:gridCol w:w="2018.4850695579987"/>
        <w:tblGridChange w:id="0">
          <w:tblGrid>
            <w:gridCol w:w="2897.9678498654125"/>
            <w:gridCol w:w="4109.058891600212"/>
            <w:gridCol w:w="2018.485069557998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Evidencia entregada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Avance funcional implementado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de 96 casos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E">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secuencia principales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archivos .drawio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excepción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de excepción por caso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NestJS, módulos REST y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SvelteKit</w:t>
            </w:r>
            <w:r w:rsidDel="00000000" w:rsidR="00000000" w:rsidRPr="00000000">
              <w:rPr>
                <w:rFonts w:ascii="Times New Roman" w:cs="Times New Roman" w:eastAsia="Times New Roman" w:hAnsi="Times New Roman"/>
                <w:sz w:val="20"/>
                <w:szCs w:val="20"/>
                <w:rtl w:val="0"/>
              </w:rPr>
              <w:t xml:space="preserve"> y cliente API</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Scripts SQL, esquema por empresa y datos semilla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parcialmente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commits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commits por integrante desde Git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(Anexo 13.5)</w:t>
            </w:r>
          </w:p>
        </w:tc>
      </w:tr>
    </w:tbl>
    <w:p w:rsidR="00000000" w:rsidDel="00000000" w:rsidP="00000000" w:rsidRDefault="00000000" w:rsidRPr="00000000" w14:paraId="00000724">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Estado de avance del código funcional</w:t>
      </w:r>
    </w:p>
    <w:p w:rsidR="00000000" w:rsidDel="00000000" w:rsidP="00000000" w:rsidRDefault="00000000" w:rsidRPr="00000000" w14:paraId="00000725">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1"/>
        <w:spacing w:before="240" w:line="276" w:lineRule="auto"/>
        <w:rPr>
          <w:rFonts w:ascii="Times New Roman" w:cs="Times New Roman" w:eastAsia="Times New Roman" w:hAnsi="Times New Roman"/>
          <w:b w:val="1"/>
          <w:bCs w:val="1"/>
          <w:sz w:val="28"/>
          <w:szCs w:val="28"/>
        </w:rPr>
      </w:pPr>
      <w:bookmarkStart w:colFirst="0" w:colLast="0" w:name="_nv4n64mi1kn1" w:id="88"/>
      <w:bookmarkEnd w:id="88"/>
      <w:r w:rsidDel="00000000" w:rsidR="00000000" w:rsidRPr="00000000">
        <w:rPr>
          <w:rFonts w:ascii="Times New Roman" w:cs="Times New Roman" w:eastAsia="Times New Roman" w:hAnsi="Times New Roman"/>
          <w:b w:val="1"/>
          <w:bCs w:val="1"/>
          <w:sz w:val="28"/>
          <w:szCs w:val="28"/>
          <w:rtl w:val="0"/>
        </w:rPr>
        <w:t xml:space="preserve">8. VISTA FÍSICA DEL SISTEMA</w:t>
      </w:r>
    </w:p>
    <w:p w:rsidR="00000000" w:rsidDel="00000000" w:rsidP="00000000" w:rsidRDefault="00000000" w:rsidRPr="00000000" w14:paraId="00000727">
      <w:pPr>
        <w:pStyle w:val="Heading2"/>
        <w:spacing w:before="160" w:line="276" w:lineRule="auto"/>
        <w:rPr>
          <w:rFonts w:ascii="Times New Roman" w:cs="Times New Roman" w:eastAsia="Times New Roman" w:hAnsi="Times New Roman"/>
          <w:b w:val="1"/>
          <w:bCs w:val="1"/>
          <w:sz w:val="28"/>
          <w:szCs w:val="28"/>
        </w:rPr>
      </w:pPr>
      <w:bookmarkStart w:colFirst="0" w:colLast="0" w:name="_l1u8benla2tw" w:id="89"/>
      <w:bookmarkEnd w:id="89"/>
      <w:r w:rsidDel="00000000" w:rsidR="00000000" w:rsidRPr="00000000">
        <w:rPr>
          <w:rFonts w:ascii="Times New Roman" w:cs="Times New Roman" w:eastAsia="Times New Roman" w:hAnsi="Times New Roman"/>
          <w:b w:val="1"/>
          <w:bCs w:val="1"/>
          <w:sz w:val="28"/>
          <w:szCs w:val="28"/>
          <w:rtl w:val="0"/>
        </w:rPr>
        <w:t xml:space="preserve">8.1. Descripción de la vista física</w:t>
      </w:r>
    </w:p>
    <w:p w:rsidR="00000000" w:rsidDel="00000000" w:rsidP="00000000" w:rsidRDefault="00000000" w:rsidRPr="00000000" w14:paraId="0000072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los elementos de infraestructura necesarios para ejecutar el sistema. De acuerdo con la arquitectura, el sistema requiere clientes web y móviles, un servidor de aplicación que aloja el frontend y el backend, una base de datos PostgreSQL y un servicio de correo para notificaciones. Toda la infraestructura se aloja en un datacenter externo ubicado en La Florida, sin servidores locales en las empresas.</w:t>
      </w:r>
    </w:p>
    <w:p w:rsidR="00000000" w:rsidDel="00000000" w:rsidP="00000000" w:rsidRDefault="00000000" w:rsidRPr="00000000" w14:paraId="00000729">
      <w:pPr>
        <w:pStyle w:val="Heading2"/>
        <w:spacing w:before="160" w:line="276" w:lineRule="auto"/>
        <w:rPr>
          <w:rFonts w:ascii="Times New Roman" w:cs="Times New Roman" w:eastAsia="Times New Roman" w:hAnsi="Times New Roman"/>
          <w:b w:val="1"/>
          <w:bCs w:val="1"/>
          <w:sz w:val="28"/>
          <w:szCs w:val="28"/>
        </w:rPr>
      </w:pPr>
      <w:bookmarkStart w:colFirst="0" w:colLast="0" w:name="_p8979qtkhwvi" w:id="90"/>
      <w:bookmarkEnd w:id="90"/>
      <w:r w:rsidDel="00000000" w:rsidR="00000000" w:rsidRPr="00000000">
        <w:rPr>
          <w:rFonts w:ascii="Times New Roman" w:cs="Times New Roman" w:eastAsia="Times New Roman" w:hAnsi="Times New Roman"/>
          <w:b w:val="1"/>
          <w:bCs w:val="1"/>
          <w:sz w:val="28"/>
          <w:szCs w:val="28"/>
          <w:rtl w:val="0"/>
        </w:rPr>
        <w:t xml:space="preserve">8.2. Diagrama de despliegue</w:t>
      </w:r>
    </w:p>
    <w:p w:rsidR="00000000" w:rsidDel="00000000" w:rsidP="00000000" w:rsidRDefault="00000000" w:rsidRPr="00000000" w14:paraId="0000072A">
      <w:pPr>
        <w:rPr/>
      </w:pPr>
      <w:r w:rsidDel="00000000" w:rsidR="00000000" w:rsidRPr="00000000">
        <w:rPr>
          <w:rtl w:val="0"/>
        </w:rPr>
        <w:t xml:space="preserve">A continuación en la figura 8.1 se presenta el diagrama de despliegue que se consideró para este primer incremento.</w:t>
      </w:r>
      <w:r w:rsidDel="00000000" w:rsidR="00000000" w:rsidRPr="00000000">
        <w:rPr>
          <w:rtl w:val="0"/>
        </w:rPr>
      </w:r>
    </w:p>
    <w:p w:rsidR="00000000" w:rsidDel="00000000" w:rsidP="00000000" w:rsidRDefault="00000000" w:rsidRPr="00000000" w14:paraId="0000072B">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3136900"/>
            <wp:effectExtent b="0" l="0" r="0" t="0"/>
            <wp:docPr id="14" name="image12.png"/>
            <a:graphic>
              <a:graphicData uri="http://schemas.openxmlformats.org/drawingml/2006/picture">
                <pic:pic>
                  <pic:nvPicPr>
                    <pic:cNvPr id="0" name="image12.png"/>
                    <pic:cNvPicPr preferRelativeResize="0"/>
                  </pic:nvPicPr>
                  <pic:blipFill>
                    <a:blip r:embed="rId11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8.1: Diagrama de despliegue considerado para el incremento</w:t>
      </w:r>
    </w:p>
    <w:p w:rsidR="00000000" w:rsidDel="00000000" w:rsidP="00000000" w:rsidRDefault="00000000" w:rsidRPr="00000000" w14:paraId="0000072D">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72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los nodos del cliente (navegador y dispositivo móvil del técnico), el nodo del servidor de aplicación con los contenedores del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el backend </w:t>
      </w:r>
      <w:r w:rsidDel="00000000" w:rsidR="00000000" w:rsidRPr="00000000">
        <w:rPr>
          <w:rFonts w:ascii="Times New Roman" w:cs="Times New Roman" w:eastAsia="Times New Roman" w:hAnsi="Times New Roman"/>
          <w:sz w:val="24"/>
          <w:szCs w:val="24"/>
          <w:rtl w:val="0"/>
        </w:rPr>
        <w:t xml:space="preserve">NestJS</w:t>
      </w:r>
      <w:r w:rsidDel="00000000" w:rsidR="00000000" w:rsidRPr="00000000">
        <w:rPr>
          <w:rFonts w:ascii="Times New Roman" w:cs="Times New Roman" w:eastAsia="Times New Roman" w:hAnsi="Times New Roman"/>
          <w:sz w:val="24"/>
          <w:szCs w:val="24"/>
          <w:rtl w:val="0"/>
        </w:rPr>
        <w:t xml:space="preserve">, y el nodo de base de datos PostgreSQL alojado en el datacenter de La Florida.</w:t>
      </w:r>
    </w:p>
    <w:p w:rsidR="00000000" w:rsidDel="00000000" w:rsidP="00000000" w:rsidRDefault="00000000" w:rsidRPr="00000000" w14:paraId="0000072F">
      <w:pPr>
        <w:pStyle w:val="Heading2"/>
        <w:spacing w:before="160" w:line="276" w:lineRule="auto"/>
        <w:rPr>
          <w:rFonts w:ascii="Times New Roman" w:cs="Times New Roman" w:eastAsia="Times New Roman" w:hAnsi="Times New Roman"/>
          <w:b w:val="1"/>
          <w:bCs w:val="1"/>
          <w:sz w:val="28"/>
          <w:szCs w:val="28"/>
        </w:rPr>
      </w:pPr>
      <w:bookmarkStart w:colFirst="0" w:colLast="0" w:name="_3i1g8gc8pj0f" w:id="91"/>
      <w:bookmarkEnd w:id="91"/>
      <w:r w:rsidDel="00000000" w:rsidR="00000000" w:rsidRPr="00000000">
        <w:rPr>
          <w:rFonts w:ascii="Times New Roman" w:cs="Times New Roman" w:eastAsia="Times New Roman" w:hAnsi="Times New Roman"/>
          <w:b w:val="1"/>
          <w:bCs w:val="1"/>
          <w:sz w:val="28"/>
          <w:szCs w:val="28"/>
          <w:rtl w:val="0"/>
        </w:rPr>
        <w:t xml:space="preserve">8.3. Infraestructura considerada para el incremento</w:t>
      </w:r>
    </w:p>
    <w:p w:rsidR="00000000" w:rsidDel="00000000" w:rsidP="00000000" w:rsidRDefault="00000000" w:rsidRPr="00000000" w14:paraId="00000730">
      <w:pPr>
        <w:rPr/>
      </w:pPr>
      <w:r w:rsidDel="00000000" w:rsidR="00000000" w:rsidRPr="00000000">
        <w:rPr>
          <w:rtl w:val="0"/>
        </w:rPr>
        <w:t xml:space="preserve">A continuación en la tabla 7.1 se detalla la infraestructura de los componentes considerados para este primer incremento. Estos son cliente web o móvil, servidor de la aplicación, postgreSQL 14+, datacenter la florida, servicio de correo/ smtp; cada uno con sus respectivas descripciones y usos.</w:t>
      </w:r>
    </w:p>
    <w:tbl>
      <w:tblPr>
        <w:tblStyle w:val="Table1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3936.0458856380974"/>
        <w:gridCol w:w="2724.954843903298"/>
        <w:tblGridChange w:id="0">
          <w:tblGrid>
            <w:gridCol w:w="2364.5110814822274"/>
            <w:gridCol w:w="3936.0458856380974"/>
            <w:gridCol w:w="2724.95484390329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3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web / móvil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de empleado o app responsive del técnico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a las vistas del sistema (RNF-02)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Servidor de aplicación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 frontend SvelteKit y backend NestJS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reglas de inventario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relacional con esquema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(RNF-04, RNF-09)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Datacenter La Florida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externa sin servidores locales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Alojamiento del sistema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correo / SMTP</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claves iniciales y avisos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r>
    </w:tbl>
    <w:p w:rsidR="00000000" w:rsidDel="00000000" w:rsidP="00000000" w:rsidRDefault="00000000" w:rsidRPr="00000000" w14:paraId="00000743">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Infraestructura considerada para el incremento</w:t>
      </w:r>
    </w:p>
    <w:p w:rsidR="00000000" w:rsidDel="00000000" w:rsidP="00000000" w:rsidRDefault="00000000" w:rsidRPr="00000000" w14:paraId="00000744">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45">
      <w:pPr>
        <w:pStyle w:val="Heading2"/>
        <w:spacing w:before="160" w:line="276" w:lineRule="auto"/>
        <w:rPr>
          <w:rFonts w:ascii="Times New Roman" w:cs="Times New Roman" w:eastAsia="Times New Roman" w:hAnsi="Times New Roman"/>
          <w:b w:val="1"/>
          <w:bCs w:val="1"/>
          <w:sz w:val="28"/>
          <w:szCs w:val="28"/>
        </w:rPr>
      </w:pPr>
      <w:bookmarkStart w:colFirst="0" w:colLast="0" w:name="_cw5y3yh5c1z3" w:id="92"/>
      <w:bookmarkEnd w:id="92"/>
      <w:r w:rsidDel="00000000" w:rsidR="00000000" w:rsidRPr="00000000">
        <w:rPr>
          <w:rFonts w:ascii="Times New Roman" w:cs="Times New Roman" w:eastAsia="Times New Roman" w:hAnsi="Times New Roman"/>
          <w:b w:val="1"/>
          <w:bCs w:val="1"/>
          <w:sz w:val="28"/>
          <w:szCs w:val="28"/>
          <w:rtl w:val="0"/>
        </w:rPr>
        <w:t xml:space="preserve">8.4. Ambiente de desarrollo y ejecución</w:t>
      </w:r>
    </w:p>
    <w:p w:rsidR="00000000" w:rsidDel="00000000" w:rsidP="00000000" w:rsidRDefault="00000000" w:rsidRPr="00000000" w14:paraId="0000074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El ambiente de desarrollo y ejecución se especifica en el repositorio mediante README.md, docker-compose.yml, los Dockerfile de backend y frontend y los archivos .env de ejemplo. La ejecución esperada utiliza Node.js 20 LTS, npm 9 o superior, PostgreSQL 14 o superior y Docker. Todos los timestamps utilizan la zona horaria America/Santiago (RNF-08). Los servicios se exponen localmente en el frontend SvelteKit, en la API REST del backend NestJS y en el puerto configurado para PostgreSQL.</w:t>
      </w:r>
      <w:r w:rsidDel="00000000" w:rsidR="00000000" w:rsidRPr="00000000">
        <w:rPr>
          <w:rtl w:val="0"/>
        </w:rPr>
      </w:r>
    </w:p>
    <w:p w:rsidR="00000000" w:rsidDel="00000000" w:rsidP="00000000" w:rsidRDefault="00000000" w:rsidRPr="00000000" w14:paraId="00000747">
      <w:pPr>
        <w:pStyle w:val="Heading1"/>
        <w:spacing w:before="240" w:line="276" w:lineRule="auto"/>
        <w:rPr>
          <w:rFonts w:ascii="Times New Roman" w:cs="Times New Roman" w:eastAsia="Times New Roman" w:hAnsi="Times New Roman"/>
          <w:b w:val="1"/>
          <w:bCs w:val="1"/>
          <w:sz w:val="28"/>
          <w:szCs w:val="28"/>
        </w:rPr>
      </w:pPr>
      <w:bookmarkStart w:colFirst="0" w:colLast="0" w:name="_falmpq1s6qp1" w:id="93"/>
      <w:bookmarkEnd w:id="93"/>
      <w:r w:rsidDel="00000000" w:rsidR="00000000" w:rsidRPr="00000000">
        <w:rPr>
          <w:rFonts w:ascii="Times New Roman" w:cs="Times New Roman" w:eastAsia="Times New Roman" w:hAnsi="Times New Roman"/>
          <w:b w:val="1"/>
          <w:bCs w:val="1"/>
          <w:sz w:val="28"/>
          <w:szCs w:val="28"/>
          <w:rtl w:val="0"/>
        </w:rPr>
        <w:t xml:space="preserve">9. ÁRBOL DE NAVEGACIÓN</w:t>
      </w:r>
    </w:p>
    <w:p w:rsidR="00000000" w:rsidDel="00000000" w:rsidP="00000000" w:rsidRDefault="00000000" w:rsidRPr="00000000" w14:paraId="00000748">
      <w:pPr>
        <w:pStyle w:val="Heading2"/>
        <w:spacing w:before="160" w:line="276" w:lineRule="auto"/>
        <w:rPr>
          <w:rFonts w:ascii="Times New Roman" w:cs="Times New Roman" w:eastAsia="Times New Roman" w:hAnsi="Times New Roman"/>
          <w:b w:val="1"/>
          <w:bCs w:val="1"/>
          <w:sz w:val="28"/>
          <w:szCs w:val="28"/>
        </w:rPr>
      </w:pPr>
      <w:bookmarkStart w:colFirst="0" w:colLast="0" w:name="_ub2crxg6vsq5" w:id="94"/>
      <w:bookmarkEnd w:id="94"/>
      <w:r w:rsidDel="00000000" w:rsidR="00000000" w:rsidRPr="00000000">
        <w:rPr>
          <w:rFonts w:ascii="Times New Roman" w:cs="Times New Roman" w:eastAsia="Times New Roman" w:hAnsi="Times New Roman"/>
          <w:b w:val="1"/>
          <w:bCs w:val="1"/>
          <w:sz w:val="28"/>
          <w:szCs w:val="28"/>
          <w:rtl w:val="0"/>
        </w:rPr>
        <w:t xml:space="preserve">9.1. Descripción general de navegación</w:t>
      </w:r>
    </w:p>
    <w:p w:rsidR="00000000" w:rsidDel="00000000" w:rsidP="00000000" w:rsidRDefault="00000000" w:rsidRPr="00000000" w14:paraId="000007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del incremento se deriva de las vistas identificadas en los diagramas de secuencia. Tras autenticarse en </w:t>
      </w:r>
      <w:r w:rsidDel="00000000" w:rsidR="00000000" w:rsidRPr="00000000">
        <w:rPr>
          <w:rFonts w:ascii="Times New Roman" w:cs="Times New Roman" w:eastAsia="Times New Roman" w:hAnsi="Times New Roman"/>
          <w:sz w:val="24"/>
          <w:szCs w:val="24"/>
          <w:rtl w:val="0"/>
        </w:rPr>
        <w:t xml:space="preserve">V_Login</w:t>
      </w:r>
      <w:r w:rsidDel="00000000" w:rsidR="00000000" w:rsidRPr="00000000">
        <w:rPr>
          <w:rFonts w:ascii="Times New Roman" w:cs="Times New Roman" w:eastAsia="Times New Roman" w:hAnsi="Times New Roman"/>
          <w:sz w:val="24"/>
          <w:szCs w:val="24"/>
          <w:rtl w:val="0"/>
        </w:rPr>
        <w:t xml:space="preserve">, el usuario accede a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desde donde puede navegar a las secciones de Usuarios, Auditoría, Transferencias, Catálogo, Inventario y Bodegas, según los permisos de su rol. El Superusuario dispone además del selector de empresa y la vista consolidada.</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2"/>
        <w:spacing w:before="160" w:line="276" w:lineRule="auto"/>
        <w:rPr>
          <w:rFonts w:ascii="Times New Roman" w:cs="Times New Roman" w:eastAsia="Times New Roman" w:hAnsi="Times New Roman"/>
          <w:b w:val="1"/>
          <w:bCs w:val="1"/>
          <w:sz w:val="28"/>
          <w:szCs w:val="28"/>
        </w:rPr>
      </w:pPr>
      <w:bookmarkStart w:colFirst="0" w:colLast="0" w:name="_8qu7xqpmz5m6" w:id="95"/>
      <w:bookmarkEnd w:id="95"/>
      <w:r w:rsidDel="00000000" w:rsidR="00000000" w:rsidRPr="00000000">
        <w:rPr>
          <w:rFonts w:ascii="Times New Roman" w:cs="Times New Roman" w:eastAsia="Times New Roman" w:hAnsi="Times New Roman"/>
          <w:b w:val="1"/>
          <w:bCs w:val="1"/>
          <w:sz w:val="28"/>
          <w:szCs w:val="28"/>
          <w:rtl w:val="0"/>
        </w:rPr>
        <w:t xml:space="preserve">9.2. Árbol de navegación del incremento</w:t>
      </w:r>
    </w:p>
    <w:p w:rsidR="00000000" w:rsidDel="00000000" w:rsidP="00000000" w:rsidRDefault="00000000" w:rsidRPr="00000000" w14:paraId="0000074C">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74D">
      <w:pPr>
        <w:spacing w:after="20" w:before="40" w:lineRule="auto"/>
        <w:jc w:val="center"/>
        <w:rPr>
          <w:i w:val="1"/>
          <w:iCs w:val="1"/>
          <w:sz w:val="18"/>
          <w:szCs w:val="18"/>
        </w:rPr>
      </w:pPr>
      <w:r w:rsidDel="00000000" w:rsidR="00000000" w:rsidRPr="00000000">
        <w:rPr>
          <w:i w:val="1"/>
          <w:iCs w:val="1"/>
          <w:sz w:val="18"/>
          <w:szCs w:val="18"/>
          <w:rtl w:val="0"/>
        </w:rPr>
        <w:t xml:space="preserve">Figura 9.1: Árbol de navegación del primer incremento</w:t>
      </w:r>
    </w:p>
    <w:p w:rsidR="00000000" w:rsidDel="00000000" w:rsidP="00000000" w:rsidRDefault="00000000" w:rsidRPr="00000000" w14:paraId="0000074E">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pStyle w:val="Heading2"/>
        <w:spacing w:before="160" w:line="276" w:lineRule="auto"/>
        <w:rPr>
          <w:rFonts w:ascii="Times New Roman" w:cs="Times New Roman" w:eastAsia="Times New Roman" w:hAnsi="Times New Roman"/>
          <w:b w:val="1"/>
          <w:bCs w:val="1"/>
          <w:sz w:val="28"/>
          <w:szCs w:val="28"/>
        </w:rPr>
      </w:pPr>
      <w:bookmarkStart w:colFirst="0" w:colLast="0" w:name="_2ie5lk4cxel0" w:id="96"/>
      <w:bookmarkEnd w:id="96"/>
      <w:r w:rsidDel="00000000" w:rsidR="00000000" w:rsidRPr="00000000">
        <w:rPr>
          <w:rFonts w:ascii="Times New Roman" w:cs="Times New Roman" w:eastAsia="Times New Roman" w:hAnsi="Times New Roman"/>
          <w:b w:val="1"/>
          <w:bCs w:val="1"/>
          <w:sz w:val="28"/>
          <w:szCs w:val="28"/>
          <w:rtl w:val="0"/>
        </w:rPr>
        <w:t xml:space="preserve">9.3. Pantallas consideradas en el incremento</w:t>
      </w:r>
    </w:p>
    <w:p w:rsidR="00000000" w:rsidDel="00000000" w:rsidP="00000000" w:rsidRDefault="00000000" w:rsidRPr="00000000" w14:paraId="00000751">
      <w:pPr>
        <w:rPr/>
      </w:pPr>
      <w:r w:rsidDel="00000000" w:rsidR="00000000" w:rsidRPr="00000000">
        <w:rPr>
          <w:rtl w:val="0"/>
        </w:rPr>
        <w:t xml:space="preserve">A continuacion en la tabla miau se detallan las pantallas consideradas en este primer incremento, las cuales consisten en las pantallas de </w:t>
      </w:r>
      <w:r w:rsidDel="00000000" w:rsidR="00000000" w:rsidRPr="00000000">
        <w:rPr>
          <w:rtl w:val="0"/>
        </w:rPr>
        <w:t xml:space="preserve">v_login</w:t>
      </w:r>
      <w:r w:rsidDel="00000000" w:rsidR="00000000" w:rsidRPr="00000000">
        <w:rPr>
          <w:rtl w:val="0"/>
        </w:rPr>
        <w:t xml:space="preserve">, </w:t>
      </w:r>
      <w:r w:rsidDel="00000000" w:rsidR="00000000" w:rsidRPr="00000000">
        <w:rPr>
          <w:rtl w:val="0"/>
        </w:rPr>
        <w:t xml:space="preserve">v_dashboard</w:t>
      </w:r>
      <w:r w:rsidDel="00000000" w:rsidR="00000000" w:rsidRPr="00000000">
        <w:rPr>
          <w:rtl w:val="0"/>
        </w:rPr>
        <w:t xml:space="preserve">, </w:t>
      </w:r>
      <w:r w:rsidDel="00000000" w:rsidR="00000000" w:rsidRPr="00000000">
        <w:rPr>
          <w:rtl w:val="0"/>
        </w:rPr>
        <w:t xml:space="preserve">v_usuarios</w:t>
      </w:r>
      <w:r w:rsidDel="00000000" w:rsidR="00000000" w:rsidRPr="00000000">
        <w:rPr>
          <w:rtl w:val="0"/>
        </w:rPr>
        <w:t xml:space="preserve">, v_auditoria, v_transferencias, </w:t>
      </w:r>
      <w:r w:rsidDel="00000000" w:rsidR="00000000" w:rsidRPr="00000000">
        <w:rPr>
          <w:rtl w:val="0"/>
        </w:rPr>
        <w:t xml:space="preserve">v_catalogo</w:t>
      </w:r>
      <w:r w:rsidDel="00000000" w:rsidR="00000000" w:rsidRPr="00000000">
        <w:rPr>
          <w:rtl w:val="0"/>
        </w:rPr>
        <w:t xml:space="preserve">, </w:t>
      </w:r>
      <w:r w:rsidDel="00000000" w:rsidR="00000000" w:rsidRPr="00000000">
        <w:rPr>
          <w:rtl w:val="0"/>
        </w:rPr>
        <w:t xml:space="preserve">v_inventario</w:t>
      </w:r>
      <w:r w:rsidDel="00000000" w:rsidR="00000000" w:rsidRPr="00000000">
        <w:rPr>
          <w:rtl w:val="0"/>
        </w:rPr>
        <w:t xml:space="preserve">, </w:t>
      </w:r>
      <w:r w:rsidDel="00000000" w:rsidR="00000000" w:rsidRPr="00000000">
        <w:rPr>
          <w:rtl w:val="0"/>
        </w:rPr>
        <w:t xml:space="preserve">v_bodegas</w:t>
      </w:r>
      <w:r w:rsidDel="00000000" w:rsidR="00000000" w:rsidRPr="00000000">
        <w:rPr>
          <w:rtl w:val="0"/>
        </w:rPr>
        <w:t xml:space="preserve">, cada una de estas con sus respectivos propósitos y casos de uso asociados.</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763.0328796759836"/>
        <w:gridCol w:w="3042.1453548338413"/>
        <w:tblGridChange w:id="0">
          <w:tblGrid>
            <w:gridCol w:w="2220.3335765137986"/>
            <w:gridCol w:w="3763.0328796759836"/>
            <w:gridCol w:w="3042.1453548338413"/>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Pantalla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5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asociados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del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CU-11,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consolidado y selector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CU-14, CU-15, CU-94 (parcial)</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cuentas, roles y reseteo de clave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CU-05, CU-06, CU-07, CU-10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y consulta de 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CU-21, CU-22,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V_Catalogo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y ficha técnica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CU-25, CU-26, CU-27, CU-29, CU-30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estados, historial y diagnóstico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CU-33, CU-34, CU-35,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stock y umbral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CU-42, CU-43, CU-44, CU-45, CU-46</w:t>
            </w:r>
          </w:p>
        </w:tc>
      </w:tr>
    </w:tbl>
    <w:p w:rsidR="00000000" w:rsidDel="00000000" w:rsidP="00000000" w:rsidRDefault="00000000" w:rsidRPr="00000000" w14:paraId="0000076E">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Pantallas consideradas en el incremento</w:t>
      </w:r>
    </w:p>
    <w:p w:rsidR="00000000" w:rsidDel="00000000" w:rsidP="00000000" w:rsidRDefault="00000000" w:rsidRPr="00000000" w14:paraId="0000076F">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770">
      <w:pPr>
        <w:pStyle w:val="Heading1"/>
        <w:spacing w:before="240" w:line="276" w:lineRule="auto"/>
        <w:rPr>
          <w:rFonts w:ascii="Times New Roman" w:cs="Times New Roman" w:eastAsia="Times New Roman" w:hAnsi="Times New Roman"/>
          <w:b w:val="1"/>
          <w:bCs w:val="1"/>
          <w:sz w:val="28"/>
          <w:szCs w:val="28"/>
        </w:rPr>
      </w:pPr>
      <w:bookmarkStart w:colFirst="0" w:colLast="0" w:name="_1udcsx9k17zt" w:id="97"/>
      <w:bookmarkEnd w:id="97"/>
      <w:r w:rsidDel="00000000" w:rsidR="00000000" w:rsidRPr="00000000">
        <w:rPr>
          <w:rFonts w:ascii="Times New Roman" w:cs="Times New Roman" w:eastAsia="Times New Roman" w:hAnsi="Times New Roman"/>
          <w:b w:val="1"/>
          <w:bCs w:val="1"/>
          <w:sz w:val="28"/>
          <w:szCs w:val="28"/>
          <w:rtl w:val="0"/>
        </w:rPr>
        <w:t xml:space="preserve">10. PRUEBAS DEL INCREMENTO</w:t>
      </w:r>
    </w:p>
    <w:p w:rsidR="00000000" w:rsidDel="00000000" w:rsidP="00000000" w:rsidRDefault="00000000" w:rsidRPr="00000000" w14:paraId="000007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incremento validan el comportamiento de los 46 casos de uso implementados. Se ejecutaron pruebas funcionales sobre cada módulo y una prueba unitaria para la validación del número de serie de equipos (RF-15). La evidencia de cada prueba (entradas, resultado esperado y resultado obtenido) se incorpora en el Anexo 13.2.</w:t>
      </w:r>
    </w:p>
    <w:p w:rsidR="00000000" w:rsidDel="00000000" w:rsidP="00000000" w:rsidRDefault="00000000" w:rsidRPr="00000000" w14:paraId="0000077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7.1 se muestran las áreas que se utilizaron para hacer las pruebas, los casos de uso que fueron cubiertos en estas pruebas y los criterios de validación que se utilizaron.</w:t>
      </w:r>
    </w:p>
    <w:p w:rsidR="00000000" w:rsidDel="00000000" w:rsidP="00000000" w:rsidRDefault="00000000" w:rsidRPr="00000000" w14:paraId="00000773">
      <w:pPr>
        <w:rPr/>
      </w:pPr>
      <w:r w:rsidDel="00000000" w:rsidR="00000000" w:rsidRPr="00000000">
        <w:rPr>
          <w:rtl w:val="0"/>
        </w:rPr>
      </w:r>
    </w:p>
    <w:tbl>
      <w:tblPr>
        <w:tblStyle w:val="Table1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9158260169556"/>
        <w:gridCol w:w="2350.093330985384"/>
        <w:gridCol w:w="4469.502654021282"/>
        <w:tblGridChange w:id="0">
          <w:tblGrid>
            <w:gridCol w:w="2205.9158260169556"/>
            <w:gridCol w:w="2350.093330985384"/>
            <w:gridCol w:w="4469.502654021282"/>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de prueba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cubiertos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7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validación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CU-02, 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login, bloqueo por 5 intentos, permisos por rol y acceso no autorizado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a CU-07, 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listar, editar, desactivar cuenta y resetear contraseña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evento crítico y consultarlo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 empresa, dashboard consolidado y bloquear acceso cruzado entre empresas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aprobar, rechazar y consultar transferencia inter-empresa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Crear/editar/desactivar tipo, validar NS y adjuntar ficha técnica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unidad, transición de estados, historial, garantía y diagnóstico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bodega, consultar stock y configurar umbral mínimo</w:t>
            </w:r>
          </w:p>
        </w:tc>
      </w:tr>
    </w:tbl>
    <w:p w:rsidR="00000000" w:rsidDel="00000000" w:rsidP="00000000" w:rsidRDefault="00000000" w:rsidRPr="00000000" w14:paraId="0000078F">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miau</w:t>
      </w:r>
    </w:p>
    <w:p w:rsidR="00000000" w:rsidDel="00000000" w:rsidP="00000000" w:rsidRDefault="00000000" w:rsidRPr="00000000" w14:paraId="00000790">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 continuación en la tabla 7.1 se presentan los componentes utilizados en las áreas de prueba mencionadas anteriormente, con sus respectivos comandos y resultados esperados.</w:t>
      </w:r>
    </w:p>
    <w:p w:rsidR="00000000" w:rsidDel="00000000" w:rsidP="00000000" w:rsidRDefault="00000000" w:rsidRPr="00000000" w14:paraId="00000792">
      <w:pPr>
        <w:rPr/>
      </w:pPr>
      <w:r w:rsidDel="00000000" w:rsidR="00000000" w:rsidRPr="00000000">
        <w:rPr>
          <w:rtl w:val="0"/>
        </w:rPr>
      </w:r>
    </w:p>
    <w:tbl>
      <w:tblPr>
        <w:tblStyle w:val="Table18"/>
        <w:tblW w:w="90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930"/>
        <w:gridCol w:w="2730"/>
        <w:tblGridChange w:id="0">
          <w:tblGrid>
            <w:gridCol w:w="2355"/>
            <w:gridCol w:w="3930"/>
            <w:gridCol w:w="2730"/>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Comando o evidencia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9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(backend-inventario)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w:t>
            </w:r>
            <w:r w:rsidDel="00000000" w:rsidR="00000000" w:rsidRPr="00000000">
              <w:rPr>
                <w:rFonts w:ascii="Times New Roman" w:cs="Times New Roman" w:eastAsia="Times New Roman" w:hAnsi="Times New Roman"/>
                <w:sz w:val="20"/>
                <w:szCs w:val="20"/>
                <w:rtl w:val="0"/>
              </w:rPr>
              <w:t xml:space="preserve">NestJS</w:t>
            </w:r>
            <w:r w:rsidDel="00000000" w:rsidR="00000000" w:rsidRPr="00000000">
              <w:rPr>
                <w:rFonts w:ascii="Times New Roman" w:cs="Times New Roman" w:eastAsia="Times New Roman" w:hAnsi="Times New Roman"/>
                <w:sz w:val="20"/>
                <w:szCs w:val="20"/>
                <w:rtl w:val="0"/>
              </w:rPr>
              <w:t xml:space="preserve">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y bundle de </w:t>
            </w:r>
            <w:r w:rsidDel="00000000" w:rsidR="00000000" w:rsidRPr="00000000">
              <w:rPr>
                <w:rFonts w:ascii="Times New Roman" w:cs="Times New Roman" w:eastAsia="Times New Roman" w:hAnsi="Times New Roman"/>
                <w:sz w:val="20"/>
                <w:szCs w:val="20"/>
                <w:rtl w:val="0"/>
              </w:rPr>
              <w:t xml:space="preserve">SvelteKit</w:t>
            </w:r>
            <w:r w:rsidDel="00000000" w:rsidR="00000000" w:rsidRPr="00000000">
              <w:rPr>
                <w:rtl w:val="0"/>
              </w:rPr>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up --build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de PostgreSQL con esquemas por 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db/init/seed.sql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 datos para flujos end-to-end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unitaria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backend-inventario/src/equipment-types/ns.util.spec.ts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número de serie (RF-15)</w:t>
            </w:r>
          </w:p>
        </w:tc>
      </w:tr>
    </w:tbl>
    <w:p w:rsidR="00000000" w:rsidDel="00000000" w:rsidP="00000000" w:rsidRDefault="00000000" w:rsidRPr="00000000" w14:paraId="000007A5">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miau</w:t>
      </w:r>
    </w:p>
    <w:p w:rsidR="00000000" w:rsidDel="00000000" w:rsidP="00000000" w:rsidRDefault="00000000" w:rsidRPr="00000000" w14:paraId="000007A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11. VERSIONAMIENTO Y TRAZABILIDAD DEL DESARROLLO</w:t>
      </w:r>
    </w:p>
    <w:p w:rsidR="00000000" w:rsidDel="00000000" w:rsidP="00000000" w:rsidRDefault="00000000" w:rsidRPr="00000000" w14:paraId="000007A7">
      <w:pPr>
        <w:pStyle w:val="Heading2"/>
        <w:spacing w:before="160" w:line="276" w:lineRule="auto"/>
        <w:rPr>
          <w:rFonts w:ascii="Times New Roman" w:cs="Times New Roman" w:eastAsia="Times New Roman" w:hAnsi="Times New Roman"/>
          <w:b w:val="1"/>
          <w:bCs w:val="1"/>
          <w:sz w:val="28"/>
          <w:szCs w:val="28"/>
        </w:rPr>
      </w:pPr>
      <w:bookmarkStart w:colFirst="0" w:colLast="0" w:name="_jl6u8qm045k8" w:id="98"/>
      <w:bookmarkEnd w:id="98"/>
      <w:r w:rsidDel="00000000" w:rsidR="00000000" w:rsidRPr="00000000">
        <w:rPr>
          <w:rFonts w:ascii="Times New Roman" w:cs="Times New Roman" w:eastAsia="Times New Roman" w:hAnsi="Times New Roman"/>
          <w:b w:val="1"/>
          <w:bCs w:val="1"/>
          <w:sz w:val="28"/>
          <w:szCs w:val="28"/>
          <w:rtl w:val="0"/>
        </w:rPr>
        <w:t xml:space="preserve">11.1. Repositorio Git del proyecto</w:t>
      </w:r>
    </w:p>
    <w:p w:rsidR="00000000" w:rsidDel="00000000" w:rsidP="00000000" w:rsidRDefault="00000000" w:rsidRPr="00000000" w14:paraId="000007A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del proyecto se realiza en un repositorio Git compartido por todo el equipo, con una rama de desarrollo (develop) y la integración del código del primer incremento. El enlace del repositorio y el acceso para el profesor se entregan junto a este documento. El repositorio contiene el código fuente completo del incremento, organizado como monorepo con backend NestJS,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scripts de base de datos, documentación técnica y configuración de Docker Compose.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spacing w:before="160" w:line="276" w:lineRule="auto"/>
        <w:rPr>
          <w:rFonts w:ascii="Times New Roman" w:cs="Times New Roman" w:eastAsia="Times New Roman" w:hAnsi="Times New Roman"/>
          <w:b w:val="1"/>
          <w:bCs w:val="1"/>
          <w:sz w:val="28"/>
          <w:szCs w:val="28"/>
        </w:rPr>
      </w:pPr>
      <w:bookmarkStart w:colFirst="0" w:colLast="0" w:name="_kwwcphv72z9z" w:id="99"/>
      <w:bookmarkEnd w:id="99"/>
      <w:r w:rsidDel="00000000" w:rsidR="00000000" w:rsidRPr="00000000">
        <w:rPr>
          <w:rFonts w:ascii="Times New Roman" w:cs="Times New Roman" w:eastAsia="Times New Roman" w:hAnsi="Times New Roman"/>
          <w:b w:val="1"/>
          <w:bCs w:val="1"/>
          <w:sz w:val="28"/>
          <w:szCs w:val="28"/>
          <w:rtl w:val="0"/>
        </w:rPr>
        <w:t xml:space="preserve">11.2. Informe de commits por integrante</w:t>
      </w:r>
    </w:p>
    <w:p w:rsidR="00000000" w:rsidDel="00000000" w:rsidP="00000000" w:rsidRDefault="00000000" w:rsidRPr="00000000" w14:paraId="000007A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commits por integrante se genera a partir del historial de Git (git log con autor, fecha, mensaje y hash) y se adjunta en el Anexo 13.5. Este informe evidencia la participación de cada integrante del equipo en el desarrollo del incremento; conforme a la rúbrica, todo integrante debe registrar commits propios en el repositorio.</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2"/>
        <w:spacing w:before="160" w:line="276" w:lineRule="auto"/>
        <w:rPr>
          <w:rFonts w:ascii="Times New Roman" w:cs="Times New Roman" w:eastAsia="Times New Roman" w:hAnsi="Times New Roman"/>
          <w:b w:val="1"/>
          <w:bCs w:val="1"/>
          <w:sz w:val="28"/>
          <w:szCs w:val="28"/>
        </w:rPr>
      </w:pPr>
      <w:bookmarkStart w:colFirst="0" w:colLast="0" w:name="_trgvsoex9pv2" w:id="100"/>
      <w:bookmarkEnd w:id="100"/>
      <w:r w:rsidDel="00000000" w:rsidR="00000000" w:rsidRPr="00000000">
        <w:rPr>
          <w:rFonts w:ascii="Times New Roman" w:cs="Times New Roman" w:eastAsia="Times New Roman" w:hAnsi="Times New Roman"/>
          <w:b w:val="1"/>
          <w:bCs w:val="1"/>
          <w:sz w:val="28"/>
          <w:szCs w:val="28"/>
          <w:rtl w:val="0"/>
        </w:rPr>
        <w:t xml:space="preserve">11.3. Trazabilidad entre requerimientos, casos de uso, código y pruebas</w:t>
      </w:r>
    </w:p>
    <w:p w:rsidR="00000000" w:rsidDel="00000000" w:rsidP="00000000" w:rsidRDefault="00000000" w:rsidRPr="00000000" w14:paraId="000007AE">
      <w:pPr>
        <w:rPr/>
      </w:pPr>
      <w:r w:rsidDel="00000000" w:rsidR="00000000" w:rsidRPr="00000000">
        <w:rPr>
          <w:rtl w:val="0"/>
        </w:rPr>
        <w:t xml:space="preserve">A continuacion en la tabla 7.1 se muestran los requerimientos funcionales, con sus respectivos casos de uso asociados, con sus diagramas asociados, su modulo de codigo y sus pruebas asociadas para cada uno de estos requerimientos.</w:t>
      </w: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1.7115623704932"/>
        <w:gridCol w:w="791.7115623704932"/>
        <w:gridCol w:w="2475.897976867724"/>
        <w:gridCol w:w="3094.872471084655"/>
        <w:gridCol w:w="1871.3182383302567"/>
        <w:tblGridChange w:id="0">
          <w:tblGrid>
            <w:gridCol w:w="791.7115623704932"/>
            <w:gridCol w:w="791.7115623704932"/>
            <w:gridCol w:w="2475.897976867724"/>
            <w:gridCol w:w="3094.872471084655"/>
            <w:gridCol w:w="1871.31823833025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0">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1">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2">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3">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de código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B4">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C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D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E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F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0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1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2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4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bl>
    <w:p w:rsidR="00000000" w:rsidDel="00000000" w:rsidP="00000000" w:rsidRDefault="00000000" w:rsidRPr="00000000" w14:paraId="0000089B">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miau</w:t>
      </w:r>
    </w:p>
    <w:p w:rsidR="00000000" w:rsidDel="00000000" w:rsidP="00000000" w:rsidRDefault="00000000" w:rsidRPr="00000000" w14:paraId="0000089C">
      <w:pPr>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br w:type="page"/>
      </w:r>
      <w:r w:rsidDel="00000000" w:rsidR="00000000" w:rsidRPr="00000000">
        <w:rPr>
          <w:rtl w:val="0"/>
        </w:rPr>
      </w:r>
    </w:p>
    <w:p w:rsidR="00000000" w:rsidDel="00000000" w:rsidP="00000000" w:rsidRDefault="00000000" w:rsidRPr="00000000" w14:paraId="0000089D">
      <w:pPr>
        <w:pStyle w:val="Heading1"/>
        <w:spacing w:before="240" w:line="276" w:lineRule="auto"/>
        <w:rPr>
          <w:rFonts w:ascii="Times New Roman" w:cs="Times New Roman" w:eastAsia="Times New Roman" w:hAnsi="Times New Roman"/>
          <w:b w:val="1"/>
          <w:bCs w:val="1"/>
          <w:sz w:val="28"/>
          <w:szCs w:val="28"/>
        </w:rPr>
      </w:pPr>
      <w:bookmarkStart w:colFirst="0" w:colLast="0" w:name="_q2erbmz76i63" w:id="101"/>
      <w:bookmarkEnd w:id="101"/>
      <w:r w:rsidDel="00000000" w:rsidR="00000000" w:rsidRPr="00000000">
        <w:rPr>
          <w:rFonts w:ascii="Times New Roman" w:cs="Times New Roman" w:eastAsia="Times New Roman" w:hAnsi="Times New Roman"/>
          <w:b w:val="1"/>
          <w:bCs w:val="1"/>
          <w:sz w:val="28"/>
          <w:szCs w:val="28"/>
          <w:rtl w:val="0"/>
        </w:rPr>
        <w:t xml:space="preserve">12. CONCLUSIÓN DEL PRIMER INCREMENTO</w:t>
      </w:r>
    </w:p>
    <w:p w:rsidR="00000000" w:rsidDel="00000000" w:rsidP="00000000" w:rsidRDefault="00000000" w:rsidRPr="00000000" w14:paraId="000008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del Sistema de Gestión Integral para Finet y Cable Mágico Litoral consolida una cobertura de 46 casos de uso sobre un total de 96 definidos en el Documento 0, lo que equivale a un avance aproximado del 48%, superando el 30% mínimo exigido por la rúbrica. Esta cobertura se respalda con los diagramas de secuencia BCE de cada caso, sus diagramas de excepción y el código fuente implementado en backend NestJS, frontend </w:t>
      </w:r>
      <w:r w:rsidDel="00000000" w:rsidR="00000000" w:rsidRPr="00000000">
        <w:rPr>
          <w:rFonts w:ascii="Times New Roman" w:cs="Times New Roman" w:eastAsia="Times New Roman" w:hAnsi="Times New Roman"/>
          <w:sz w:val="24"/>
          <w:szCs w:val="24"/>
          <w:rtl w:val="0"/>
        </w:rPr>
        <w:t xml:space="preserve">SvelteKit</w:t>
      </w:r>
      <w:r w:rsidDel="00000000" w:rsidR="00000000" w:rsidRPr="00000000">
        <w:rPr>
          <w:rFonts w:ascii="Times New Roman" w:cs="Times New Roman" w:eastAsia="Times New Roman" w:hAnsi="Times New Roman"/>
          <w:sz w:val="24"/>
          <w:szCs w:val="24"/>
          <w:rtl w:val="0"/>
        </w:rPr>
        <w:t xml:space="preserve"> y base de datos PostgreSQL con esquema por empresa.</w:t>
      </w:r>
    </w:p>
    <w:p w:rsidR="00000000" w:rsidDel="00000000" w:rsidP="00000000" w:rsidRDefault="00000000" w:rsidRPr="00000000" w14:paraId="0000089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documenta y construye los flujos transversales que habilitan la operación del sistema: autenticación y seguridad, gestión de usuarios y roles con permisos acumulativos, registro de auditoría inmutable, aislamiento de datos por empresa, dashboard consolidado, transferencias inter-empresa, catálogo de tipos de equipo, registro y ciclo de vida de las unidades, control de garantías y gestión de bodegas con umbral de stock mínimo. Estos flujos constituyen la base sobre la cual se construirán los incrementos siguientes (CU-47 a CU-96), que incorporarán los ingresos desde proveedor, las salidas y cierres de terreno, las devoluciones, los préstamos externos, los reportes y las notificaciones.</w:t>
      </w:r>
    </w:p>
    <w:p w:rsidR="00000000" w:rsidDel="00000000" w:rsidP="00000000" w:rsidRDefault="00000000" w:rsidRPr="00000000" w14:paraId="000008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brechas a cerrar antes de la siguiente entrega, el equipo se compromete a incorporar los reportes formales de cobertura de pruebas y a mantener actualizado el informe de commits por integrante exportado desde Git, asegurando la trazabilidad completa exigida por la rúbrica.</w:t>
      </w:r>
    </w:p>
    <w:p w:rsidR="00000000" w:rsidDel="00000000" w:rsidP="00000000" w:rsidRDefault="00000000" w:rsidRPr="00000000" w14:paraId="000008A1">
      <w:pPr>
        <w:rPr/>
      </w:pPr>
      <w:r w:rsidDel="00000000" w:rsidR="00000000" w:rsidRPr="00000000">
        <w:br w:type="page"/>
      </w:r>
      <w:r w:rsidDel="00000000" w:rsidR="00000000" w:rsidRPr="00000000">
        <w:rPr>
          <w:rtl w:val="0"/>
        </w:rPr>
      </w:r>
    </w:p>
    <w:p w:rsidR="00000000" w:rsidDel="00000000" w:rsidP="00000000" w:rsidRDefault="00000000" w:rsidRPr="00000000" w14:paraId="000008A2">
      <w:pPr>
        <w:pStyle w:val="Heading1"/>
        <w:spacing w:before="240" w:line="276" w:lineRule="auto"/>
        <w:rPr>
          <w:rFonts w:ascii="Times New Roman" w:cs="Times New Roman" w:eastAsia="Times New Roman" w:hAnsi="Times New Roman"/>
          <w:b w:val="1"/>
          <w:bCs w:val="1"/>
          <w:sz w:val="28"/>
          <w:szCs w:val="28"/>
        </w:rPr>
      </w:pPr>
      <w:bookmarkStart w:colFirst="0" w:colLast="0" w:name="_7igmg2nxm96b" w:id="102"/>
      <w:bookmarkEnd w:id="102"/>
      <w:r w:rsidDel="00000000" w:rsidR="00000000" w:rsidRPr="00000000">
        <w:rPr>
          <w:rFonts w:ascii="Times New Roman" w:cs="Times New Roman" w:eastAsia="Times New Roman" w:hAnsi="Times New Roman"/>
          <w:b w:val="1"/>
          <w:bCs w:val="1"/>
          <w:sz w:val="28"/>
          <w:szCs w:val="28"/>
          <w:rtl w:val="0"/>
        </w:rPr>
        <w:t xml:space="preserve">13. ANEXOS</w:t>
      </w:r>
    </w:p>
    <w:p w:rsidR="00000000" w:rsidDel="00000000" w:rsidP="00000000" w:rsidRDefault="00000000" w:rsidRPr="00000000" w14:paraId="000008A3">
      <w:pPr>
        <w:pStyle w:val="Heading2"/>
        <w:spacing w:before="160" w:line="276" w:lineRule="auto"/>
        <w:rPr>
          <w:rFonts w:ascii="Times New Roman" w:cs="Times New Roman" w:eastAsia="Times New Roman" w:hAnsi="Times New Roman"/>
          <w:b w:val="1"/>
          <w:bCs w:val="1"/>
          <w:sz w:val="28"/>
          <w:szCs w:val="28"/>
        </w:rPr>
      </w:pPr>
      <w:bookmarkStart w:colFirst="0" w:colLast="0" w:name="_diueobunz5e8" w:id="103"/>
      <w:bookmarkEnd w:id="103"/>
      <w:r w:rsidDel="00000000" w:rsidR="00000000" w:rsidRPr="00000000">
        <w:rPr>
          <w:rFonts w:ascii="Times New Roman" w:cs="Times New Roman" w:eastAsia="Times New Roman" w:hAnsi="Times New Roman"/>
          <w:b w:val="1"/>
          <w:bCs w:val="1"/>
          <w:sz w:val="28"/>
          <w:szCs w:val="28"/>
          <w:rtl w:val="0"/>
        </w:rPr>
        <w:t xml:space="preserve">13.1. Evidencia de reuniones Scrum++</w:t>
      </w:r>
    </w:p>
    <w:p w:rsidR="00000000" w:rsidDel="00000000" w:rsidP="00000000" w:rsidRDefault="00000000" w:rsidRPr="00000000" w14:paraId="000008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actas y/o capturas fechadas de las reuniones Daily Scrum, Sprint Planning, Sprint Review y Sprint Retrospective realizadas durante el incremento. Cuando una reunión no cuente con registro formal, este debe incorporarse antes de la entrega para mantener la trazabilidad.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pStyle w:val="Heading2"/>
        <w:spacing w:before="160" w:line="276" w:lineRule="auto"/>
        <w:rPr>
          <w:rFonts w:ascii="Times New Roman" w:cs="Times New Roman" w:eastAsia="Times New Roman" w:hAnsi="Times New Roman"/>
          <w:b w:val="1"/>
          <w:bCs w:val="1"/>
          <w:sz w:val="28"/>
          <w:szCs w:val="28"/>
        </w:rPr>
      </w:pPr>
      <w:bookmarkStart w:colFirst="0" w:colLast="0" w:name="_l5njfvrkra40" w:id="104"/>
      <w:bookmarkEnd w:id="104"/>
      <w:r w:rsidDel="00000000" w:rsidR="00000000" w:rsidRPr="00000000">
        <w:rPr>
          <w:rFonts w:ascii="Times New Roman" w:cs="Times New Roman" w:eastAsia="Times New Roman" w:hAnsi="Times New Roman"/>
          <w:b w:val="1"/>
          <w:bCs w:val="1"/>
          <w:sz w:val="28"/>
          <w:szCs w:val="28"/>
          <w:rtl w:val="0"/>
        </w:rPr>
        <w:t xml:space="preserve">13.2. Evidencia de pruebas</w:t>
      </w:r>
    </w:p>
    <w:p w:rsidR="00000000" w:rsidDel="00000000" w:rsidP="00000000" w:rsidRDefault="00000000" w:rsidRPr="00000000" w14:paraId="000008A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la evidencia de cada prueba ejecutada (entradas, resultado esperado y resultado obtenido), incluyendo la prueba unitaria de validación de número de serie y las pruebas funcionales por módulo descritas en la sección 10.</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pStyle w:val="Heading2"/>
        <w:spacing w:before="160" w:line="276" w:lineRule="auto"/>
        <w:rPr>
          <w:rFonts w:ascii="Times New Roman" w:cs="Times New Roman" w:eastAsia="Times New Roman" w:hAnsi="Times New Roman"/>
          <w:b w:val="1"/>
          <w:bCs w:val="1"/>
          <w:sz w:val="28"/>
          <w:szCs w:val="28"/>
        </w:rPr>
      </w:pPr>
      <w:bookmarkStart w:colFirst="0" w:colLast="0" w:name="_r3z6vo4lb86t" w:id="105"/>
      <w:bookmarkEnd w:id="105"/>
      <w:r w:rsidDel="00000000" w:rsidR="00000000" w:rsidRPr="00000000">
        <w:rPr>
          <w:rFonts w:ascii="Times New Roman" w:cs="Times New Roman" w:eastAsia="Times New Roman" w:hAnsi="Times New Roman"/>
          <w:b w:val="1"/>
          <w:bCs w:val="1"/>
          <w:sz w:val="28"/>
          <w:szCs w:val="28"/>
          <w:rtl w:val="0"/>
        </w:rPr>
        <w:t xml:space="preserve">13.3. Capturas del sistema</w:t>
      </w:r>
    </w:p>
    <w:p w:rsidR="00000000" w:rsidDel="00000000" w:rsidP="00000000" w:rsidRDefault="00000000" w:rsidRPr="00000000" w14:paraId="000008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incorporan capturas de las pantallas del sistema en ejecución correspondientes a las vistas del incremento (V_Login, </w:t>
      </w:r>
      <w:r w:rsidDel="00000000" w:rsidR="00000000" w:rsidRPr="00000000">
        <w:rPr>
          <w:rFonts w:ascii="Times New Roman" w:cs="Times New Roman" w:eastAsia="Times New Roman" w:hAnsi="Times New Roman"/>
          <w:sz w:val="24"/>
          <w:szCs w:val="24"/>
          <w:rtl w:val="0"/>
        </w:rPr>
        <w:t xml:space="preserve">V_Dashboard</w:t>
      </w:r>
      <w:r w:rsidDel="00000000" w:rsidR="00000000" w:rsidRPr="00000000">
        <w:rPr>
          <w:rFonts w:ascii="Times New Roman" w:cs="Times New Roman" w:eastAsia="Times New Roman" w:hAnsi="Times New Roman"/>
          <w:sz w:val="24"/>
          <w:szCs w:val="24"/>
          <w:rtl w:val="0"/>
        </w:rPr>
        <w:t xml:space="preserve">, V_Usuarios, V_Auditoria, V_Transferencias, V_Catalogo, V_Inventario y V_Bodegas).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pStyle w:val="Heading2"/>
        <w:spacing w:before="160" w:line="276" w:lineRule="auto"/>
        <w:rPr>
          <w:rFonts w:ascii="Times New Roman" w:cs="Times New Roman" w:eastAsia="Times New Roman" w:hAnsi="Times New Roman"/>
          <w:b w:val="1"/>
          <w:bCs w:val="1"/>
          <w:sz w:val="28"/>
          <w:szCs w:val="28"/>
        </w:rPr>
      </w:pPr>
      <w:bookmarkStart w:colFirst="0" w:colLast="0" w:name="_782aztnu79du" w:id="106"/>
      <w:bookmarkEnd w:id="106"/>
      <w:r w:rsidDel="00000000" w:rsidR="00000000" w:rsidRPr="00000000">
        <w:rPr>
          <w:rFonts w:ascii="Times New Roman" w:cs="Times New Roman" w:eastAsia="Times New Roman" w:hAnsi="Times New Roman"/>
          <w:b w:val="1"/>
          <w:bCs w:val="1"/>
          <w:sz w:val="28"/>
          <w:szCs w:val="28"/>
          <w:rtl w:val="0"/>
        </w:rPr>
        <w:t xml:space="preserve">13.4. Archivos de diagramas</w:t>
      </w:r>
    </w:p>
    <w:p w:rsidR="00000000" w:rsidDel="00000000" w:rsidP="00000000" w:rsidRDefault="00000000" w:rsidRPr="00000000" w14:paraId="000008AD">
      <w:pPr>
        <w:rPr/>
      </w:pPr>
      <w:r w:rsidDel="00000000" w:rsidR="00000000" w:rsidRPr="00000000">
        <w:rPr>
          <w:rtl w:val="0"/>
        </w:rPr>
        <w:t xml:space="preserve">A continuación en la tabla 7.1 se presentan los 46 casos de usos utilizados en este incremento, con sus respectivos diagramas principales y con sus respectivos diagramas de excepción.</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9.2425347789994"/>
        <w:gridCol w:w="3979.2991371286257"/>
        <w:gridCol w:w="4036.9701391159974"/>
        <w:tblGridChange w:id="0">
          <w:tblGrid>
            <w:gridCol w:w="1009.2425347789994"/>
            <w:gridCol w:w="3979.2991371286257"/>
            <w:gridCol w:w="4036.970139115997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A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B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8B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Diagramas de excepción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8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9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CU46_1_Excepcion.drawio</w:t>
            </w:r>
          </w:p>
        </w:tc>
      </w:tr>
    </w:tbl>
    <w:p w:rsidR="00000000" w:rsidDel="00000000" w:rsidP="00000000" w:rsidRDefault="00000000" w:rsidRPr="00000000" w14:paraId="0000093C">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7.1: miau</w:t>
      </w:r>
    </w:p>
    <w:p w:rsidR="00000000" w:rsidDel="00000000" w:rsidP="00000000" w:rsidRDefault="00000000" w:rsidRPr="00000000" w14:paraId="0000093D">
      <w:pPr>
        <w:spacing w:after="20" w:before="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r w:rsidDel="00000000" w:rsidR="00000000" w:rsidRPr="00000000">
        <w:rPr>
          <w:rtl w:val="0"/>
        </w:rPr>
      </w:r>
    </w:p>
    <w:p w:rsidR="00000000" w:rsidDel="00000000" w:rsidP="00000000" w:rsidRDefault="00000000" w:rsidRPr="00000000" w14:paraId="0000093E">
      <w:pPr>
        <w:pStyle w:val="Heading2"/>
        <w:spacing w:before="160" w:line="276" w:lineRule="auto"/>
        <w:rPr>
          <w:rFonts w:ascii="Times New Roman" w:cs="Times New Roman" w:eastAsia="Times New Roman" w:hAnsi="Times New Roman"/>
          <w:b w:val="1"/>
          <w:bCs w:val="1"/>
          <w:sz w:val="28"/>
          <w:szCs w:val="28"/>
        </w:rPr>
      </w:pPr>
      <w:bookmarkStart w:colFirst="0" w:colLast="0" w:name="_dabbdxaeodmh" w:id="107"/>
      <w:bookmarkEnd w:id="107"/>
      <w:r w:rsidDel="00000000" w:rsidR="00000000" w:rsidRPr="00000000">
        <w:rPr>
          <w:rFonts w:ascii="Times New Roman" w:cs="Times New Roman" w:eastAsia="Times New Roman" w:hAnsi="Times New Roman"/>
          <w:b w:val="1"/>
          <w:bCs w:val="1"/>
          <w:sz w:val="28"/>
          <w:szCs w:val="28"/>
          <w:rtl w:val="0"/>
        </w:rPr>
        <w:t xml:space="preserve">13.5. Informe de commits</w:t>
      </w:r>
    </w:p>
    <w:p w:rsidR="00000000" w:rsidDel="00000000" w:rsidP="00000000" w:rsidRDefault="00000000" w:rsidRPr="00000000" w14:paraId="000009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informe de commits por integrante exportado desde el repositorio Git (autor, fecha, mensaje y hash), evidenciando la participación de todos los miembros del equipo en el desarrollo del primer incremento.</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pStyle w:val="Heading2"/>
        <w:spacing w:before="160" w:line="276" w:lineRule="auto"/>
        <w:rPr>
          <w:rFonts w:ascii="Times New Roman" w:cs="Times New Roman" w:eastAsia="Times New Roman" w:hAnsi="Times New Roman"/>
          <w:b w:val="1"/>
          <w:bCs w:val="1"/>
          <w:sz w:val="28"/>
          <w:szCs w:val="28"/>
        </w:rPr>
      </w:pPr>
      <w:bookmarkStart w:colFirst="0" w:colLast="0" w:name="_vs2perwkpzr5" w:id="108"/>
      <w:bookmarkEnd w:id="108"/>
      <w:r w:rsidDel="00000000" w:rsidR="00000000" w:rsidRPr="00000000">
        <w:rPr>
          <w:rFonts w:ascii="Times New Roman" w:cs="Times New Roman" w:eastAsia="Times New Roman" w:hAnsi="Times New Roman"/>
          <w:b w:val="1"/>
          <w:bCs w:val="1"/>
          <w:sz w:val="28"/>
          <w:szCs w:val="28"/>
          <w:rtl w:val="0"/>
        </w:rPr>
        <w:t xml:space="preserve">13.6. Organización del trabajo del equipo</w:t>
      </w:r>
    </w:p>
    <w:p w:rsidR="00000000" w:rsidDel="00000000" w:rsidP="00000000" w:rsidRDefault="00000000" w:rsidRPr="00000000" w14:paraId="000009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archivo “Grupo 1 - Organización Trabajo.xlsx”, que especifica, por capítulo y contenido, quién o quiénes realizaron cada sección y quién o quiénes generaron su revisión, conforme a lo solicitado por la rúbrica.</w:t>
      </w:r>
    </w:p>
    <w:p w:rsidR="00000000" w:rsidDel="00000000" w:rsidP="00000000" w:rsidRDefault="00000000" w:rsidRPr="00000000" w14:paraId="00000944">
      <w:pPr>
        <w:rPr/>
      </w:pPr>
      <w:r w:rsidDel="00000000" w:rsidR="00000000" w:rsidRPr="00000000">
        <w:rPr>
          <w:rtl w:val="0"/>
        </w:rPr>
      </w:r>
    </w:p>
    <w:sectPr>
      <w:headerReference r:id="rId115" w:type="default"/>
      <w:footerReference r:id="rId1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5">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46464"/>
        <w:sz w:val="18"/>
        <w:szCs w:val="18"/>
        <w:rtl w:val="0"/>
      </w:rPr>
      <w:t xml:space="preserve">Incremento 1 — Sistema de Gestión Integral | Finet &amp; Cable Mágico Litoral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0.png"/><Relationship Id="rId41" Type="http://schemas.openxmlformats.org/officeDocument/2006/relationships/image" Target="media/image3.png"/><Relationship Id="rId44" Type="http://schemas.openxmlformats.org/officeDocument/2006/relationships/image" Target="media/image28.png"/><Relationship Id="rId43" Type="http://schemas.openxmlformats.org/officeDocument/2006/relationships/image" Target="media/image62.png"/><Relationship Id="rId46" Type="http://schemas.openxmlformats.org/officeDocument/2006/relationships/image" Target="media/image78.png"/><Relationship Id="rId45" Type="http://schemas.openxmlformats.org/officeDocument/2006/relationships/image" Target="media/image15.png"/><Relationship Id="rId107" Type="http://schemas.openxmlformats.org/officeDocument/2006/relationships/image" Target="media/image87.png"/><Relationship Id="rId106" Type="http://schemas.openxmlformats.org/officeDocument/2006/relationships/image" Target="media/image86.png"/><Relationship Id="rId105" Type="http://schemas.openxmlformats.org/officeDocument/2006/relationships/image" Target="media/image103.png"/><Relationship Id="rId104" Type="http://schemas.openxmlformats.org/officeDocument/2006/relationships/image" Target="media/image44.png"/><Relationship Id="rId109" Type="http://schemas.openxmlformats.org/officeDocument/2006/relationships/image" Target="media/image26.png"/><Relationship Id="rId108" Type="http://schemas.openxmlformats.org/officeDocument/2006/relationships/image" Target="media/image40.png"/><Relationship Id="rId48" Type="http://schemas.openxmlformats.org/officeDocument/2006/relationships/image" Target="media/image11.png"/><Relationship Id="rId47" Type="http://schemas.openxmlformats.org/officeDocument/2006/relationships/image" Target="media/image75.png"/><Relationship Id="rId49" Type="http://schemas.openxmlformats.org/officeDocument/2006/relationships/image" Target="media/image91.png"/><Relationship Id="rId103" Type="http://schemas.openxmlformats.org/officeDocument/2006/relationships/image" Target="media/image25.png"/><Relationship Id="rId102" Type="http://schemas.openxmlformats.org/officeDocument/2006/relationships/image" Target="media/image46.png"/><Relationship Id="rId101" Type="http://schemas.openxmlformats.org/officeDocument/2006/relationships/image" Target="media/image96.png"/><Relationship Id="rId100" Type="http://schemas.openxmlformats.org/officeDocument/2006/relationships/image" Target="media/image69.png"/><Relationship Id="rId31" Type="http://schemas.openxmlformats.org/officeDocument/2006/relationships/image" Target="media/image14.png"/><Relationship Id="rId30" Type="http://schemas.openxmlformats.org/officeDocument/2006/relationships/image" Target="media/image74.png"/><Relationship Id="rId33" Type="http://schemas.openxmlformats.org/officeDocument/2006/relationships/image" Target="media/image89.png"/><Relationship Id="rId32" Type="http://schemas.openxmlformats.org/officeDocument/2006/relationships/image" Target="media/image104.png"/><Relationship Id="rId35" Type="http://schemas.openxmlformats.org/officeDocument/2006/relationships/image" Target="media/image31.png"/><Relationship Id="rId34" Type="http://schemas.openxmlformats.org/officeDocument/2006/relationships/image" Target="media/image5.png"/><Relationship Id="rId37" Type="http://schemas.openxmlformats.org/officeDocument/2006/relationships/image" Target="media/image36.png"/><Relationship Id="rId36" Type="http://schemas.openxmlformats.org/officeDocument/2006/relationships/image" Target="media/image70.png"/><Relationship Id="rId39" Type="http://schemas.openxmlformats.org/officeDocument/2006/relationships/image" Target="media/image13.png"/><Relationship Id="rId38" Type="http://schemas.openxmlformats.org/officeDocument/2006/relationships/image" Target="media/image107.png"/><Relationship Id="rId20" Type="http://schemas.openxmlformats.org/officeDocument/2006/relationships/image" Target="media/image81.png"/><Relationship Id="rId22" Type="http://schemas.openxmlformats.org/officeDocument/2006/relationships/image" Target="media/image61.png"/><Relationship Id="rId21" Type="http://schemas.openxmlformats.org/officeDocument/2006/relationships/image" Target="media/image80.png"/><Relationship Id="rId24" Type="http://schemas.openxmlformats.org/officeDocument/2006/relationships/image" Target="media/image18.png"/><Relationship Id="rId23" Type="http://schemas.openxmlformats.org/officeDocument/2006/relationships/image" Target="media/image97.png"/><Relationship Id="rId26" Type="http://schemas.openxmlformats.org/officeDocument/2006/relationships/image" Target="media/image106.png"/><Relationship Id="rId25" Type="http://schemas.openxmlformats.org/officeDocument/2006/relationships/image" Target="media/image35.png"/><Relationship Id="rId28" Type="http://schemas.openxmlformats.org/officeDocument/2006/relationships/image" Target="media/image47.png"/><Relationship Id="rId27" Type="http://schemas.openxmlformats.org/officeDocument/2006/relationships/image" Target="media/image27.png"/><Relationship Id="rId29" Type="http://schemas.openxmlformats.org/officeDocument/2006/relationships/image" Target="media/image55.png"/><Relationship Id="rId95" Type="http://schemas.openxmlformats.org/officeDocument/2006/relationships/image" Target="media/image77.png"/><Relationship Id="rId94" Type="http://schemas.openxmlformats.org/officeDocument/2006/relationships/image" Target="media/image66.png"/><Relationship Id="rId97" Type="http://schemas.openxmlformats.org/officeDocument/2006/relationships/image" Target="media/image59.png"/><Relationship Id="rId96" Type="http://schemas.openxmlformats.org/officeDocument/2006/relationships/image" Target="media/image16.png"/><Relationship Id="rId11" Type="http://schemas.openxmlformats.org/officeDocument/2006/relationships/image" Target="media/image29.png"/><Relationship Id="rId99" Type="http://schemas.openxmlformats.org/officeDocument/2006/relationships/image" Target="media/image41.png"/><Relationship Id="rId10" Type="http://schemas.openxmlformats.org/officeDocument/2006/relationships/image" Target="media/image42.png"/><Relationship Id="rId98" Type="http://schemas.openxmlformats.org/officeDocument/2006/relationships/image" Target="media/image82.png"/><Relationship Id="rId13" Type="http://schemas.openxmlformats.org/officeDocument/2006/relationships/image" Target="media/image105.png"/><Relationship Id="rId12" Type="http://schemas.openxmlformats.org/officeDocument/2006/relationships/image" Target="media/image79.png"/><Relationship Id="rId91" Type="http://schemas.openxmlformats.org/officeDocument/2006/relationships/image" Target="media/image71.png"/><Relationship Id="rId90" Type="http://schemas.openxmlformats.org/officeDocument/2006/relationships/image" Target="media/image20.png"/><Relationship Id="rId93" Type="http://schemas.openxmlformats.org/officeDocument/2006/relationships/image" Target="media/image21.png"/><Relationship Id="rId92" Type="http://schemas.openxmlformats.org/officeDocument/2006/relationships/image" Target="media/image48.png"/><Relationship Id="rId116" Type="http://schemas.openxmlformats.org/officeDocument/2006/relationships/footer" Target="footer1.xml"/><Relationship Id="rId115" Type="http://schemas.openxmlformats.org/officeDocument/2006/relationships/header" Target="header1.xml"/><Relationship Id="rId15" Type="http://schemas.openxmlformats.org/officeDocument/2006/relationships/image" Target="media/image95.png"/><Relationship Id="rId110"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22.png"/><Relationship Id="rId16" Type="http://schemas.openxmlformats.org/officeDocument/2006/relationships/image" Target="media/image54.png"/><Relationship Id="rId19" Type="http://schemas.openxmlformats.org/officeDocument/2006/relationships/image" Target="media/image88.png"/><Relationship Id="rId114" Type="http://schemas.openxmlformats.org/officeDocument/2006/relationships/image" Target="media/image12.png"/><Relationship Id="rId18" Type="http://schemas.openxmlformats.org/officeDocument/2006/relationships/image" Target="media/image34.png"/><Relationship Id="rId113" Type="http://schemas.openxmlformats.org/officeDocument/2006/relationships/image" Target="media/image57.png"/><Relationship Id="rId112" Type="http://schemas.openxmlformats.org/officeDocument/2006/relationships/image" Target="media/image43.png"/><Relationship Id="rId111" Type="http://schemas.openxmlformats.org/officeDocument/2006/relationships/image" Target="media/image58.png"/><Relationship Id="rId84" Type="http://schemas.openxmlformats.org/officeDocument/2006/relationships/image" Target="media/image53.png"/><Relationship Id="rId83" Type="http://schemas.openxmlformats.org/officeDocument/2006/relationships/image" Target="media/image17.png"/><Relationship Id="rId86" Type="http://schemas.openxmlformats.org/officeDocument/2006/relationships/image" Target="media/image92.png"/><Relationship Id="rId85" Type="http://schemas.openxmlformats.org/officeDocument/2006/relationships/image" Target="media/image45.png"/><Relationship Id="rId88" Type="http://schemas.openxmlformats.org/officeDocument/2006/relationships/image" Target="media/image68.png"/><Relationship Id="rId87" Type="http://schemas.openxmlformats.org/officeDocument/2006/relationships/image" Target="media/image52.png"/><Relationship Id="rId89" Type="http://schemas.openxmlformats.org/officeDocument/2006/relationships/image" Target="media/image2.png"/><Relationship Id="rId80" Type="http://schemas.openxmlformats.org/officeDocument/2006/relationships/image" Target="media/image94.png"/><Relationship Id="rId82" Type="http://schemas.openxmlformats.org/officeDocument/2006/relationships/image" Target="media/image109.png"/><Relationship Id="rId81" Type="http://schemas.openxmlformats.org/officeDocument/2006/relationships/image" Target="media/image8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6.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8.png"/><Relationship Id="rId8" Type="http://schemas.openxmlformats.org/officeDocument/2006/relationships/image" Target="media/image99.png"/><Relationship Id="rId73" Type="http://schemas.openxmlformats.org/officeDocument/2006/relationships/image" Target="media/image98.png"/><Relationship Id="rId72" Type="http://schemas.openxmlformats.org/officeDocument/2006/relationships/image" Target="media/image19.png"/><Relationship Id="rId75" Type="http://schemas.openxmlformats.org/officeDocument/2006/relationships/image" Target="media/image60.png"/><Relationship Id="rId74" Type="http://schemas.openxmlformats.org/officeDocument/2006/relationships/image" Target="media/image90.png"/><Relationship Id="rId77" Type="http://schemas.openxmlformats.org/officeDocument/2006/relationships/image" Target="media/image50.png"/><Relationship Id="rId76" Type="http://schemas.openxmlformats.org/officeDocument/2006/relationships/image" Target="media/image100.png"/><Relationship Id="rId79" Type="http://schemas.openxmlformats.org/officeDocument/2006/relationships/image" Target="media/image67.png"/><Relationship Id="rId78" Type="http://schemas.openxmlformats.org/officeDocument/2006/relationships/image" Target="media/image83.png"/><Relationship Id="rId71" Type="http://schemas.openxmlformats.org/officeDocument/2006/relationships/image" Target="media/image101.png"/><Relationship Id="rId70" Type="http://schemas.openxmlformats.org/officeDocument/2006/relationships/image" Target="media/image49.png"/><Relationship Id="rId62" Type="http://schemas.openxmlformats.org/officeDocument/2006/relationships/image" Target="media/image32.png"/><Relationship Id="rId61" Type="http://schemas.openxmlformats.org/officeDocument/2006/relationships/image" Target="media/image9.png"/><Relationship Id="rId64" Type="http://schemas.openxmlformats.org/officeDocument/2006/relationships/image" Target="media/image64.png"/><Relationship Id="rId63" Type="http://schemas.openxmlformats.org/officeDocument/2006/relationships/image" Target="media/image56.png"/><Relationship Id="rId66" Type="http://schemas.openxmlformats.org/officeDocument/2006/relationships/image" Target="media/image6.png"/><Relationship Id="rId65" Type="http://schemas.openxmlformats.org/officeDocument/2006/relationships/image" Target="media/image63.png"/><Relationship Id="rId68" Type="http://schemas.openxmlformats.org/officeDocument/2006/relationships/image" Target="media/image108.png"/><Relationship Id="rId67" Type="http://schemas.openxmlformats.org/officeDocument/2006/relationships/image" Target="media/image93.png"/><Relationship Id="rId60" Type="http://schemas.openxmlformats.org/officeDocument/2006/relationships/image" Target="media/image65.png"/><Relationship Id="rId69" Type="http://schemas.openxmlformats.org/officeDocument/2006/relationships/image" Target="media/image85.png"/><Relationship Id="rId51" Type="http://schemas.openxmlformats.org/officeDocument/2006/relationships/image" Target="media/image33.png"/><Relationship Id="rId50" Type="http://schemas.openxmlformats.org/officeDocument/2006/relationships/image" Target="media/image37.png"/><Relationship Id="rId53" Type="http://schemas.openxmlformats.org/officeDocument/2006/relationships/image" Target="media/image38.png"/><Relationship Id="rId52" Type="http://schemas.openxmlformats.org/officeDocument/2006/relationships/image" Target="media/image73.png"/><Relationship Id="rId55" Type="http://schemas.openxmlformats.org/officeDocument/2006/relationships/image" Target="media/image72.png"/><Relationship Id="rId54" Type="http://schemas.openxmlformats.org/officeDocument/2006/relationships/image" Target="media/image4.png"/><Relationship Id="rId57" Type="http://schemas.openxmlformats.org/officeDocument/2006/relationships/image" Target="media/image24.png"/><Relationship Id="rId56" Type="http://schemas.openxmlformats.org/officeDocument/2006/relationships/image" Target="media/image23.png"/><Relationship Id="rId59" Type="http://schemas.openxmlformats.org/officeDocument/2006/relationships/image" Target="media/image102.png"/><Relationship Id="rId5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