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354E" w14:textId="5428F9A1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Descripciones figuras casos de uso</w:t>
      </w:r>
    </w:p>
    <w:p w14:paraId="46826FB4" w14:textId="231C09D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CU-06 (Fig. 6.15) — Editar cuenta de usuario, flujo normal</w:t>
      </w:r>
      <w:r>
        <w:rPr>
          <w:color w:val="000000"/>
        </w:rPr>
        <w:br/>
      </w:r>
      <w:r w:rsidRPr="00BB39AA">
        <w:rPr>
          <w:color w:val="000000"/>
        </w:rPr>
        <w:t>El</w:t>
      </w:r>
      <w:r w:rsidRPr="00BB39AA">
        <w:rPr>
          <w:rStyle w:val="apple-converted-space"/>
          <w:rFonts w:eastAsiaTheme="majorEastAsia"/>
          <w:color w:val="000000"/>
        </w:rPr>
        <w:t xml:space="preserve"> UsuarioController</w:t>
      </w:r>
      <w:r w:rsidRPr="00BB39AA">
        <w:rPr>
          <w:rStyle w:val="apple-converted-space"/>
          <w:rFonts w:eastAsiaTheme="majorEastAsia"/>
          <w:color w:val="000000"/>
        </w:rPr>
        <w:t> </w:t>
      </w:r>
      <w:r w:rsidRPr="00BB39AA">
        <w:rPr>
          <w:color w:val="000000"/>
        </w:rPr>
        <w:t>carga el registro existente del modelo</w:t>
      </w:r>
      <w:r w:rsidRPr="00BB39AA">
        <w:rPr>
          <w:rStyle w:val="apple-converted-space"/>
          <w:rFonts w:eastAsiaTheme="majorEastAsia"/>
          <w:color w:val="000000"/>
        </w:rPr>
        <w:t xml:space="preserve"> Usuario</w:t>
      </w:r>
      <w:r w:rsidRPr="00BB39AA">
        <w:rPr>
          <w:color w:val="000000"/>
        </w:rPr>
        <w:t>, recibe los campos modificados (nombre completo, empresa, rol, estado), valida y persiste los cambios, y delega al</w:t>
      </w:r>
      <w:r w:rsidRPr="00BB39AA">
        <w:rPr>
          <w:rStyle w:val="apple-converted-space"/>
          <w:rFonts w:eastAsiaTheme="majorEastAsia"/>
          <w:color w:val="000000"/>
        </w:rPr>
        <w:t xml:space="preserve"> LogAuditoriaController</w:t>
      </w:r>
      <w:r w:rsidRPr="00BB39AA">
        <w:rPr>
          <w:rStyle w:val="apple-converted-space"/>
          <w:rFonts w:eastAsiaTheme="majorEastAsia"/>
          <w:color w:val="000000"/>
        </w:rPr>
        <w:t> </w:t>
      </w:r>
      <w:r w:rsidRPr="00BB39AA">
        <w:rPr>
          <w:color w:val="000000"/>
        </w:rPr>
        <w:t>el registro de la edición.</w:t>
      </w:r>
    </w:p>
    <w:p w14:paraId="1504170F" w14:textId="3496C9BB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CU-06 Excepción 1 (Fig. 6.16) — Validaciones de formato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 w:rsidRPr="00BB39AA">
        <w:rPr>
          <w:rStyle w:val="apple-converted-space"/>
          <w:rFonts w:eastAsiaTheme="majorEastAsia"/>
          <w:color w:val="000000"/>
        </w:rPr>
        <w:t>UsuarioController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recibe los campos modificados, ejecuta las validaciones de formato mediante el modelo</w:t>
      </w:r>
      <w:r>
        <w:rPr>
          <w:rStyle w:val="apple-converted-space"/>
          <w:rFonts w:eastAsiaTheme="majorEastAsia"/>
          <w:color w:val="000000"/>
        </w:rPr>
        <w:t> </w:t>
      </w:r>
      <w:r w:rsidRPr="00BB39AA">
        <w:rPr>
          <w:rStyle w:val="apple-converted-space"/>
          <w:rFonts w:eastAsiaTheme="majorEastAsia"/>
          <w:color w:val="000000"/>
        </w:rPr>
        <w:t>Usuario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 retorna a la vista los errores específicos por campo sin actualizar el registro.</w:t>
      </w:r>
    </w:p>
    <w:p w14:paraId="58F56155" w14:textId="363E3D66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CU-06 Excepción 2 (Fig. 6.17) — Restricción de asignación a Superusuario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 w:rsidRPr="00BB39AA">
        <w:rPr>
          <w:rStyle w:val="apple-converted-space"/>
          <w:rFonts w:eastAsiaTheme="majorEastAsia"/>
          <w:color w:val="000000"/>
        </w:rPr>
        <w:t>UsuarioController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detecta que el actor (Administrador) intenta asignar el rol "Superusuario" al editar, rechaza el cambio de ese campo y no permite la actualización de ese valor.</w:t>
      </w:r>
    </w:p>
    <w:p w14:paraId="50DF5392" w14:textId="719342BC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CU-07 (Fig. 6.18) — Desactivar cuenta de usuario, flujo normal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 w:rsidRPr="00BB39AA">
        <w:rPr>
          <w:rStyle w:val="apple-converted-space"/>
          <w:rFonts w:eastAsiaTheme="majorEastAsia"/>
          <w:color w:val="000000"/>
        </w:rPr>
        <w:t>UsuarioController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recibe la confirmación de desactivación, cambia el estado del usuario a "Inactivo" en el modelo</w:t>
      </w:r>
      <w:r>
        <w:rPr>
          <w:rStyle w:val="apple-converted-space"/>
          <w:rFonts w:eastAsiaTheme="majorEastAsia"/>
          <w:color w:val="000000"/>
        </w:rPr>
        <w:t> </w:t>
      </w:r>
      <w:r w:rsidRPr="00BB39AA">
        <w:rPr>
          <w:rStyle w:val="apple-converted-space"/>
          <w:rFonts w:eastAsiaTheme="majorEastAsia"/>
          <w:color w:val="000000"/>
        </w:rPr>
        <w:t>Usuario</w:t>
      </w:r>
      <w:r>
        <w:rPr>
          <w:color w:val="000000"/>
        </w:rPr>
        <w:t>, invalida cualquier sesión activa de esa cuenta (vía</w:t>
      </w:r>
      <w:r>
        <w:rPr>
          <w:rStyle w:val="apple-converted-space"/>
          <w:rFonts w:eastAsiaTheme="majorEastAsia"/>
          <w:color w:val="000000"/>
        </w:rPr>
        <w:t xml:space="preserve"> AuthController/ SessionController</w:t>
      </w:r>
      <w:r>
        <w:rPr>
          <w:color w:val="000000"/>
        </w:rPr>
        <w:t>) y delega al</w:t>
      </w:r>
      <w:r>
        <w:rPr>
          <w:rStyle w:val="apple-converted-space"/>
          <w:rFonts w:eastAsiaTheme="majorEastAsia"/>
          <w:color w:val="000000"/>
        </w:rPr>
        <w:t xml:space="preserve"> LogAuditoriacontroller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el registro del evento.</w:t>
      </w:r>
    </w:p>
    <w:p w14:paraId="2295FB48" w14:textId="15A58290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CU-07 Excepción 1 (Fig. 6.19) — Autodesactivación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 w:rsidRPr="00BB39AA">
        <w:rPr>
          <w:rStyle w:val="apple-converted-space"/>
          <w:rFonts w:eastAsiaTheme="majorEastAsia"/>
          <w:color w:val="000000"/>
        </w:rPr>
        <w:t>UsuarioController</w:t>
      </w:r>
      <w:r>
        <w:rPr>
          <w:color w:val="000000"/>
        </w:rPr>
        <w:t xml:space="preserve"> </w:t>
      </w:r>
      <w:r>
        <w:rPr>
          <w:color w:val="000000"/>
        </w:rPr>
        <w:t>verifica que el usuario objetivo no sea el propio actor; al detectar coincidencia, rechaza la operación y retorna a la vista el mensaje "No es posible desactivar su propia cuenta".</w:t>
      </w:r>
    </w:p>
    <w:p w14:paraId="036F9E18" w14:textId="72FA8869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CU-08 (Fig. 6.20) — Registrar evento en el log de auditoría,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Style w:val="apple-converted-space"/>
          <w:rFonts w:eastAsiaTheme="majorEastAsia"/>
          <w:color w:val="000000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recibe, desde cualquier otro controlador, los datos del evento auditable (fecha/hora, usuario, empresa, tipo de evento, objeto afectado) y los persiste como una entrada en el modelo </w:t>
      </w:r>
      <w:r>
        <w:rPr>
          <w:rStyle w:val="apple-converted-space"/>
          <w:rFonts w:eastAsiaTheme="majorEastAsia"/>
          <w:color w:val="000000"/>
        </w:rPr>
        <w:t>LogAuditoria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carácter inmutable.</w:t>
      </w:r>
    </w:p>
    <w:p w14:paraId="6C10B7D0" w14:textId="39F0A72C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CU-08 Excepción 1 (Fig. 6.21) — Error de escritura en el log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Style w:val="apple-converted-space"/>
          <w:rFonts w:eastAsiaTheme="majorEastAsia"/>
          <w:color w:val="000000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detecta una falla al persistir la entrada en el modelo </w:t>
      </w:r>
      <w:r>
        <w:rPr>
          <w:rStyle w:val="apple-converted-space"/>
          <w:rFonts w:eastAsiaTheme="majorEastAsia"/>
          <w:color w:val="000000"/>
        </w:rPr>
        <w:t>LogAuditoria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reintenta la escritura hasta tres veces; si la falla persiste, registra el error en los logs internos del servidor y notifica al administrador del sistema.</w:t>
      </w:r>
    </w:p>
    <w:p w14:paraId="58689023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C7496AE">
          <v:rect id="_x0000_i1053" alt="" style="width:425.1pt;height:.05pt;mso-width-percent:0;mso-height-percent:0;mso-width-percent:0;mso-height-percent:0" o:hrpct="962" o:hralign="center" o:hrstd="t" o:hr="t" fillcolor="#a0a0a0" stroked="f"/>
        </w:pict>
      </w:r>
    </w:p>
    <w:p w14:paraId="3E6E6602" w14:textId="481D4B58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CU-09 (Fig. 6.22) — Consultar log de auditoría,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Style w:val="apple-converted-space"/>
          <w:rFonts w:eastAsiaTheme="majorEastAsia"/>
          <w:color w:val="000000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los filtros (fecha, usuario, tipo de evento, empresa) desde la vista, consulta el modelo </w:t>
      </w:r>
      <w:r>
        <w:rPr>
          <w:rStyle w:val="apple-converted-space"/>
          <w:rFonts w:eastAsiaTheme="majorEastAsia"/>
          <w:color w:val="000000"/>
        </w:rPr>
        <w:t>LogAuditori</w:t>
      </w:r>
      <w:r>
        <w:rPr>
          <w:rStyle w:val="apple-converted-space"/>
          <w:rFonts w:eastAsiaTheme="majorEastAsia"/>
          <w:color w:val="000000"/>
        </w:rPr>
        <w:t>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modo solo lectura y retorna el listado ordenado cronológicamente de forma inversa.</w:t>
      </w:r>
    </w:p>
    <w:p w14:paraId="0D07CAC4" w14:textId="684EAD5B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CU-09 Excepción 1 (Fig. 6.23) — Sin resultados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Style w:val="apple-converted-space"/>
          <w:rFonts w:eastAsiaTheme="majorEastAsia"/>
          <w:color w:val="000000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ejecuta la consulta filtrada, recibe un conjunto vacío del modelo </w:t>
      </w:r>
      <w:r>
        <w:rPr>
          <w:rStyle w:val="apple-converted-space"/>
          <w:rFonts w:eastAsiaTheme="majorEastAsia"/>
          <w:color w:val="000000"/>
        </w:rPr>
        <w:t>LogAuditoria</w:t>
      </w:r>
      <w:r>
        <w:rPr>
          <w:rStyle w:val="apple-converted-space"/>
          <w:rFonts w:eastAsiaTheme="majorEastAsia"/>
          <w:color w:val="000000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y retorna a la vista el listado vacío con el mensaje "No se encontraron eventos con los filtros seleccionados".</w:t>
      </w:r>
    </w:p>
    <w:p w14:paraId="7EFA75CD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27C2DB4B">
          <v:rect id="_x0000_i1052" alt="" style="width:425.1pt;height:.05pt;mso-width-percent:0;mso-height-percent:0;mso-width-percent:0;mso-height-percent:0" o:hrpct="962" o:hralign="center" o:hrstd="t" o:hr="t" fillcolor="#a0a0a0" stroked="f"/>
        </w:pict>
      </w:r>
    </w:p>
    <w:p w14:paraId="69863DEF" w14:textId="0D8D2654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CU-10 (Fig. 6.24) — Restablecer contraseña,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UsuarioController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PasswordController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recibe la solicitud sobre un usuario objetivo, genera mediante el modelo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Usuario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una contraseña temporal de 10 caracteres, activa la bandera de cambio obligatorio y la muestra una única vez en la vista al actor.</w:t>
      </w:r>
    </w:p>
    <w:p w14:paraId="5E02F022" w14:textId="3A9B3BCA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CU-10 Excepción 1 (Fig. 6.25) — Usuario inexistente o inactivo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UsuarioController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verifica en el modelo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Usuario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el usuario objetivo exista y esté activo; al fallar la verificación, retorna a la vista el mensaje "No es posible restablecer la contraseña de un usuario inactivo o inexistente" sin generar contraseña.</w:t>
      </w:r>
    </w:p>
    <w:p w14:paraId="6CCBCC39" w14:textId="0B833F79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CU-11 (Fig. 6.26) — Cierre de sesión por inactividad,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SessionController/AuthController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detecta, mediante el control de tiempo asociado a la sesión, la ausencia de interacción y solicita a la vista mostrar el aviso de cierre inminente; si el usuario elige continuar, el controlador reinicia el temporizador de la sesión.</w:t>
      </w:r>
    </w:p>
    <w:p w14:paraId="61669CCB" w14:textId="01A9BF98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CU-11 Excepción 1 (Fig. 6.27) — Sin respuesta del usuario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SessionController/AuthController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detecta que no hubo respuesta dentro de los 2 minutos, invalida el token de sesión, delega 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>
        <w:rPr>
          <w:rStyle w:val="apple-converted-space"/>
          <w:rFonts w:eastAsiaTheme="majorEastAsia"/>
          <w:color w:val="000000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registro del evento "Cierre de sesión por inactividad" y redirige la vista al formulario de inicio de sesión.</w:t>
      </w:r>
    </w:p>
    <w:p w14:paraId="3899FBC7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3A0B51">
          <v:rect id="_x0000_i1051" alt="" style="width:425.1pt;height:.05pt;mso-width-percent:0;mso-height-percent:0;mso-width-percent:0;mso-height-percent:0" o:hrpct="962" o:hralign="center" o:hrstd="t" o:hr="t" fillcolor="#a0a0a0" stroked="f"/>
        </w:pict>
      </w:r>
    </w:p>
    <w:p w14:paraId="065CC794" w14:textId="71A6C0F9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CU-12 (Fig. 6.28) — Cerrar sesión,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AuthController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confirmación del actor, invalida el token de sesión activo, delega al </w:t>
      </w:r>
      <w:r>
        <w:rPr>
          <w:rStyle w:val="apple-converted-space"/>
          <w:rFonts w:eastAsiaTheme="majorEastAsia"/>
          <w:color w:val="000000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 el registro del cierre manual y redirige la vista al formulario de inicio de sesión.</w:t>
      </w:r>
    </w:p>
    <w:p w14:paraId="30613AC7" w14:textId="22C1CC68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CU-12 Excepción 1 (Fig. 6.29) — Cancelación de confirmación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AuthController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recibe la cancelación desde la vista y no ejecuta ninguna acción sobre la sesión; el actor permanece autenticado en la vista actual.</w:t>
      </w:r>
    </w:p>
    <w:p w14:paraId="4C47D384" w14:textId="0ABB1391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CU-13 (Fig. 6.30) — Cargar contexto de empresa Finet,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Tras el login exitoso, 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AuthController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/ ContextController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consulta el modelo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Usuario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identificar que el usuario pertenece a Finet, configura el contexto de sesión (scope=Finet) sin mostrar selector de empresa, contexto que luego usan todos los demás controladores para filtrar datos.</w:t>
      </w:r>
    </w:p>
    <w:p w14:paraId="7A8A51B5" w14:textId="6A8418D5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CU-13 Excepción 1 (Fig. 6.31) — Usuario sin empresa asignada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ContextController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detecta, mediante el modelo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Usuario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el campo empresa está vacío, interrumpe el flujo de login y retorna a la vista el mensaje "Su cuenta no tiene empresa asignada. Contacte al administrador", sin permitir el acceso.</w:t>
      </w:r>
    </w:p>
    <w:p w14:paraId="276D7608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A1D8B3F">
          <v:rect id="_x0000_i1050" alt="" style="width:425.1pt;height:.05pt;mso-width-percent:0;mso-height-percent:0;mso-width-percent:0;mso-height-percent:0" o:hrpct="962" o:hralign="center" o:hrstd="t" o:hr="t" fillcolor="#a0a0a0" stroked="f"/>
        </w:pict>
      </w:r>
    </w:p>
    <w:p w14:paraId="2D55CC53" w14:textId="5F4B4A95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CU-14 (Fig. 6.32) — Cargar contexto de empresa Cable Mágico,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Tras el login exitoso, 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AuthController/ ContextController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consulta el modelo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Usuario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identificar que el usuario pertenece a Cable Mágico, configura el contexto de sesión (scope=Cable Mágico) sin mostrar selector de empresa.</w:t>
      </w:r>
    </w:p>
    <w:p w14:paraId="4F8C6790" w14:textId="7EA92E8C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CU-14 Excepción 1 (Fig. 6.33) — Usuario sin empresa asignada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ContextController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detecta, mediante el modelo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Usuario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el campo empresa está vacío, interrumpe el flujo de login y retorna a la vista el mismo mensaje "Su cuenta no tiene empresa asignada. Contacte al administrador", sin permitir el acceso.</w:t>
      </w:r>
    </w:p>
    <w:p w14:paraId="45C3FEAD" w14:textId="240BEE7E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CU-15 (Fig. 6.34) — Dashboard consolidado,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Dashboard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exclusivo para Superusuario, consulta en paralelo los modelos de inventario de Finet y Cable Mágico sin aplicar filtro de aislamiento, agrega los indicadores (stock, asignados, instalados, en revisión, alertas) y los retorna a la vista lado a lado en modo solo lectura.</w:t>
      </w:r>
    </w:p>
    <w:p w14:paraId="0B0DFE01" w14:textId="367AB04E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CU-15 Excepción 1 (Fig. 6.35) — Empresa sin datos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DashboardController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del modelo de inventario un conjunto vacío para una de las empresas y retorna a la vista los contadores de esa empresa en cero, sin afectar la otra.</w:t>
      </w:r>
    </w:p>
    <w:p w14:paraId="32D626F5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2AB0D26">
          <v:rect id="_x0000_i1049" alt="" style="width:425.1pt;height:.05pt;mso-width-percent:0;mso-height-percent:0;mso-width-percent:0;mso-height-percent:0" o:hrpct="962" o:hralign="center" o:hrstd="t" o:hr="t" fillcolor="#a0a0a0" stroked="f"/>
        </w:pict>
      </w:r>
    </w:p>
    <w:p w14:paraId="5CA1607D" w14:textId="78E3E4F5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CU-16 (Fig. 6.36) — Consultar datos aislados por 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correspondiente a la consulta (inventario, equipos, bodegas, usuarios, reportes) aplica de forma obligatoria un filtro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Empresa_id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igual al del usuario autenticado al construir la consulta sobre el modelo respectivo, tanto en la respuesta de vista como en la API.</w:t>
      </w:r>
    </w:p>
    <w:p w14:paraId="35FF934C" w14:textId="6BA6F89E" w:rsidR="00BB39AA" w:rsidRDefault="00BB39AA" w:rsidP="00BB39AA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CU-16 Excepción 1 (Fig. 6.37) — Manipulación para acceder a otra empresa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detecta, vía el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AuthorizationController/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filtro de empresa, que la solicitud (manipulada por URL, parámetros o HTTP) intenta acceder a datos de la otra empresa; rechaza la operación con error de acceso no autorizado, no revela si el recurso existe 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delega al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eastAsiaTheme="majorEastAsia"/>
          <w:color w:val="000000"/>
        </w:rPr>
        <w:t>LogAuditoriacontroller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el registro del intento.</w:t>
      </w:r>
    </w:p>
    <w:p w14:paraId="4372BB80" w14:textId="17ACF0C6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CU-17 (Fig. 6.38) — Crear registro con aislamiento de 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 creación correspondiente (p. ej.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asigna automáticamente el campo del usuario autenticado al instanciar el nuevo registro en el modelo, sin exponerlo como campo editable en la vista.</w:t>
      </w:r>
    </w:p>
    <w:p w14:paraId="23900068" w14:textId="3FC79A58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CU-17 Excepción 1 (Fig. 6.39) — Intento de forzar otra empresa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detecta, al recibir parámetros manipulados, que se intenta asignar un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Empresa_id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distinto al del usuario; rechaza la operación, retorna error de acceso no autorizado y delega 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LogAuditoriaController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registro del intento.</w:t>
      </w:r>
    </w:p>
    <w:p w14:paraId="666C66A0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D1A866">
          <v:rect id="_x0000_i1048" alt="" style="width:425.1pt;height:.05pt;mso-width-percent:0;mso-height-percent:0;mso-width-percent:0;mso-height-percent:0" o:hrpct="962" o:hralign="center" o:hrstd="t" o:hr="t" fillcolor="#a0a0a0" stroked="f"/>
        </w:pict>
      </w:r>
    </w:p>
    <w:p w14:paraId="67AA07F3" w14:textId="693ED04F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CU-18 (Fig. 6.40) — Editar registro con aislamiento de 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correspondiente carga el registro a editar desde el modelo, verifica que su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Empresa_id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coincida con el del usuario autenticado antes de permitir la modificación, y persiste los cambios solo si la verificación es exitosa.</w:t>
      </w:r>
    </w:p>
    <w:p w14:paraId="29208DCB" w14:textId="6F77CAC4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CU-18 Excepción 1 (Fig. 6.41) — Manipulación técnica sobre registro de otra empresa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 que el registro solicitado para edición pertenece a otra empresa, rechaza la operación, retorna error de acceso no autorizado sin revelar si el registro existe en la otra empresa, y delega al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del intento.</w:t>
      </w:r>
    </w:p>
    <w:p w14:paraId="60EC7B10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5FF4C2D">
          <v:rect id="_x0000_i1047" alt="" style="width:425.1pt;height:.05pt;mso-width-percent:0;mso-height-percent:0;mso-width-percent:0;mso-height-percent:0" o:hrpct="962" o:hralign="center" o:hrstd="t" o:hr="t" fillcolor="#a0a0a0" stroked="f"/>
        </w:pict>
      </w:r>
    </w:p>
    <w:p w14:paraId="6B39F83D" w14:textId="6EED02F9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CU-19 (Fig. 6.42) — Desactivar/eliminar registro con aislamiento de 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correspondiente carga el registro desde el modelo, verifica que pertenezca a la empresa del usuario antes de permitir la desactivación/eliminación, ejecuta la operación y delega al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del evento.</w:t>
      </w:r>
    </w:p>
    <w:p w14:paraId="29F53DCA" w14:textId="0463753D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CU-19 Excepción 1 (Fig. 6.43) — Manipulación técnica sobre registro de otra empresa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 que el registro solicitado pertenece a otra empresa, rechaza la operación, retorna error de acceso no autorizado sin revelar si el registro existe, y delega al 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registro del intento.</w:t>
      </w:r>
    </w:p>
    <w:p w14:paraId="2696AF9C" w14:textId="79446666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CU-20 (Fig. 6.44) — Registrar solicitud de transferencia inter-empresa, flujo normal</w:t>
      </w:r>
      <w:r>
        <w:rPr>
          <w:color w:val="000000"/>
        </w:rPr>
        <w:br/>
        <w:t>El</w:t>
      </w:r>
      <w:r>
        <w:rPr>
          <w:color w:val="000000"/>
        </w:rPr>
        <w:t xml:space="preserve"> TransferenciaController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recibe el formulario (empresas, bodegas, fecha, motivo, listado de unidades), valida cada número de serie contra el modelo</w:t>
      </w:r>
      <w:r>
        <w:rPr>
          <w:rStyle w:val="apple-converted-space"/>
          <w:rFonts w:eastAsiaTheme="majorEastAsia"/>
          <w:color w:val="000000"/>
        </w:rPr>
        <w:t xml:space="preserve"> UnidadEquipo</w:t>
      </w:r>
      <w:r>
        <w:rPr>
          <w:color w:val="000000"/>
        </w:rPr>
        <w:t>, y si todo es válido, persiste la transferencia en el model</w:t>
      </w:r>
      <w:r>
        <w:rPr>
          <w:color w:val="000000"/>
        </w:rPr>
        <w:t xml:space="preserve">o Transferencia </w:t>
      </w:r>
      <w:r>
        <w:rPr>
          <w:color w:val="000000"/>
        </w:rPr>
        <w:t>con estado "Pendiente de aprobación" y notifica al Superusuario.</w:t>
      </w:r>
    </w:p>
    <w:p w14:paraId="7DDBAA4B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CU-20 Excepción 1 (Fig. 6.45) — Campos obligatorios inválidos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TransferenciaController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recibe el formulario, ejecuta las validaciones de formato sobre cada campo y retorna a la vista los errores específicos sin persistir la solicitud.</w:t>
      </w:r>
    </w:p>
    <w:p w14:paraId="6F20E90B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CU-20 Excepción 2 (Fig. 6.46) — Listado de unidades vacío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TransferenciaController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recibe el formulario, detecta que el listado de unidades está vacío y rechaza el registro de la transferencia, retornando el mensaje correspondiente a la vista.</w:t>
      </w:r>
    </w:p>
    <w:p w14:paraId="5C99371E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CU-20 Excepción 3 (Fig. 6.47) — Número de serie inválido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TransferenciaController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valida cada NS contra el modelo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UnidadEquipo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(existencia, estado "En bodega", empresa y bodega de origen); para cada unidad inválida retorna el error específico a la vista y no permite continuar hasta corregirlas.</w:t>
      </w:r>
    </w:p>
    <w:p w14:paraId="5286FDF3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CU-21 (Fig. 6.48) — Aprobar transferencia inter-empresa,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carga el detalle de la transferencia desde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y al confirmar, ejecuta la transacción: descuenta stock en bodega origen, suma en bodega destino, actualiza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empresa_id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cada unidad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registro.</w:t>
      </w:r>
    </w:p>
    <w:p w14:paraId="1FC92D6B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CU-21 Excepción 1 (Fig. 6.49) — Unidad cambió de estado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re-verifica el estado actual de cada unidad en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antes de confirmar; si alguna cambió desde el registro de la solicitud, informa las unidades afectadas a la vista y bloquea la aprobación hasta que se corrijan o eliminen.</w:t>
      </w:r>
    </w:p>
    <w:p w14:paraId="03E0290F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296C5767">
          <v:rect id="_x0000_i1046" alt="" style="width:425.1pt;height:.05pt;mso-width-percent:0;mso-height-percent:0;mso-width-percent:0;mso-height-percent:0" o:hrpct="962" o:hralign="center" o:hrstd="t" o:hr="t" fillcolor="#a0a0a0" stroked="f"/>
        </w:pict>
      </w:r>
    </w:p>
    <w:p w14:paraId="4993C6FE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CU-22 (Fig. 6.50) — Rechazar transferencia inter-empresa,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el motivo de rechazo, cambia el estado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"Rechazada" sin modificar el inventario, notifica al solicitante mediante la campana del sistema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registro.</w:t>
      </w:r>
    </w:p>
    <w:p w14:paraId="5B08B0AA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CU-22 Excepción 1 (Fig. 6.51) — Motivo de rechazo vacío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solicitud de confirmación sin motivo, rechaza la operación y retorna a la vista el mensaje "Debe ingresar un motivo de rechazo para continuar".</w:t>
      </w:r>
    </w:p>
    <w:p w14:paraId="776E5367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CU-22 Excepción 2 (Fig. 6.52) — Motivo de rechazo excede longitud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un motivo que supera los 200 caracteres, rechaza la operación y retorna a la vista el mensaje indicando el límite, sin actualizar el estado de la transferencia.</w:t>
      </w:r>
    </w:p>
    <w:p w14:paraId="5E829AF7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2E9454E">
          <v:rect id="_x0000_i1045" alt="" style="width:425.1pt;height:.05pt;mso-width-percent:0;mso-height-percent:0;mso-width-percent:0;mso-height-percent:0" o:hrpct="962" o:hralign="center" o:hrstd="t" o:hr="t" fillcolor="#a0a0a0" stroked="f"/>
        </w:pict>
      </w:r>
    </w:p>
    <w:p w14:paraId="537FDC02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CU-23 (Fig. 6.53) — Consultar transferencias inter-empresa,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los filtros (estado, fecha, empresa) desde la vista,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retorna el listado correspondiente.</w:t>
      </w:r>
    </w:p>
    <w:p w14:paraId="6B28103E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CU-23 Excepción 1 (Fig. 6.54) — Sin resultados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ejecuta la consulta filtrada, recibe un conjunto vacío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Transferencia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retorna a la vista el listado vacío con el mensaje "No se encontraron transferencias con los filtros seleccionados".</w:t>
      </w:r>
    </w:p>
    <w:p w14:paraId="00B66129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CU-24 (Fig. 6.55) — Crear tipo de equipo en catálogo, flujo normal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TipoEquipoController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recibe el formulario, valida los campos mediante el modelo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TipoEquipo</w:t>
      </w:r>
      <w:r>
        <w:rPr>
          <w:color w:val="000000"/>
        </w:rPr>
        <w:t>, verifica la unicidad de la combinación nombre+marca+modelo, y persiste el registro en estado "Activo" disponible para ambas empresas.</w:t>
      </w:r>
    </w:p>
    <w:p w14:paraId="6FBA1538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CU-24 Excepción 1 (Fig. 6.56) — Campos fuera de rango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TipoEquipoController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recibe el formulario, ejecuta las validaciones de formato y rango sobre cada campo, y retorna a la vista los errores específicos sin persistir el registro.</w:t>
      </w:r>
    </w:p>
    <w:p w14:paraId="50CCEF71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CU-24 Excepción 2 (Fig. 6.57) — Falta unidad de medida para consumible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TipoEquipoController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detecta que el campo "Requiere número de serie individual" es "No" y que no se seleccionó unidad de medida; retorna a la vista la solicitud de completar el campo antes de continuar.</w:t>
      </w:r>
    </w:p>
    <w:p w14:paraId="610AAF38" w14:textId="77777777" w:rsidR="00BB39AA" w:rsidRDefault="00BB39AA" w:rsidP="00BB39AA">
      <w:pPr>
        <w:pStyle w:val="font-claude-response-body"/>
        <w:rPr>
          <w:color w:val="000000"/>
        </w:rPr>
      </w:pPr>
      <w:r>
        <w:rPr>
          <w:color w:val="000000"/>
        </w:rPr>
        <w:t>CU-24 Excepción 3 (Fig. 6.58) — Combinación duplicada</w:t>
      </w:r>
      <w:r>
        <w:rPr>
          <w:color w:val="000000"/>
        </w:rPr>
        <w:br/>
        <w:t>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TipoEquipoController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consulta el modelo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TipoEquipo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para verificar unicidad de la combinación nombre+marca+modelo; al encontrar coincidencia, retorna a la vista el mensaje "Ya existe un tipo de equipo con esa combinación de nombre, marca y modelo" sin crear el registro.</w:t>
      </w:r>
    </w:p>
    <w:p w14:paraId="0187E92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CU-25 (Fig. 6.59) — Consultar catálogo de tipos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los filtros (categoría, estado, búsqueda por nombre/marca/modelo),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retorna el listado a la vista; al seleccionar un tipo, retorna también su ficha de detalle completa.</w:t>
      </w:r>
    </w:p>
    <w:p w14:paraId="5607256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CU-25 Excepción 1 (Fig. 6.60) — Sin resultados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ejecuta la consulta filtrada, recibe un conjunto vacío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retorna a la vista el listado vacío con el mensaje "No se encontraron tipos de equipo con los filtros seleccionados".</w:t>
      </w:r>
    </w:p>
    <w:p w14:paraId="6B31A8EB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2BC5D3">
          <v:rect id="_x0000_i1044" alt="" style="width:425.1pt;height:.05pt;mso-width-percent:0;mso-height-percent:0;mso-width-percent:0;mso-height-percent:0" o:hrpct="962" o:hralign="center" o:hrstd="t" o:hr="t" fillcolor="#a0a0a0" stroked="f"/>
        </w:pict>
      </w:r>
    </w:p>
    <w:p w14:paraId="6B2A2AE4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CU-26 (Fig. 6.61) — Editar tipo de equipo existente,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carga el registro existente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recibe los campos modificados, valida y persiste los cambios,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 la edición.</w:t>
      </w:r>
    </w:p>
    <w:p w14:paraId="46B1F515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CU-26 Excepción 1 (Fig. 6.62) — Cambio de "Requiere NS individual" con unidades existentes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verificar si existen unidades registradas para ese tipo; al detectar cambios sobre el campo "Requiere número de serie individual" con unidades existentes, bloquea el cambio y retorna a la vista el mensaje indicando el número de unidades afectadas.</w:t>
      </w:r>
    </w:p>
    <w:p w14:paraId="3413FE99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CU-26 Excepción 2 (Fig. 6.63) — Combinación duplicada al editar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verificar unicidad de la nueva combinación nombre+marca+modelo; al encontrar coincidencia, retorna a la vista el mensaje de duplicado sin actualizar el registro.</w:t>
      </w:r>
    </w:p>
    <w:p w14:paraId="7E1AF07F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182043D">
          <v:rect id="_x0000_i1043" alt="" style="width:425.1pt;height:.05pt;mso-width-percent:0;mso-height-percent:0;mso-width-percent:0;mso-height-percent:0" o:hrpct="962" o:hralign="center" o:hrstd="t" o:hr="t" fillcolor="#a0a0a0" stroked="f"/>
        </w:pict>
      </w:r>
    </w:p>
    <w:p w14:paraId="6A892BD3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CU-27 (Fig. 6.64) — Desactivar tipo de equipo del catálogo,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confirmación, cambia el estado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"Inactivo", de modo que deje de aparecer en listas de selección para nuevos registros, conservando registros históricos y unidades existentes,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 la desactivación.</w:t>
      </w:r>
    </w:p>
    <w:p w14:paraId="6701696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CU-27 Excepción 1 (Fig. 6.65) — Intento de eliminación física con unidades registradas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detecta que existe al menos una unidad registrada en cualquier estado para ese tipo; impide la eliminación física y retorna a la vista el mensaje indicando que solo se permite la desactivación lógica.</w:t>
      </w:r>
    </w:p>
    <w:p w14:paraId="3C34847B" w14:textId="77777777" w:rsidR="00BB39AA" w:rsidRPr="00BB39AA" w:rsidRDefault="001907DE" w:rsidP="00BB39A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44F3E7B">
          <v:rect id="_x0000_i1042" alt="" style="width:425.1pt;height:.05pt;mso-width-percent:0;mso-height-percent:0;mso-width-percent:0;mso-height-percent:0" o:hrpct="962" o:hralign="center" o:hrstd="t" o:hr="t" fillcolor="#a0a0a0" stroked="f"/>
        </w:pict>
      </w:r>
    </w:p>
    <w:p w14:paraId="45CB3F25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CU-28 (Fig. 6.66) — Validar número de serie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que recibe el formulario (p. ej.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determinar si requiere NS individual; según el resultado, valida el formato del NS o solicita cantidad y unidad de medida para consumibles.</w:t>
      </w:r>
    </w:p>
    <w:p w14:paraId="21424DD4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CU-28 Excepción 1 (Fig. 6.67) — Formato de NS inválido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valida el NS ingresado contra las reglas de formato (4-30 caracteres alfanuméricos y guiones, sin espacios ni caracteres especiales); al fallar, retorna a la vista el mensaje detallando el formato esperado.</w:t>
      </w:r>
    </w:p>
    <w:p w14:paraId="07B07A43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CU-28 Excepción 2 (Fig. 6.68) — Cantidad inválida para consumible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recibe la cantidad ingresada para un ítem consumible, valida que sea un número entero positivo mayor a cero; al fallar, retorna a la vista el mensaje "La cantidad debe ser un número entero positivo mayor a cero" y no permite continuar.</w:t>
      </w:r>
    </w:p>
    <w:p w14:paraId="456CAC8B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CU-29 (Fig. 6.69) — Adjuntar ficha técnica PDF a tipo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el archivo seleccionado, valida formato y tamaño, almacena el PDF en el servidor, actualiza la referencia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(reemplazando el archivo anterior si existía) y muestra el nombre del archivo junto al botón de descarga en la vista.</w:t>
      </w:r>
    </w:p>
    <w:p w14:paraId="752417FA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CU-29 Excepción 1 (Fig. 6.70) — Archivo inválido o demasiado grande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el archivo, valida formato y tamaño; al detectar que supera 5 MB o no es PDF, rechaza el archivo sin almacenarlo y retorna a la vista el mensaje "El archivo debe estar en formato PDF y no superar los 5 MB".</w:t>
      </w:r>
    </w:p>
    <w:p w14:paraId="04B8B69A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7D55A045">
          <v:rect id="_x0000_i1041" alt="" style="width:425.1pt;height:.05pt;mso-width-percent:0;mso-height-percent:0;mso-width-percent:0;mso-height-percent:0" o:hrpct="962" o:hralign="center" o:hrstd="t" o:hr="t" fillcolor="#a0a0a0" stroked="f"/>
        </w:pict>
      </w:r>
    </w:p>
    <w:p w14:paraId="3D41F143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CU-30 (Fig. 6.71) — Descargar ficha técnica de tipo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verifica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exista un PDF adjunto y, de ser así, sirve el archivo almacenado al cliente para su descarga.</w:t>
      </w:r>
    </w:p>
    <w:p w14:paraId="25D15D7A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CU-30 Excepción 1 (Fig. 6.72) — Sin ficha técnica adjunta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al construir la respuesta de la ficha de detalle, detecta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no hay PDF adjunto y omite el dato correspondiente, por lo que la vista no renderiza el botón de descarga.</w:t>
      </w:r>
    </w:p>
    <w:p w14:paraId="6BFBC565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1B6018D">
          <v:rect id="_x0000_i1040" alt="" style="width:425.1pt;height:.05pt;mso-width-percent:0;mso-height-percent:0;mso-width-percent:0;mso-height-percent:0" o:hrpct="962" o:hralign="center" o:hrstd="t" o:hr="t" fillcolor="#a0a0a0" stroked="f"/>
        </w:pict>
      </w:r>
    </w:p>
    <w:p w14:paraId="34D096BF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CU-31 (Fig. 6.73) — Distinguir naturaleza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que opera sobre inventario (p. ej.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consulta el campo "Requiere número de serie individual"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al inicio de cualquier operación; según su valor, aplica la lógica de gestión por NS único o por cantidad acumulada en formularios, validaciones y reportes.</w:t>
      </w:r>
    </w:p>
    <w:p w14:paraId="4133FC2C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CU-31 Excepción 1 (Fig. 6.74) — Campo de naturaleza no configurado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detecta, vía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el campo "Requiere número de serie individual" no está definido; retorna a la vista un error de configuración e impide operar con ese tipo hasta que se corrija.</w:t>
      </w:r>
    </w:p>
    <w:p w14:paraId="025DF536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48599C45">
          <v:rect id="_x0000_i1039" alt="" style="width:425.1pt;height:.05pt;mso-width-percent:0;mso-height-percent:0;mso-width-percent:0;mso-height-percent:0" o:hrpct="962" o:hralign="center" o:hrstd="t" o:hr="t" fillcolor="#a0a0a0" stroked="f"/>
        </w:pict>
      </w:r>
    </w:p>
    <w:p w14:paraId="6994C832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CU-32 (Fig. 6.75) — Registrar unidad de equipo individualizable,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recibe el formulario (NS, MAC, tipo de equipo, empresa, bodega, proveedor, fecha de adquisición, observaciones), valida los datos mediante el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crea el registro en estado "En bodega" con garantía calculada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del ingreso.</w:t>
      </w:r>
    </w:p>
    <w:p w14:paraId="0BD10D1F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CU-32 Excepción 1 (Fig. 6.76) — NS con formato inválido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 el formato del NS ingresado; al fallar, retorna a la vista el mensaje "El formato del número de serie es inválido" sin crear el registro.</w:t>
      </w:r>
    </w:p>
    <w:p w14:paraId="6DF11867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CU-32 Excepción 2 (Fig. 6.77) — NS duplicado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verificar unicidad del NS entre ambas empresas; al encontrar coincidencia, retorna a la vista el mensaje "El número de serie [NS] ya se encuentra registrado en el sistema".</w:t>
      </w:r>
    </w:p>
    <w:p w14:paraId="554225D2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CU-32 Excepción 3 (Fig. 6.78) — MAC inválida o duplicada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 formato y unicidad de la dirección MAC contra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; al fallar cualquiera de las dos condiciones, retorna a la vista el error específico correspondiente.</w:t>
      </w:r>
    </w:p>
    <w:p w14:paraId="65B1D39C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56F250E">
          <v:rect id="_x0000_i1038" alt="" style="width:425.1pt;height:.05pt;mso-width-percent:0;mso-height-percent:0;mso-width-percent:0;mso-height-percent:0" o:hrpct="962" o:hralign="center" o:hrstd="t" o:hr="t" fillcolor="#a0a0a0" stroked="f"/>
        </w:pict>
      </w:r>
    </w:p>
    <w:p w14:paraId="720FFE35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CU-33 (Fig. 6.79) — Consultar ficha de detalle de unidad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el NS, MAC o selección desde un listado,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(incluyendo datos relacionados de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bodega e historial) y retorna la ficha completa a la vista.</w:t>
      </w:r>
    </w:p>
    <w:p w14:paraId="6A981EBA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CU-33 Excepción 1 (Fig. 6.80) — Número de serie no encontrado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el NS recibido, no encuentra coincidencia y retorna a la vista el mensaje "Número de serie no encontrado".</w:t>
      </w:r>
    </w:p>
    <w:p w14:paraId="68DFBFED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2694B1DD">
          <v:rect id="_x0000_i1037" alt="" style="width:425.1pt;height:.05pt;mso-width-percent:0;mso-height-percent:0;mso-width-percent:0;mso-height-percent:0" o:hrpct="962" o:hralign="center" o:hrstd="t" o:hr="t" fillcolor="#a0a0a0" stroked="f"/>
        </w:pict>
      </w:r>
    </w:p>
    <w:p w14:paraId="6AD2D8B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CU-34 (Fig. 6.81) — Editar datos de unidad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carga el registro desde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recibe los campos editables (observaciones, ubicación física, datos complementarios), valida y persiste los cambios,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 la edición.</w:t>
      </w:r>
    </w:p>
    <w:p w14:paraId="35CFBFDD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CU-34 Excepción 1 (Fig. 6.82) — Validaciones de formato o longitud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los campos modificados, ejecuta las validaciones de formato/longitud y retorna a la vista los errores específicos por campo sin actualizar el registro.</w:t>
      </w:r>
    </w:p>
    <w:p w14:paraId="7E0058B9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3033AC2">
          <v:rect id="_x0000_i1036" alt="" style="width:425.1pt;height:.05pt;mso-width-percent:0;mso-height-percent:0;mso-width-percent:0;mso-height-percent:0" o:hrpct="962" o:hralign="center" o:hrstd="t" o:hr="t" fillcolor="#a0a0a0" stroked="f"/>
        </w:pict>
      </w:r>
    </w:p>
    <w:p w14:paraId="6E58B06F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CU-35 (Fig. 6.83) — Gestionar transiciones de estado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EstadoEquipoController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solicitud de cambio de estado, valida la transición contra la matriz de estados permitidos definida para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y, si es válida, ejecuta el cambio.</w:t>
      </w:r>
    </w:p>
    <w:p w14:paraId="5B757C7F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CU-35 Excepción 1 (Fig. 6.84) — Transición no permitida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El controlador valida la transición solicitada contra la matriz de estados permitidos; al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no estar permitida para el estado actual, retorna a la vista el mensaje "Transición de estado no permitida para este equipo" y no ejecuta el cambio.</w:t>
      </w:r>
    </w:p>
    <w:p w14:paraId="4535FCD0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47780120">
          <v:rect id="_x0000_i1035" alt="" style="width:425.1pt;height:.05pt;mso-width-percent:0;mso-height-percent:0;mso-width-percent:0;mso-height-percent:0" o:hrpct="962" o:hralign="center" o:hrstd="t" o:hr="t" fillcolor="#a0a0a0" stroked="f"/>
        </w:pict>
      </w:r>
    </w:p>
    <w:p w14:paraId="433087E3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CU-36 (Fig. 6.85) — Registrar automáticamente cambio de estado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que ejecutó el cambio de estado (CU-35) recibe la observación opcional y persiste una entrada inmutable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HistorialEstado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fecha/hora, estados anterior y nuevo, usuario, empresa y observación.</w:t>
      </w:r>
    </w:p>
    <w:p w14:paraId="37D9DE84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CU-36 Excepción 1 (Fig. 6.86) — Error al registrar en el historial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 una falla al persistir la entrada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HistorialEstado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reintenta la escritura y notifica si el error persiste.</w:t>
      </w:r>
    </w:p>
    <w:p w14:paraId="3C3A39A2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29644D89">
          <v:rect id="_x0000_i1034" alt="" style="width:425.1pt;height:.05pt;mso-width-percent:0;mso-height-percent:0;mso-width-percent:0;mso-height-percent:0" o:hrpct="962" o:hralign="center" o:hrstd="t" o:hr="t" fillcolor="#a0a0a0" stroked="f"/>
        </w:pict>
      </w:r>
    </w:p>
    <w:p w14:paraId="20C1C0DD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CU-37 (Fig. 6.87) — Consultar historial completo de estados de equipo,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HistorialController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el NS de búsqueda,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HistorialEstado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sin restricción de estado y retorna a la vista la tabla cronológica ordenada del evento más reciente al más antiguo.</w:t>
      </w:r>
    </w:p>
    <w:p w14:paraId="44109CED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CU-37 Excepción 1 (Fig. 6.88) — NS no encontrado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el NS recibido, no encuentra coincidencia y retorna a la vista el mensaje "Número de serie no encontrado".</w:t>
      </w:r>
    </w:p>
    <w:p w14:paraId="4C61043E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521873FB">
          <v:rect id="_x0000_i1033" alt="" style="width:425.1pt;height:.05pt;mso-width-percent:0;mso-height-percent:0;mso-width-percent:0;mso-height-percent:0" o:hrpct="962" o:hralign="center" o:hrstd="t" o:hr="t" fillcolor="#a0a0a0" stroked="f"/>
        </w:pict>
      </w:r>
    </w:p>
    <w:p w14:paraId="40EC97B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CU-38 (Fig. 6.89) — Calcular fecha de vencimiento de garantía,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(o un servicio de garantía invocado por este) obtiene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la fecha de adquisición y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los días de garantía, calcula la fecha de vencimiento y la retorna a la vista en formato DD/MM/YYYY, o "Sin garantía" si la duración es 0.</w:t>
      </w:r>
    </w:p>
    <w:p w14:paraId="4F841A9F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CU-38 Excepción 1 (Fig. 6.90) — Datos insuficientes para el cálculo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 controlador detecta que la fecha de adquisición o la duración de garantía no están disponibles en los modelos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y retorna a la vista "Garantía no calculable" en los campos correspondientes.</w:t>
      </w:r>
    </w:p>
    <w:p w14:paraId="19FE1DE1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09B9768">
          <v:rect id="_x0000_i1032" alt="" style="width:425.1pt;height:.05pt;mso-width-percent:0;mso-height-percent:0;mso-width-percent:0;mso-height-percent:0" o:hrpct="962" o:hralign="center" o:hrstd="t" o:hr="t" fillcolor="#a0a0a0" stroked="f"/>
        </w:pict>
      </w:r>
    </w:p>
    <w:p w14:paraId="44CD0B97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CU-39 (Fig. 6.91) — Mostrar indicador visual de garantía vigente,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resultado del cálculo de garantía (CU-38) al construir la respuesta para la vista; si la fecha actual es anterior o igual al vencimiento, agrega el indicador "En garantía" y, si se intenta cambiar el estado a "Dado de baja" o "En revisión", incluye el aviso correspondiente.</w:t>
      </w:r>
    </w:p>
    <w:p w14:paraId="09428B4E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CU-39 Excepción 1 (Fig. 6.92) — Garantía vencida o nula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detecta, según el resultado del cálculo de garantía, que la 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duración es 0 o que la fecha actual supera el vencimiento, y omite tanto el indicador como el aviso en la respuesta enviada a la vista.</w:t>
      </w:r>
    </w:p>
    <w:p w14:paraId="58E6F4F1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9840FA3">
          <v:rect id="_x0000_i1031" alt="" style="width:425.1pt;height:.05pt;mso-width-percent:0;mso-height-percent:0;mso-width-percent:0;mso-height-percent:0" o:hrpct="962" o:hralign="center" o:hrstd="t" o:hr="t" fillcolor="#a0a0a0" stroked="f"/>
        </w:pict>
      </w:r>
    </w:p>
    <w:p w14:paraId="2F4FB7F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CU-40 (Fig. 6.93) — Registrar diagnóstico técnico al enviar a revisión,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dentro del flujo de cambio de estado a "En revisión" (CU-35/36), recibe la opción de diagnóstico seleccionada de la lista predefinida y la persiste junto al cambio de estado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HistorialEstado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20504BBB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CU-40 Excepción 1 (Fig. 6.94) — Opción "Otro" sin descripción válida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detecta que se seleccionó la opción "Otro" sin una descripción de entre 5 y 200 caracteres; retorna a la vista el mensaje "Debe ingresar una descripción cuando selecciona Otro" y no permite continuar.</w:t>
      </w:r>
    </w:p>
    <w:p w14:paraId="4375FABB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4891B23F">
          <v:rect id="_x0000_i1030" alt="" style="width:425.1pt;height:.05pt;mso-width-percent:0;mso-height-percent:0;mso-width-percent:0;mso-height-percent:0" o:hrpct="962" o:hralign="center" o:hrstd="t" o:hr="t" fillcolor="#a0a0a0" stroked="f"/>
        </w:pict>
      </w:r>
    </w:p>
    <w:p w14:paraId="2020C1CF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CU-41 (Fig. 6.95) — Crear bodega,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el formulario (nombre, empresa propietaria, ubicación, responsable), valida unicidad del nombre dentro de la empresa contra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persiste el registro en estado "Activa"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 la creación.</w:t>
      </w:r>
    </w:p>
    <w:p w14:paraId="23B7EEEE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CU-41 Excepción 1 (Fig. 6.96) — Nombre de bodega duplicado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verificar unicidad del nombre dentro de la misma empresa; al encontrar coincidencia, retorna a la vista el mensaje "Ya existe una bodega con ese nombre en esta empresa" sin crear el registro (el nombre puede coincidir entre empresas distintas).</w:t>
      </w:r>
    </w:p>
    <w:p w14:paraId="6255D3EF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16DFA8F">
          <v:rect id="_x0000_i1029" alt="" style="width:425.1pt;height:.05pt;mso-width-percent:0;mso-height-percent:0;mso-width-percent:0;mso-height-percent:0" o:hrpct="962" o:hralign="center" o:hrstd="t" o:hr="t" fillcolor="#a0a0a0" stroked="f"/>
        </w:pict>
      </w:r>
    </w:p>
    <w:p w14:paraId="11B06FDD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CU-42 (Fig. 6.97) — Editar bodega,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carga el registro existente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recibe los campos modificados (nombre, ubicación, responsable), valida y persiste los cambios,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 la edición.</w:t>
      </w:r>
    </w:p>
    <w:p w14:paraId="38C02450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CU-42 Excepción 1 (Fig. 6.98) — Nombre duplicado al editar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verificar unicidad del nuevo nombre dentro de la misma empresa; al encontrar coincidencia con otra bodega, retorna a la vista el mensaje "Ya existe una bodega con ese nombre en esta empresa".</w:t>
      </w:r>
    </w:p>
    <w:p w14:paraId="3E3DDF4A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3B82D2A">
          <v:rect id="_x0000_i1028" alt="" style="width:425.1pt;height:.05pt;mso-width-percent:0;mso-height-percent:0;mso-width-percent:0;mso-height-percent:0" o:hrpct="962" o:hralign="center" o:hrstd="t" o:hr="t" fillcolor="#a0a0a0" stroked="f"/>
        </w:pict>
      </w:r>
    </w:p>
    <w:p w14:paraId="66ABE5A2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CU-43 (Fig. 6.99) — Desactivar bodega,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confirmación, verifica en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no sea la única bodega activa de la empresa, cambia el estado a "Inactiva", la remueve de los selectores de nuevas operaciones y delega al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LogAuditoriaController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registro del evento.</w:t>
      </w:r>
    </w:p>
    <w:p w14:paraId="6B956A31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CU-43 Excepción 1 (Fig. 6.100) — Última bodega activa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detecta que es la única bodega activa de la empresa; impide la desactivación y retorna a la vista el mensaje "No es posible desactivar la última bodega activa de la empresa".</w:t>
      </w:r>
    </w:p>
    <w:p w14:paraId="5E17BAAE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23C30DD">
          <v:rect id="_x0000_i1027" alt="" style="width:425.1pt;height:.05pt;mso-width-percent:0;mso-height-percent:0;mso-width-percent:0;mso-height-percent:0" o:hrpct="962" o:hralign="center" o:hrstd="t" o:hr="t" fillcolor="#a0a0a0" stroked="f"/>
        </w:pict>
      </w:r>
    </w:p>
    <w:p w14:paraId="4F61A02B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CU-44 (Fig. 6.101) — Consultar listado de bodegas,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los filtros (estado, nombre) desde la vista, consulta 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filtrado por la empresa del actor y retorna el listado con nombre, responsable, estado y resumen de stock.</w:t>
      </w:r>
    </w:p>
    <w:p w14:paraId="6F4A6E3B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CU-44 Excepción 1 (Fig. 6.102) — Sin resultados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ejecuta la consulta filtrada, recibe un conjunto vacío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retorna a la vista el listado vacío con el mensaje "No se encontraron bodegas con los filtros seleccionados".</w:t>
      </w:r>
    </w:p>
    <w:p w14:paraId="1573BAC2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4D80A17">
          <v:rect id="_x0000_i1026" alt="" style="width:425.1pt;height:.05pt;mso-width-percent:0;mso-height-percent:0;mso-width-percent:0;mso-height-percent:0" o:hrpct="962" o:hralign="center" o:hrstd="t" o:hr="t" fillcolor="#a0a0a0" stroked="f"/>
        </w:pict>
      </w:r>
    </w:p>
    <w:p w14:paraId="13D0588E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CU-45 (Fig. 6.103) — Consultar stock de bodega,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StockController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bodega seleccionada, agrega datos del modelo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UnidadEquipo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(cantidades por estado para equipos individualizables) y de movimientos de consumibles (ingresos − egresos), y retorna los totales por tipo de equipo a la vista.</w:t>
      </w:r>
    </w:p>
    <w:p w14:paraId="3AE1FC47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CU-45 Excepción 1 (Fig. 6.104) — Bodega sin equipos registrados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BodegaController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StockController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 los modelos correspondientes, recibe un conjunto vacío para la bodega seleccionada y retorna a la vista todos los contadores en cero.</w:t>
      </w:r>
    </w:p>
    <w:p w14:paraId="0A980E95" w14:textId="77777777" w:rsidR="00BB39AA" w:rsidRPr="00BB39AA" w:rsidRDefault="001907DE" w:rsidP="00BB39AA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907DE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D98AEF1">
          <v:rect id="_x0000_i1025" alt="" style="width:425.1pt;height:.05pt;mso-width-percent:0;mso-height-percent:0;mso-width-percent:0;mso-height-percent:0" o:hrpct="962" o:hralign="center" o:hrstd="t" o:hr="t" fillcolor="#a0a0a0" stroked="f"/>
        </w:pict>
      </w:r>
    </w:p>
    <w:p w14:paraId="067414FE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CU-46 (Fig. 6.105) — Configurar umbral de stock mínimo, flujo normal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StockController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recibe la combinación tipo de equipo/bodega y el nuevo umbral, valida el rango, persiste el valor en el modelo correspondiente (p. ej.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UmbralStock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y, si el stock actual ya está por debajo del umbral, genera inmediatamente una alerta consultando el modelo de stock.</w:t>
      </w:r>
    </w:p>
    <w:p w14:paraId="2E5603DB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CU-46 Excepción 1 (Fig. 6.106) — Umbral fuera de rango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El </w:t>
      </w:r>
      <w:r w:rsidRPr="00BB39A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StockController</w:t>
      </w:r>
      <w:r w:rsidRPr="00BB39A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 que el valor ingresado sea un número entero entre 0 y 9999; al fallar, retorna a la vista el mensaje "El umbral debe ser un número entero entre 0 y 9999" sin persistir el cambio.</w:t>
      </w:r>
    </w:p>
    <w:p w14:paraId="1483E1A2" w14:textId="77777777" w:rsidR="00BB39AA" w:rsidRPr="00BB39AA" w:rsidRDefault="00BB39AA" w:rsidP="00BB39A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3A4DDF44" w14:textId="77777777" w:rsidR="00DA7250" w:rsidRPr="00BB39AA" w:rsidRDefault="00DA7250" w:rsidP="00BB39AA"/>
    <w:sectPr w:rsidR="00DA7250" w:rsidRPr="00BB3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AA"/>
    <w:rsid w:val="0015424F"/>
    <w:rsid w:val="001907DE"/>
    <w:rsid w:val="00345656"/>
    <w:rsid w:val="003A7378"/>
    <w:rsid w:val="007206D0"/>
    <w:rsid w:val="0073306E"/>
    <w:rsid w:val="00A33C2B"/>
    <w:rsid w:val="00BB39AA"/>
    <w:rsid w:val="00C423BA"/>
    <w:rsid w:val="00DA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1B52"/>
  <w15:chartTrackingRefBased/>
  <w15:docId w15:val="{5881B554-B167-2C4A-AAF5-A2179712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9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9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9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9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9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9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9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9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9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9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9A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B39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BB39AA"/>
  </w:style>
  <w:style w:type="character" w:styleId="CdigoHTML">
    <w:name w:val="HTML Code"/>
    <w:basedOn w:val="Fuentedeprrafopredeter"/>
    <w:uiPriority w:val="99"/>
    <w:semiHidden/>
    <w:unhideWhenUsed/>
    <w:rsid w:val="00BB39AA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Fuentedeprrafopredeter"/>
    <w:rsid w:val="00BB39AA"/>
  </w:style>
  <w:style w:type="character" w:customStyle="1" w:styleId="inline-flex">
    <w:name w:val="inline-flex"/>
    <w:basedOn w:val="Fuentedeprrafopredeter"/>
    <w:rsid w:val="00BB39AA"/>
  </w:style>
  <w:style w:type="character" w:customStyle="1" w:styleId="transition-all">
    <w:name w:val="transition-all"/>
    <w:basedOn w:val="Fuentedeprrafopredeter"/>
    <w:rsid w:val="00BB3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4248</Words>
  <Characters>23365</Characters>
  <Application>Microsoft Office Word</Application>
  <DocSecurity>0</DocSecurity>
  <Lines>194</Lines>
  <Paragraphs>55</Paragraphs>
  <ScaleCrop>false</ScaleCrop>
  <Company/>
  <LinksUpToDate>false</LinksUpToDate>
  <CharactersWithSpaces>27558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yañez</dc:creator>
  <cp:keywords/>
  <dc:description/>
  <cp:lastModifiedBy>rocio yañez</cp:lastModifiedBy>
  <cp:revision>1</cp:revision>
  <dcterms:created xsi:type="dcterms:W3CDTF">2026-06-14T17:13:00Z</dcterms:created>
  <dcterms:modified xsi:type="dcterms:W3CDTF">2026-06-15T00:02:00Z</dcterms:modified>
</cp:coreProperties>
</file>