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Auditoría de Diagramas de Secuencia</w:t>
      </w:r>
    </w:p>
    <w:p>
      <w:pPr>
        <w:spacing w:after="120"/>
      </w:pPr>
      <w:r>
        <w:rPr>
          <w:i/>
          <w:iCs/>
          <w:color w:val="555555"/>
        </w:rPr>
        <w:t xml:space="preserve">Proyecto: Sistema de Inventario y Bodega (Finet / Cable Mágico) — Carpeta: diagramas-secuencia (CU-01 a CU-46, 106 archivos .puml/.png)</w:t>
      </w:r>
    </w:p>
    <w:p>
      <w:pPr>
        <w:spacing w:after="120"/>
      </w:pPr>
      <w:r>
        <w:rPr>
          <w:i/>
          <w:iCs/>
          <w:color w:val="555555"/>
        </w:rPr>
        <w:t xml:space="preserve">Referencia utilizada: diagramas .drawio ya auditados y aprobados de otro proyecto (capas Actor → Vista (V_) → Validador → Controlador/Servicio (C_) → ORM → Entidad, mensajes trazables, retorno final al actor).</w:t>
      </w:r>
    </w:p>
    <w:p>
      <w:pPr>
        <w:pStyle w:val="Heading1"/>
        <w:spacing w:after="120" w:before="240"/>
      </w:pPr>
      <w:r>
        <w:t xml:space="preserve">1. Metodología</w:t>
      </w:r>
    </w:p>
    <w:p>
      <w:pPr>
        <w:spacing w:after="120"/>
      </w:pPr>
      <w:r>
        <w:t xml:space="preserve">Se revisaron los 106 archivos fuente (.puml) — no solo el render PNG — porque el código PlantUML permite verificar de forma exacta: balance de activate/deactivate, nomenclatura de capas, existencia de retorno al actor, y consistencia de contenido entre el nombre del archivo, el título y los mensajes. Se aplicaron validaciones automatizadas sobre el 100% de los archivos y una revisión manual dirigida a los casos marcados por las validaciones y a los flujos de excepción de mayor riesgo (validaciones, duplicados, permisos).</w:t>
      </w:r>
    </w:p>
    <w:p>
      <w:pPr>
        <w:pStyle w:val="Heading1"/>
        <w:spacing w:after="120" w:before="240"/>
      </w:pPr>
      <w:r>
        <w:t xml:space="preserve">2. Resultado general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00"/>
      </w:tblGrid>
      <w:tr>
        <w:trPr>
          <w:tblHeader/>
        </w:trPr>
        <w:tc>
          <w:tcPr>
            <w:tcW w:type="dxa" w:w="7500"/>
            <w:shd w:fill="1F3B2C" w:color="auto" w:val="clear"/>
          </w:tcPr>
          <w:p>
            <w:r>
              <w:rPr>
                <w:b/>
                <w:bCs/>
                <w:color w:val="FFFFFF"/>
              </w:rPr>
              <w:t xml:space="preserve">Chequeo estructural (automatizado sobre 106 archivos)</w:t>
            </w:r>
          </w:p>
        </w:tc>
        <w:tc>
          <w:tcPr>
            <w:tcW w:type="dxa" w:w="2500"/>
            <w:shd w:fill="1F3B2C" w:color="auto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@startuml / @enduml presentes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106/106 OK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activate/deactivate balanceados (global y por participante)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106/106 OK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'hide footbox' presente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106/106 OK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Actor humano declarado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106/106 OK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El diagrama devuelve el control al actor o a la vista al final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106/106 OK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Nomenclatura de capas (V_ vista, C_ controlador/servicio, entidad en snake_case)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106/106 OK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Título coherente con el número de CU del archivo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106/106 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Conclusión: la base técnica del conjunto es sólida y sigue el mismo patrón de capas que los diagramas ya aprobados de referencia. Los problemas encontrados son puntuales de contenido/consistencia, no de estructura UML.</w:t>
      </w:r>
    </w:p>
    <w:p>
      <w:pPr>
        <w:pStyle w:val="Heading1"/>
        <w:spacing w:after="120" w:before="240"/>
      </w:pPr>
      <w:r>
        <w:t xml:space="preserve">3. Errores de contenido a corregir</w:t>
      </w:r>
    </w:p>
    <w:p>
      <w:pPr>
        <w:pStyle w:val="Heading2"/>
        <w:spacing w:after="120" w:before="240"/>
      </w:pPr>
      <w:r>
        <w:t xml:space="preserve">3.1 CU-01 — Iniciando sesión (archivo: CU01-exc-formato-invalido.puml)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B00020"/>
        </w:rPr>
        <w:t xml:space="preserve">Problema: el mensaje final que ve el usuario es "Usuario o contraseña incorrectos.", exactamente el mismo texto que CU01-exc-credenciales-invalidas.puml. Son dos excepciones distintas (formato inválido vs. credenciales incorrectas) y no pueden compartir el mismo mensaje de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Además, a diferencia de CU06-exc-formato-invalido.puml y CU34-exc-formato-invalido.puml (que sí rotulan el mensaje como "ValidationPipe: errores de formato"), este archivo no deja evidencia de qué componente detecta el formato inválido; simplemente salta de la vista al controlador y retorna 400.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E7D4F"/>
        </w:rPr>
        <w:t xml:space="preserve">Corrección sugerida: cambiar el mensaje devuelto a algo como "Formato de usuario o contraseña inválido. Revise los campos." y etiquetar el mensaje ctrl --&gt; view como "400 Bad Request — ValidationPipe: errores de formato", igual que en CU06 y CU34.</w:t>
      </w:r>
    </w:p>
    <w:p>
      <w:pPr>
        <w:pStyle w:val="Heading2"/>
        <w:spacing w:after="120" w:before="240"/>
      </w:pPr>
      <w:r>
        <w:t xml:space="preserve">3.2 CU-27 — Desactivando tipo de equipo del catálogo (archivo: CU27-exc-tiene-unidades.puml)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B00020"/>
        </w:rPr>
        <w:t xml:space="preserve">Problema: el nombre del archivo indica el escenario "tiene unidades asociadas" (análogo a CU-43 "última bodega activa" o CU-19 "pertenece a otra empresa": una regla de negocio que impide desactivar), pero el contenido real documenta un escenario distinto: "tipo de equipo no encontrado" (404). El caso de negocio "no se puede desactivar un tipo con unidades asociadas" no queda documentado en ningún archivo del CU-27.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E7D4F"/>
        </w:rPr>
        <w:t xml:space="preserve">Corrección sugerida: reconstruir el diagrama para reflejar la validación real (el servicio debe consultar unidad_equipo por id_tipo_equipo y, si existen registros, lanzar ConflictException "No se puede desactivar un tipo de equipo con unidades registradas"), o si el caso "no encontrado" es el que realmente falta documentar, renombrar el archivo/título para que coincidan (p. ej. CU27-exc-tipo-no-encontrado.puml).</w:t>
      </w:r>
    </w:p>
    <w:p>
      <w:pPr>
        <w:pStyle w:val="Heading1"/>
        <w:spacing w:after="120" w:before="240"/>
      </w:pPr>
      <w:r>
        <w:t xml:space="preserve">4. Observación transversal: participantes declarados sin uso</w:t>
      </w:r>
    </w:p>
    <w:p>
      <w:pPr>
        <w:spacing w:after="120"/>
      </w:pPr>
      <w:r>
        <w:t xml:space="preserve">En 40 de los 106 archivos (mayoritariamente diagramas de excepción) se declaran participantes (capas C_AuditoriaService, C_TypeORM, entidades, etc.) que luego no aparecen en ningún mensaje del flujo. En la mayoría de los casos esto es coherente con el diseño (la excepción corta el flujo antes de llegar a esa capa, p. ej. una validación de campos nunca llega a la base de datos), por lo que no es un error de lógica. Sin embargo, deja lifelines "colgados" en el diagrama renderizado, lo que resta prolijidad visual y puede leerse como una figura sin depurar copiada del flujo normal.</w:t>
      </w:r>
    </w:p>
    <w:p>
      <w:pPr>
        <w:spacing w:after="120"/>
      </w:pPr>
      <w:r>
        <w:t xml:space="preserve">Recomendación: si se mantiene el mismo elenco de participantes en todos los diagramas de un CU por consistencia visual entre el flujo normal y sus excepciones, dejarlo así está bien — pero conviene mencionarlo una vez en el texto que introduce las figuras del capítulo. Si se prefiere el criterio UML estricto, eliminar del `participant`/`actor` los que no intervienen en cada archivo específico.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4000"/>
      </w:tblGrid>
      <w:tr>
        <w:trPr>
          <w:tblHeader/>
        </w:trPr>
        <w:tc>
          <w:tcPr>
            <w:tcW w:type="dxa" w:w="1400"/>
            <w:shd w:fill="1F3B2C" w:color="auto" w:val="clear"/>
          </w:tcPr>
          <w:p>
            <w:r>
              <w:rPr>
                <w:b/>
                <w:bCs/>
                <w:color w:val="FFFFFF"/>
              </w:rPr>
              <w:t xml:space="preserve">CU</w:t>
            </w:r>
          </w:p>
        </w:tc>
        <w:tc>
          <w:tcPr>
            <w:tcW w:type="dxa" w:w="4600"/>
            <w:shd w:fill="1F3B2C" w:color="auto" w:val="clear"/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4000"/>
            <w:shd w:fill="1F3B2C" w:color="auto" w:val="clear"/>
          </w:tcPr>
          <w:p>
            <w:r>
              <w:rPr>
                <w:b/>
                <w:bCs/>
                <w:color w:val="FFFFFF"/>
              </w:rPr>
              <w:t xml:space="preserve">Participantes declarados sin uso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CU01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CU01-exc-credenciales-invalidas.puml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CU01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CU01-exc-cuenta-bloqueada.puml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CU01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CU01-exc-formato-invalido.puml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svc, aud, orm, uent,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CU02-exc-acceso-denegado.puml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ctrl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CU03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CU03-exc-recurso-no-autorizado.puml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ctrl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CU04-exc-formato-invalido.puml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svc, aud, orm, uent,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CU04-exc-nombre-duplicado.puml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CU04-exc-rol-superusuario-denegado.puml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orm, uent,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CU06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CU06-exc-formato-invalido.puml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svc, aud, orm, uent,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CU06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CU06-exc-rol-superusuario-denegado.puml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CU07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CU07-exc-propia-cuenta.puml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orm, uent,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CU10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CU10-exc-usuario-inactivo.puml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CU12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CU12-exc-cancelacion.puml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ctrl, svc, aud, orm,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CU13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CU13-exc-sin-empresa.puml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CU14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CU14-exc-sin-empresa.puml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CU16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CU16-exc-acceso-otra-empresa.puml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svc, orm, 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CU17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CU17-exc-empresa-manipulada.puml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roles, ctrl, svc, orm, 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CU19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CU19-exc-registro-otra-empresa.puml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uent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CU20-exc-campos-invalidos.puml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orm, uent, tent, ment,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CU20-exc-sin-unidades.puml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orm, uent, tent, ment,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CU20-exc-unidad-invalida.puml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tent, ment,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CU21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CU21-exc-unidad-cambio-estado.puml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CU22-exc-motivo-largo.puml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orm, ment,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CU22-exc-sin-motivo.puml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orm, ment,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CU24-exc-campos-invalidos.puml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orm, 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CU24-exc-consumible-sin-unidad.puml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orm, 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CU26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CU26-exc-nombre-duplicado.puml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uent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CU27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CU27-exc-tiene-unidades.puml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uent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CU29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CU29-exc-archivo-invalido.puml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svc, orm, 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CU32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CU32-exc-mac-invalida.puml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cat, 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CU32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CU32-exc-serie-invalida.puml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uent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CU33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CU33-exc-unidad-no-encontrada.puml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CU34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CU34-exc-formato-invalido.puml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orm, 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CU35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CU35-exc-transicion-invalida.puml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hent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CU40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CU40-exc-diagnostico-sin-descripcion.puml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hent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CU41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CU41-exc-nombre-duplicado.puml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CU42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CU42-exc-nombre-duplicado.puml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CU43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CU43-exc-ultima-bodega.puml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aud, aent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CU44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CU44-exc-sin-resultados.puml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aent, uent, scent, ueent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CU45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CU45-exc-bodega-sin-equipos.puml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uent, scent, 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CU45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CU45-normal.puml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tent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CU46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CU46-exc-umbral-invalido.puml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svc, aud, orm, bent, tent, scent, aent</w:t>
            </w:r>
          </w:p>
        </w:tc>
      </w:tr>
    </w:tbl>
    <w:p>
      <w:pPr>
        <w:pStyle w:val="Heading1"/>
        <w:spacing w:after="120" w:before="240"/>
      </w:pPr>
      <w:r>
        <w:t xml:space="preserve">5. Consistencia de formato entre figuras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detectaron 3 variantes de encabezado skinparam entre los 106 archivos: (a) con bloque &lt;style&gt; sequenceDiagram {...} completo, (b) con skinparam ParticipantPadding/ActorPadding además del bloque &lt;style&gt;, y (c) una versión reducida solo con skinparam sequence {...} sin el bloque &lt;style&gt;. El resultado visual (márgenes, separación entre lifelines) no es idéntico entre figuras del mismo informe.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E7D4F"/>
        </w:rPr>
        <w:t xml:space="preserve">Recomendación: unificar un único encabezado skinparam para los 106 archivos antes de exportar las imágenes finales, de modo que todas las figuras del documento 4+1 tengan la misma diagramación (tamaño de fuente, márgenes, separación), cumpliendo el criterio de formalidad y homogeneidad exigido por la rúbrica.</w:t>
      </w:r>
    </w:p>
    <w:p>
      <w:pPr>
        <w:pStyle w:val="Heading1"/>
        <w:spacing w:after="120" w:before="240"/>
      </w:pPr>
      <w:r>
        <w:t xml:space="preserve">6. Recomendación de estilo (no bloqueante)</w:t>
      </w:r>
    </w:p>
    <w:p>
      <w:pPr>
        <w:spacing w:after="120"/>
      </w:pPr>
      <w:r>
        <w:t xml:space="preserve">El set de diagramas ya auditado y aprobado que se usó como referencia numera cada mensaje en el propio texto ("1. Ingresa RUT...", "2. Valida..."). Los 106 archivos de este grupo no numeran los pasos: PlantUML transmite el orden por la disposición vertical, pero la rúbrica exige que "toda figura debe ser invocada y explicada desde el texto" — la numeración explícita facilita enormemente redactar esa explicación en el cuerpo del informe y referenciar pasos puntuales. Se sugiere anteponer el número de paso a cada mensaje antes de la entrega final.</w:t>
      </w:r>
    </w:p>
    <w:p>
      <w:pPr>
        <w:pStyle w:val="Heading1"/>
        <w:spacing w:after="120" w:before="240"/>
      </w:pPr>
      <w:r>
        <w:t xml:space="preserve">7. Resumen ejecutivo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00"/>
      </w:tblGrid>
      <w:tr>
        <w:trPr>
          <w:tblHeader/>
        </w:trPr>
        <w:tc>
          <w:tcPr>
            <w:tcW w:type="dxa" w:w="5000"/>
            <w:shd w:fill="1F3B2C" w:color="auto" w:val="clear"/>
          </w:tcPr>
          <w:p>
            <w:r>
              <w:rPr>
                <w:b/>
                <w:bCs/>
                <w:color w:val="FFFFFF"/>
              </w:rPr>
              <w:t xml:space="preserve">Ítem</w:t>
            </w:r>
          </w:p>
        </w:tc>
        <w:tc>
          <w:tcPr>
            <w:tcW w:type="dxa" w:w="2500"/>
            <w:shd w:fill="1F3B2C" w:color="auto" w:val="clear"/>
          </w:tcPr>
          <w:p>
            <w:r>
              <w:rPr>
                <w:b/>
                <w:bCs/>
                <w:color w:val="FFFFFF"/>
              </w:rPr>
              <w:t xml:space="preserve">Cantidad</w:t>
            </w:r>
          </w:p>
        </w:tc>
        <w:tc>
          <w:tcPr>
            <w:tcW w:type="dxa" w:w="2500"/>
            <w:shd w:fill="1F3B2C" w:color="auto" w:val="clear"/>
          </w:tcPr>
          <w:p>
            <w:r>
              <w:rPr>
                <w:b/>
                <w:bCs/>
                <w:color w:val="FFFFFF"/>
              </w:rPr>
              <w:t xml:space="preserve">Severidad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Archivos revisados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Errores de contenido/consistencia (bloqueantes)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 (CU-01, CU-27)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Participantes sin uso (prolijidad, no bloqueante)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40 archivos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Inconsistencia de formato skinparam entre figuras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 hallazgo transversal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Falta de numeración de pasos (recomendación de estilo)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106 archivos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2026-08-07T22:05:33.125Z</dcterms:created>
  <dcterms:modified xsi:type="dcterms:W3CDTF">2026-08-07T22:05:33.126Z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