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Stopping a Reach in VR: Measuring the Warning Time Required for Vibrotactile Collision Avoidance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RELATED </w:t>
      </w:r>
      <w:commentRangeStart w:id="0"/>
      <w:r w:rsidDel="00000000" w:rsidR="00000000" w:rsidRPr="00000000">
        <w:rPr>
          <w:rtl w:val="0"/>
        </w:rPr>
        <w:t xml:space="preserve">WORK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2.1 Physical Safety in Immersive Environments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Protecting a user who cannot see the room around them is a long-standing concern in mixed and virtual reality, and the field's answers have been overwhelmingly spatial. Boundary systems delimit a safe region and render it as the user approaches: the magic barrier tape metaphor established the pattern [Cirio 2009], and guardian and chaperone implementations have since made it ubiquitous. Wu et al. [Wu 2023] showed that how such a boundary is presented </w:t>
      </w:r>
      <w:commentRangeStart w:id="1"/>
      <w:r w:rsidDel="00000000" w:rsidR="00000000" w:rsidRPr="00000000">
        <w:rPr>
          <w:rtl w:val="0"/>
        </w:rPr>
        <w:t xml:space="preserve">materially </w:t>
      </w:r>
      <w:commentRangeEnd w:id="1"/>
      <w:r w:rsidDel="00000000" w:rsidR="00000000" w:rsidRPr="00000000">
        <w:commentReference w:id="1"/>
      </w:r>
      <w:r w:rsidDel="00000000" w:rsidR="00000000" w:rsidRPr="00000000">
        <w:rPr>
          <w:rtl w:val="0"/>
        </w:rPr>
        <w:t xml:space="preserve">changes whether users stay inside it. </w:t>
      </w:r>
      <w:commentRangeStart w:id="2"/>
      <w:r w:rsidDel="00000000" w:rsidR="00000000" w:rsidRPr="00000000">
        <w:rPr>
          <w:rtl w:val="0"/>
        </w:rPr>
        <w:t xml:space="preserve">A parallel line reshapes the mapping between virtual and physical space so that collisions become less likely in the first place, through redirected walking and resetting </w:t>
      </w:r>
      <w:commentRangeEnd w:id="2"/>
      <w:r w:rsidDel="00000000" w:rsidR="00000000" w:rsidRPr="00000000">
        <w:commentReference w:id="2"/>
      </w:r>
      <w:r w:rsidDel="00000000" w:rsidR="00000000" w:rsidRPr="00000000">
        <w:rPr>
          <w:rtl w:val="0"/>
        </w:rPr>
        <w:t xml:space="preserve">[Kim 2023, Langbehn 2018], or aligns the virtual scene to real furniture so that physical objects acquire virtual counterparts [Simeone 2015].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second family detects obstacles and displays them, using peripheral vision [Kim 2024], stylized overlays [Kim 2021], field-of-view modification [Wu 2019], or mixed-reality insets [Valentini 2020, Kanamori 2018]. Related work addresses co-located multi-user collisions [Bachmann 2013, Sra 2016] and notification for obstacles that are detected but not rendered [Wozniak 2018].</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commentRangeStart w:id="3"/>
      <w:r w:rsidDel="00000000" w:rsidR="00000000" w:rsidRPr="00000000">
        <w:rPr>
          <w:rtl w:val="0"/>
        </w:rPr>
        <w:t xml:space="preserve">These approaches share an assumption that is rarely made explicit:</w:t>
      </w:r>
      <w:commentRangeEnd w:id="3"/>
      <w:r w:rsidDel="00000000" w:rsidR="00000000" w:rsidRPr="00000000">
        <w:commentReference w:id="3"/>
      </w:r>
      <w:r w:rsidDel="00000000" w:rsidR="00000000" w:rsidRPr="00000000">
        <w:rPr>
          <w:rtl w:val="0"/>
        </w:rPr>
        <w:t xml:space="preserve"> that the difficulty is informing the user. Once the boundary is drawn or the obstacle is rendered, the design problem is treated as solved. Whether the information arrives in time for the user's body to act on it has not been posed as an empirical question.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2.2 Vibrotactile Cues for Collision Signalling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Vibrotactile feedback is an established channel for collision information in VR, and its use on the body predates most of the visual work above. Bloomfield and Badler [Bloomfield 2007] drove a tactor sleeve from a real-time human model so that vibration reached the arm segment contacting a virtual object, and found that arm-localized vibrotactile feedback outperformed visual feedback alone. Subsequent work has explored the design space of the cue itself: patterns encoding obstacle distance [Kim 2015], pattern comparison for early-warning vests [Samsel 2025], proximity modes in robot teleoperation [deBarros 2012], and belts signalling the direction of lower-body obstacles [Abdlkarim 2026]. In driving, tactile and multisensory spatial warnings are well studied [Spence 2008], including apparent-motion patterns conveying collision direction [Ahtamad 2016]. Most recently, Ahmed [Ahmed 2025] has proposed selecting among collision-warning modalities according to context in dual-task settings.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closest work to ours is Bajpai et al. [Bajpai 2020], who compared tactile, auditory, and visual cues while participants physically evaded objects moving toward them in VR. The scenario is inverted relative to ours: their threat moves toward a stationary person, whereas our person moves toward a stationary hazard. Theirs is a reaction-time-limited initiation of an evasive movement; ours is the arrest of a movement already planned and underway. More importantly, all of this work manipulates what the cue is — its modality, pattern, placement or spatial coding — or whether it is present at all. None manipulates when it arrives.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2.3 Warning Timing in Applied Human Factors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Warning timing has been studied systematically in driving. Abe and Richardson examined how forward-collision alarm timing shapes braking and, more strongly, trust: drivers exposed to late alarms became reluctant to respond to subsequent ones [Abe 2004, Abe 2005, Abe 2006]. Zhang and Wu [Zhang 2018] crossed warning lead time with reliability and style, finding that command warnings outperformed notifications at a 2.5 s lead but not at 4.5 s — the closest existing manipulation of warning lead time we are aware of, and the direct precedent for our lead time × tempo interaction. Aksan et al. [Aksan 2016] related a standardized battery of visual, motor and cognitive measures to pedal behaviour at alarm onset, finding that slower processing speed was associated with drivers still accelerating when the warning fired. A further line personalizes warning timing to the individual [Xie 2024, Shao 2023].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Three differences separate this literature from the present problem. It operates at 2–5 s time-to-collision, an order of magnitude longer than the window in which a reach can be </w:t>
      </w:r>
      <w:commentRangeStart w:id="4"/>
      <w:r w:rsidDel="00000000" w:rsidR="00000000" w:rsidRPr="00000000">
        <w:rPr>
          <w:rtl w:val="0"/>
        </w:rPr>
        <w:t xml:space="preserve">arrested</w:t>
      </w:r>
      <w:commentRangeEnd w:id="4"/>
      <w:r w:rsidDel="00000000" w:rsidR="00000000" w:rsidRPr="00000000">
        <w:commentReference w:id="4"/>
      </w:r>
      <w:r w:rsidDel="00000000" w:rsidR="00000000" w:rsidRPr="00000000">
        <w:rPr>
          <w:rtl w:val="0"/>
        </w:rPr>
        <w:t xml:space="preserve">. It concerns a discrete, highly practised, single-degree-of-freedom pedal response rather than a limb in flight competing with an ongoing motor plan. </w:t>
      </w:r>
      <w:commentRangeStart w:id="5"/>
      <w:r w:rsidDel="00000000" w:rsidR="00000000" w:rsidRPr="00000000">
        <w:rPr>
          <w:rtl w:val="0"/>
        </w:rPr>
        <w:t xml:space="preserve">And it compares a small number of timing levels rather than estimating a threshold: Zhang and Wu used two, and Aksan et al. a single fixed alarm tim</w:t>
      </w:r>
      <w:commentRangeEnd w:id="5"/>
      <w:r w:rsidDel="00000000" w:rsidR="00000000" w:rsidRPr="00000000">
        <w:commentReference w:id="5"/>
      </w:r>
      <w:r w:rsidDel="00000000" w:rsidR="00000000" w:rsidRPr="00000000">
        <w:rPr>
          <w:rtl w:val="0"/>
        </w:rPr>
        <w:t xml:space="preserve">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2.4 Arresting an Ongoing Movement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commentRangeStart w:id="6"/>
      <w:r w:rsidDel="00000000" w:rsidR="00000000" w:rsidRPr="00000000">
        <w:rPr>
          <w:rtl w:val="0"/>
        </w:rPr>
        <w:t xml:space="preserve">The motor-control literature supplies both the mechanism and the measurement conventions</w:t>
      </w:r>
      <w:commentRangeEnd w:id="6"/>
      <w:r w:rsidDel="00000000" w:rsidR="00000000" w:rsidRPr="00000000">
        <w:commentReference w:id="6"/>
      </w:r>
      <w:r w:rsidDel="00000000" w:rsidR="00000000" w:rsidRPr="00000000">
        <w:rPr>
          <w:rtl w:val="0"/>
        </w:rPr>
        <w:t xml:space="preserve">. The stop-signal paradigm provides a standard framework for studying the cancellation of a prepared action, together with instruction requirements known to affect the estimate [Verbruggen 2019]. Atsma et al. [Atsma 2018] showed that active braking of whole-arm reaching produces single-trial neuromuscular signatures of cancellation, establishing that arresting a reach in flight is a measurable motor event rather than a diffuse construct, and inhibitory control appears to be shared across finger, wrist and arm effectors [Brunamonti 2012]. Friehs et al. [Friehs 2024] report that tactile stop-signals produce better reactive inhibition than visual ones and that signal location matters, making a vibrotactile warning on the at-risk limb a principled rather than a convenient choice. W</w:t>
      </w:r>
      <w:commentRangeStart w:id="7"/>
      <w:r w:rsidDel="00000000" w:rsidR="00000000" w:rsidRPr="00000000">
        <w:rPr>
          <w:rtl w:val="0"/>
        </w:rPr>
        <w:t xml:space="preserve">hat this literature does not provide is a warning threshold: it establishes how quickly a prepared action can be cancelled when cancellation is the only task, not how much advance notice a person needs while a competing goal remains active.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2.5 Safety Standards and the Missing Number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w:t>
      </w:r>
      <w:commentRangeStart w:id="8"/>
      <w:r w:rsidDel="00000000" w:rsidR="00000000" w:rsidRPr="00000000">
        <w:rPr>
          <w:rtl w:val="0"/>
        </w:rPr>
        <w:t xml:space="preserve">achine safety already encodes a version of our question.</w:t>
      </w:r>
      <w:commentRangeEnd w:id="8"/>
      <w:r w:rsidDel="00000000" w:rsidR="00000000" w:rsidRPr="00000000">
        <w:commentReference w:id="8"/>
      </w:r>
      <w:r w:rsidDel="00000000" w:rsidR="00000000" w:rsidRPr="00000000">
        <w:rPr>
          <w:rtl w:val="0"/>
        </w:rPr>
        <w:t xml:space="preserve"> ISO 13855 [ISO13855] positions safeguards using S = K(t₁ + t₂) + C, where K = 2000 mm/s is a constant for hand approach speed and t₁ a human reaction-time term. The formula yields a distance rather than an avoidance probability, treats approach speed as a worst-case constant rather than a measured distribution, and assumes that the machine halts while the human continues — an assumption that inverts in VR, where nothing stops but the person. We were moreover unable to trace K to a primary study through open bibliographic databases</w:t>
      </w:r>
      <w:commentRangeStart w:id="9"/>
      <w:r w:rsidDel="00000000" w:rsidR="00000000" w:rsidRPr="00000000">
        <w:rPr>
          <w:rtl w:val="0"/>
        </w:rPr>
        <w:t xml:space="preserve">; the value appears to rest on grey literature held within the standard's own annexes.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therefore estimate the missing quantity directly, casting warning lead time as the independent variable of a psychometric function [Wichmann 2001a] and timing the cue against predicted time-to-contact [Lee 1976]: the probability of arresting an ongoing reach before a hazard boundary, as a function of the physically realized lead time of a vibrotactile warning.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Quarles" w:id="3" w:date="2026-09-16T15:35:24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state this in a more concise and simple way OR just leave it out and start with: "The difficulty...</w:t>
      </w:r>
    </w:p>
  </w:comment>
  <w:comment w:author="John Quarles" w:id="5" w:date="2026-09-16T15:39:22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sentence structure</w:t>
      </w:r>
    </w:p>
  </w:comment>
  <w:comment w:author="John Quarles" w:id="1" w:date="2026-09-16T15:33:53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John Quarles" w:id="9" w:date="2026-09-16T15:44:03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overly verbose. you could just say "We were not able to find literature that provides...</w:t>
      </w:r>
    </w:p>
  </w:comment>
  <w:comment w:author="John Quarles" w:id="6" w:date="2026-09-16T15:40:10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sentences doesnt really say anything. You need a clearer topic sentence</w:t>
      </w:r>
    </w:p>
  </w:comment>
  <w:comment w:author="John Quarles" w:id="8" w:date="2026-09-16T15:44:13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question?</w:t>
      </w:r>
    </w:p>
  </w:comment>
  <w:comment w:author="John Quarles" w:id="7" w:date="2026-09-16T15:41:12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sentence structure and too long</w:t>
      </w:r>
    </w:p>
  </w:comment>
  <w:comment w:author="John Quarles" w:id="4" w:date="2026-09-16T15:38:34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a different word. 'arrested' is weird</w:t>
      </w:r>
    </w:p>
  </w:comment>
  <w:comment w:author="John Quarles" w:id="0" w:date="2026-09-16T15:45:23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alot of sentences are overly verbose and use big words unnecessarily. I have started telling LLMs to write concisely and at a 12th-grade reading level to help prevent this.</w:t>
      </w:r>
    </w:p>
  </w:comment>
  <w:comment w:author="John Quarles" w:id="2" w:date="2026-09-16T15:34:09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sentence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5" w15:done="0"/>
  <w15:commentEx w15:paraId="00000026" w15:done="0"/>
  <w15:commentEx w15:paraId="00000027" w15:done="0"/>
  <w15:commentEx w15:paraId="00000028" w15:done="0"/>
  <w15:commentEx w15:paraId="00000029" w15:done="0"/>
  <w15:commentEx w15:paraId="0000002A" w15:done="0"/>
  <w15:commentEx w15:paraId="0000002B" w15:done="0"/>
  <w15:commentEx w15:paraId="0000002C" w15:done="0"/>
  <w15:commentEx w15:paraId="0000002D" w15:done="0"/>
  <w15:commentEx w15:paraId="0000002E"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6T15:35:24Z"/>
  <w16cex:commentExtensible w16cex:durableId="00000002" w16cex:dateUtc="2026-09-16T15:39:22Z"/>
  <w16cex:commentExtensible w16cex:durableId="00000003" w16cex:dateUtc="2026-09-16T15:33:53Z"/>
  <w16cex:commentExtensible w16cex:durableId="00000004" w16cex:dateUtc="2026-09-16T15:44:03Z"/>
  <w16cex:commentExtensible w16cex:durableId="00000005" w16cex:dateUtc="2026-09-16T15:40:10Z"/>
  <w16cex:commentExtensible w16cex:durableId="00000006" w16cex:dateUtc="2026-09-16T15:44:13Z"/>
  <w16cex:commentExtensible w16cex:durableId="00000007" w16cex:dateUtc="2026-09-16T15:41:12Z"/>
  <w16cex:commentExtensible w16cex:durableId="00000008" w16cex:dateUtc="2026-09-16T15:38:34Z"/>
  <w16cex:commentExtensible w16cex:durableId="00000009" w16cex:dateUtc="2026-09-16T15:45:23Z"/>
  <w16cex:commentExtensible w16cex:durableId="0000000A" w16cex:dateUtc="2026-09-16T15:34:0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25" w16cid:durableId="00000001"/>
  <w16cid:commentId w16cid:paraId="00000026" w16cid:durableId="00000002"/>
  <w16cid:commentId w16cid:paraId="00000027" w16cid:durableId="00000003"/>
  <w16cid:commentId w16cid:paraId="00000028" w16cid:durableId="00000004"/>
  <w16cid:commentId w16cid:paraId="00000029" w16cid:durableId="00000005"/>
  <w16cid:commentId w16cid:paraId="0000002A" w16cid:durableId="00000006"/>
  <w16cid:commentId w16cid:paraId="0000002B" w16cid:durableId="00000007"/>
  <w16cid:commentId w16cid:paraId="0000002C" w16cid:durableId="00000008"/>
  <w16cid:commentId w16cid:paraId="0000002D" w16cid:durableId="00000009"/>
  <w16cid:commentId w16cid:paraId="0000002E" w16cid:durableId="0000000A"/>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