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2322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15" w:afterLines="101" w:afterAutospacing="0" w:line="360" w:lineRule="auto"/>
        <w:ind w:leftChars="0" w:right="0" w:rightChars="0"/>
        <w:jc w:val="center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32"/>
          <w:szCs w:val="32"/>
          <w:lang w:val="en-US" w:eastAsia="zh-CN"/>
        </w:rPr>
        <w:t>TASK6 智能决策者：用机器学习定制专属策略</w:t>
      </w:r>
    </w:p>
    <w:p w14:paraId="5C5552C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Autospacing="0" w:afterAutospacing="0" w:line="360" w:lineRule="auto"/>
        <w:ind w:leftChars="0" w:right="0" w:rightChars="0" w:firstLine="360" w:firstLineChars="200"/>
        <w:jc w:val="both"/>
        <w:textAlignment w:val="baseline"/>
        <w:rPr>
          <w:rFonts w:hint="default" w:ascii="Times New Roman" w:hAnsi="Times New Roman" w:eastAsia="宋体" w:cs="Times New Roman"/>
          <w:i/>
          <w:iCs/>
          <w:caps w:val="0"/>
          <w:color w:val="808080" w:themeColor="background1" w:themeShade="80"/>
          <w:spacing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aps w:val="0"/>
          <w:color w:val="808080" w:themeColor="background1" w:themeShade="80"/>
          <w:spacing w:val="0"/>
          <w:sz w:val="18"/>
          <w:szCs w:val="18"/>
          <w:lang w:val="en-US" w:eastAsia="zh-CN"/>
        </w:rPr>
        <w:t>在量化交易领域，机器学习技术的应用为交易策略的开发带来了新的突破。本任务</w:t>
      </w:r>
      <w:r>
        <w:rPr>
          <w:rFonts w:hint="eastAsia" w:eastAsia="宋体" w:cs="Times New Roman"/>
          <w:i/>
          <w:iCs/>
          <w:caps w:val="0"/>
          <w:color w:val="808080" w:themeColor="background1" w:themeShade="80"/>
          <w:spacing w:val="0"/>
          <w:sz w:val="18"/>
          <w:szCs w:val="18"/>
          <w:lang w:val="en-US" w:eastAsia="zh-CN"/>
        </w:rPr>
        <w:t>将</w:t>
      </w:r>
      <w:r>
        <w:rPr>
          <w:rFonts w:hint="default" w:ascii="Times New Roman" w:hAnsi="Times New Roman" w:eastAsia="宋体" w:cs="Times New Roman"/>
          <w:i/>
          <w:iCs/>
          <w:caps w:val="0"/>
          <w:color w:val="808080" w:themeColor="background1" w:themeShade="80"/>
          <w:spacing w:val="0"/>
          <w:sz w:val="18"/>
          <w:szCs w:val="18"/>
          <w:lang w:val="en-US" w:eastAsia="zh-CN"/>
        </w:rPr>
        <w:t>探索如何利用机器学习算法构建预测</w:t>
      </w:r>
      <w:r>
        <w:rPr>
          <w:rFonts w:hint="eastAsia" w:eastAsia="宋体" w:cs="Times New Roman"/>
          <w:i/>
          <w:iCs/>
          <w:caps w:val="0"/>
          <w:color w:val="808080" w:themeColor="background1" w:themeShade="80"/>
          <w:spacing w:val="0"/>
          <w:sz w:val="18"/>
          <w:szCs w:val="18"/>
          <w:lang w:val="en-US" w:eastAsia="zh-CN"/>
        </w:rPr>
        <w:t>股</w:t>
      </w:r>
      <w:r>
        <w:rPr>
          <w:rFonts w:hint="default" w:ascii="Times New Roman" w:hAnsi="Times New Roman" w:eastAsia="宋体" w:cs="Times New Roman"/>
          <w:i/>
          <w:iCs/>
          <w:caps w:val="0"/>
          <w:color w:val="808080" w:themeColor="background1" w:themeShade="80"/>
          <w:spacing w:val="0"/>
          <w:sz w:val="18"/>
          <w:szCs w:val="18"/>
          <w:lang w:val="en-US" w:eastAsia="zh-CN"/>
        </w:rPr>
        <w:t>票收益率排序模型，并基于此模型生成交易策略，如挑选每个季度预测收益最好 30 支进行投资，对比策略和整个市场平均收益率的趋势。</w:t>
      </w:r>
    </w:p>
    <w:p w14:paraId="50BBBEF6">
      <w:pPr>
        <w:spacing w:before="159" w:beforeLines="51" w:beforeAutospacing="0" w:after="162" w:afterLines="51" w:afterAutospacing="0"/>
        <w:rPr>
          <w:rFonts w:hint="eastAsia" w:eastAsia="宋体" w:cs="Times New Roman"/>
          <w:i w:val="0"/>
          <w:iCs w:val="0"/>
          <w:caps w:val="0"/>
          <w:color w:val="2E54A1" w:themeColor="accent1" w:themeShade="BF"/>
          <w:spacing w:val="0"/>
          <w:kern w:val="0"/>
          <w:sz w:val="21"/>
          <w:szCs w:val="21"/>
          <w:vertAlign w:val="baseline"/>
          <w:lang w:val="en-US" w:eastAsia="zh-CN" w:bidi="ar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2E54A1" w:themeColor="accent1" w:themeShade="BF"/>
          <w:spacing w:val="0"/>
          <w:kern w:val="0"/>
          <w:sz w:val="21"/>
          <w:szCs w:val="21"/>
          <w:vertAlign w:val="baseline"/>
          <w:lang w:val="en-US" w:eastAsia="zh-CN" w:bidi="ar"/>
        </w:rPr>
        <w:t>任务1.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vertAlign w:val="baseline"/>
          <w:lang w:val="en-US" w:eastAsia="zh-CN" w:bidi="ar"/>
        </w:rPr>
        <w:t xml:space="preserve"> </w:t>
      </w:r>
      <w:r>
        <w:rPr>
          <w:rFonts w:hint="eastAsia" w:eastAsia="宋体" w:cs="Times New Roman"/>
          <w:i w:val="0"/>
          <w:iCs w:val="0"/>
          <w:caps w:val="0"/>
          <w:color w:val="2E54A1" w:themeColor="accent1" w:themeShade="BF"/>
          <w:spacing w:val="0"/>
          <w:kern w:val="0"/>
          <w:sz w:val="21"/>
          <w:szCs w:val="21"/>
          <w:vertAlign w:val="baseline"/>
          <w:lang w:val="en-US" w:eastAsia="zh-CN" w:bidi="ar"/>
        </w:rPr>
        <w:t>了解基于机器学习模型的交易策略的核心理念，给出这类交易策略的优缺点</w:t>
      </w:r>
    </w:p>
    <w:p w14:paraId="0E842131">
      <w:pPr>
        <w:spacing w:beforeAutospacing="0"/>
        <w:ind w:firstLine="420" w:firstLineChars="200"/>
        <w:rPr>
          <w:rFonts w:hint="eastAsia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vertAlign w:val="baseline"/>
          <w:lang w:val="en-US" w:eastAsia="zh-CN" w:bidi="ar"/>
        </w:rPr>
      </w:pPr>
      <w:r>
        <w:rPr>
          <w:rFonts w:hint="eastAsia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vertAlign w:val="baseline"/>
          <w:lang w:val="en-US" w:eastAsia="zh-CN" w:bidi="ar"/>
        </w:rPr>
        <w:t>基于机器学习模型的交易策略，本质上是一类“数据驱动的选股与择时方法”。其核心思想是利用历史市场数据、财务数据以及各类因子特征，学习这些输入特征与未来收益之间的统计关系，再将模型输出转化为交易决策。对于单只股票而言，通常可将某一期时点的因子向量记为 x</w:t>
      </w:r>
      <w:r>
        <w:rPr>
          <w:rFonts w:hint="eastAsia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vertAlign w:val="subscript"/>
          <w:lang w:val="en-US" w:eastAsia="zh-CN" w:bidi="ar"/>
        </w:rPr>
        <w:t>t</w:t>
      </w:r>
      <w:r>
        <w:rPr>
          <w:rFonts w:hint="eastAsia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vertAlign w:val="baseline"/>
          <w:lang w:val="en-US" w:eastAsia="zh-CN" w:bidi="ar"/>
        </w:rPr>
        <w:t>，将下一期的收益率记为 y</w:t>
      </w:r>
      <w:r>
        <w:rPr>
          <w:rFonts w:hint="eastAsia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vertAlign w:val="subscript"/>
          <w:lang w:val="en-US" w:eastAsia="zh-CN" w:bidi="ar"/>
        </w:rPr>
        <w:t>t</w:t>
      </w:r>
      <w:r>
        <w:rPr>
          <w:rFonts w:hint="eastAsia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vertAlign w:val="baseline"/>
          <w:lang w:val="en-US" w:eastAsia="zh-CN" w:bidi="ar"/>
        </w:rPr>
        <w:t xml:space="preserve">，模型学习的目标是构造一个映射函数 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1"/>
          </w:rPr>
          <m:t>f(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1"/>
            <w:lang w:val="en-US" w:eastAsia="zh-CN"/>
          </w:rPr>
          <m:t>·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1"/>
          </w:rPr>
          <m:t>)</m:t>
        </m:r>
      </m:oMath>
      <w:r>
        <w:rPr>
          <w:rFonts w:hint="eastAsia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vertAlign w:val="baseline"/>
          <w:lang w:val="en-US" w:eastAsia="zh-CN" w:bidi="ar"/>
        </w:rPr>
        <w:t xml:space="preserve">，使得 </w:t>
      </w:r>
      <m:oMath>
        <m:sSub>
          <m:sSubPr>
            <m:ctrlPr>
              <w:rPr>
                <w:rFonts w:hint="default" w:ascii="DejaVu Math TeX Gyre" w:hAnsi="DejaVu Math TeX Gyre" w:eastAsia="宋体" w:cs="Times New Roman"/>
                <w:i w:val="0"/>
                <w:sz w:val="21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1"/>
              </w:rPr>
              <m:t>y</m:t>
            </m:r>
            <m:ctrlPr>
              <w:rPr>
                <w:rFonts w:hint="default" w:ascii="DejaVu Math TeX Gyre" w:hAnsi="DejaVu Math TeX Gyre" w:eastAsia="宋体" w:cs="Times New Roman"/>
                <w:i w:val="0"/>
                <w:sz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1"/>
              </w:rPr>
              <m:t>t</m:t>
            </m:r>
            <m:ctrlPr>
              <w:rPr>
                <w:rFonts w:hint="default" w:ascii="DejaVu Math TeX Gyre" w:hAnsi="DejaVu Math TeX Gyre" w:eastAsia="宋体" w:cs="Times New Roman"/>
                <w:i w:val="0"/>
                <w:sz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1"/>
          </w:rPr>
          <m:t>=f(</m:t>
        </m:r>
        <m:sSub>
          <m:sSubPr>
            <m:ctrlPr>
              <w:rPr>
                <w:rFonts w:hint="default" w:ascii="DejaVu Math TeX Gyre" w:hAnsi="DejaVu Math TeX Gyre" w:eastAsia="宋体" w:cs="Times New Roman"/>
                <w:i w:val="0"/>
                <w:sz w:val="21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1"/>
              </w:rPr>
              <m:t>x</m:t>
            </m:r>
            <m:ctrlPr>
              <w:rPr>
                <w:rFonts w:hint="default" w:ascii="DejaVu Math TeX Gyre" w:hAnsi="DejaVu Math TeX Gyre" w:eastAsia="宋体" w:cs="Times New Roman"/>
                <w:i w:val="0"/>
                <w:sz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1"/>
              </w:rPr>
              <m:t>t</m:t>
            </m:r>
            <m:ctrlPr>
              <w:rPr>
                <w:rFonts w:hint="default" w:ascii="DejaVu Math TeX Gyre" w:hAnsi="DejaVu Math TeX Gyre" w:eastAsia="宋体" w:cs="Times New Roman"/>
                <w:i w:val="0"/>
                <w:sz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1"/>
          </w:rPr>
          <m:t>)</m:t>
        </m:r>
      </m:oMath>
      <w:r>
        <w:rPr>
          <w:rFonts w:hint="eastAsia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vertAlign w:val="baseline"/>
          <w:lang w:val="en-US" w:eastAsia="zh-CN" w:bidi="ar"/>
        </w:rPr>
        <w:t xml:space="preserve"> 尽可能接近真实未来收益。随后，投资者可以依据预测收益的大小、正负号或排序结果构建组合，例如买入预测收益较高的股票、卖出或回避预测收益较低的股票，并在固定调仓频率下持续执行该流程。</w:t>
      </w:r>
    </w:p>
    <w:p w14:paraId="303867FA">
      <w:pPr>
        <w:spacing w:beforeAutospacing="0"/>
        <w:ind w:firstLine="420" w:firstLineChars="200"/>
        <w:rPr>
          <w:rFonts w:hint="eastAsia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vertAlign w:val="baseline"/>
          <w:lang w:val="en-US" w:eastAsia="zh-CN" w:bidi="ar"/>
        </w:rPr>
      </w:pPr>
      <w:r>
        <w:rPr>
          <w:rFonts w:hint="eastAsia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vertAlign w:val="baseline"/>
          <w:lang w:val="en-US" w:eastAsia="zh-CN" w:bidi="ar"/>
        </w:rPr>
        <w:t>这类策略的优势在于，它能够同时整合大量异质信息，并且较好地处理非线性关系。传统因子模型往往依赖人工设定的线性关系或少量规则，而机器学习模型可以在多维因子之间自动寻找复杂交互，例如价值、成长、盈利能力、规模和现金流等因子之间可能存在的非线性组合效应。尤其是在横截面选股场景中，机器学习模型并不一定要求精确预测单只股票的绝对收益，只要能够较好地区分相对更优和更差的股票，就能够支持有效的排序选股。因此，在实际交易中，这类策略常被用作因子增强、截面选股或组合打分工具。此外，树模型、随机森林等方法还具有一定的鲁棒性，能够处理缺失值、非线性和特征尺度不一致等问题，在金融数据这种噪声较强的场景中具有较好的实用性。</w:t>
      </w:r>
    </w:p>
    <w:p w14:paraId="3F900C26">
      <w:pPr>
        <w:spacing w:beforeAutospacing="0"/>
        <w:ind w:firstLine="420" w:firstLineChars="200"/>
        <w:rPr>
          <w:rFonts w:hint="eastAsia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vertAlign w:val="baseline"/>
          <w:lang w:val="en-US" w:eastAsia="zh-CN" w:bidi="ar"/>
        </w:rPr>
      </w:pPr>
      <w:r>
        <w:rPr>
          <w:rFonts w:hint="eastAsia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vertAlign w:val="baseline"/>
          <w:lang w:val="en-US" w:eastAsia="zh-CN" w:bidi="ar"/>
        </w:rPr>
        <w:t>不过，机器学习交易策略也存在明显缺点。首先，金融市场具有强烈的非平稳性，历史上有效的规律并不保证未来仍然有效，因此模型容易遭遇样本外失效的问题。其次，金融数据往往噪声大、信号弱，真实可交易的预测信号通常很微弱，模型很容易在训练集上拟合出看似有效、实际无效的模式，从而产生过拟合。第三，模型训练时优化的目标通常是预测误差，例如均方误差或交叉熵，而交易真正关心的是收益、回撤和夏普比率，两者并不完全一致，所以预测最准的模型未必是赚钱最好的模型。最后，机器学习策略对数据质量、特征构造、标签定义和回测方式都十分敏感，如果存在未来函数、数据泄漏或忽略交易成本，回测结果往往会被高估。</w:t>
      </w:r>
    </w:p>
    <w:p w14:paraId="5631B758">
      <w:pPr>
        <w:spacing w:before="159" w:beforeLines="51" w:beforeAutospacing="0" w:after="162" w:afterLines="51" w:afterAutospacing="0"/>
        <w:rPr>
          <w:rFonts w:hint="eastAsia" w:eastAsia="宋体" w:cs="Times New Roman"/>
          <w:i w:val="0"/>
          <w:iCs w:val="0"/>
          <w:caps w:val="0"/>
          <w:color w:val="2E54A1" w:themeColor="accent1" w:themeShade="BF"/>
          <w:spacing w:val="0"/>
          <w:kern w:val="0"/>
          <w:sz w:val="21"/>
          <w:szCs w:val="21"/>
          <w:vertAlign w:val="baseline"/>
          <w:lang w:val="en-US" w:eastAsia="zh-CN" w:bidi="ar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2E54A1" w:themeColor="accent1" w:themeShade="BF"/>
          <w:spacing w:val="0"/>
          <w:kern w:val="0"/>
          <w:sz w:val="21"/>
          <w:szCs w:val="21"/>
          <w:vertAlign w:val="baseline"/>
          <w:lang w:val="en-US" w:eastAsia="zh-CN" w:bidi="ar"/>
        </w:rPr>
        <w:t>任务</w:t>
      </w:r>
      <w:r>
        <w:rPr>
          <w:rFonts w:hint="eastAsia" w:eastAsia="宋体" w:cs="Times New Roman"/>
          <w:i w:val="0"/>
          <w:iCs w:val="0"/>
          <w:caps w:val="0"/>
          <w:color w:val="2E54A1" w:themeColor="accent1" w:themeShade="BF"/>
          <w:spacing w:val="0"/>
          <w:kern w:val="0"/>
          <w:sz w:val="21"/>
          <w:szCs w:val="21"/>
          <w:vertAlign w:val="baseline"/>
          <w:lang w:val="en-US" w:eastAsia="zh-CN" w:bidi="ar"/>
        </w:rPr>
        <w:t>2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2E54A1" w:themeColor="accent1" w:themeShade="BF"/>
          <w:spacing w:val="0"/>
          <w:kern w:val="0"/>
          <w:sz w:val="21"/>
          <w:szCs w:val="21"/>
          <w:vertAlign w:val="baseline"/>
          <w:lang w:val="en-US" w:eastAsia="zh-CN" w:bidi="ar"/>
        </w:rPr>
        <w:t>.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vertAlign w:val="baseline"/>
          <w:lang w:val="en-US" w:eastAsia="zh-CN" w:bidi="ar"/>
        </w:rPr>
        <w:t xml:space="preserve">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2E54A1" w:themeColor="accent1" w:themeShade="BF"/>
          <w:spacing w:val="0"/>
          <w:kern w:val="0"/>
          <w:sz w:val="21"/>
          <w:szCs w:val="21"/>
          <w:vertAlign w:val="baseline"/>
          <w:lang w:val="en-US" w:eastAsia="zh-CN" w:bidi="ar"/>
        </w:rPr>
        <w:t>了解并给出量化交易机器学习模型中常见自变量因子和</w:t>
      </w:r>
      <w:r>
        <w:rPr>
          <w:rFonts w:hint="eastAsia" w:eastAsia="宋体" w:cs="Times New Roman"/>
          <w:i w:val="0"/>
          <w:iCs w:val="0"/>
          <w:caps w:val="0"/>
          <w:color w:val="2E54A1" w:themeColor="accent1" w:themeShade="BF"/>
          <w:spacing w:val="0"/>
          <w:kern w:val="0"/>
          <w:sz w:val="21"/>
          <w:szCs w:val="21"/>
          <w:vertAlign w:val="baseline"/>
          <w:lang w:val="en-US" w:eastAsia="zh-CN" w:bidi="ar"/>
        </w:rPr>
        <w:t>因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2E54A1" w:themeColor="accent1" w:themeShade="BF"/>
          <w:spacing w:val="0"/>
          <w:kern w:val="0"/>
          <w:sz w:val="21"/>
          <w:szCs w:val="21"/>
          <w:vertAlign w:val="baseline"/>
          <w:lang w:val="en-US" w:eastAsia="zh-CN" w:bidi="ar"/>
        </w:rPr>
        <w:t>变量的定义</w:t>
      </w:r>
    </w:p>
    <w:p w14:paraId="56E16AE5">
      <w:pPr>
        <w:spacing w:beforeAutospacing="0"/>
        <w:ind w:firstLine="420" w:firstLineChars="200"/>
        <w:rPr>
          <w:rFonts w:hint="eastAsia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vertAlign w:val="baseline"/>
          <w:lang w:val="en-US" w:eastAsia="zh-CN" w:bidi="ar"/>
        </w:rPr>
      </w:pPr>
      <w:r>
        <w:rPr>
          <w:rFonts w:hint="eastAsia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vertAlign w:val="baseline"/>
          <w:lang w:val="en-US" w:eastAsia="zh-CN" w:bidi="ar"/>
        </w:rPr>
        <w:t xml:space="preserve">在量化交易的机器学习模型中，自变量通常被称为“因子”或“特征”，其作用是描述某只股票在某一时点的状态，用以解释或预测未来收益。根据因子的来源不同，常见自变量大致可以分为价值类、成长类、盈利类、规模类和情绪/技术类等几大方向。价值类因子主要反映股票估值的高低，例如市盈率 (PE)、市净率 (PB)、市销率 (PS)、市现率 (PCF) 以及企业价值倍数 (EV/EBITDA) 等；成长类因子主要刻画公司经营扩张速度，例如营业收入同比增长率、营业利润同比增长率、净利润同比增长率、总资产同比增长率等；盈利类因子则强调企业持续创造利润和现金流的能力，例如净资产收益率、每股收益增长率、经营活动现金流净额增长率等；规模类因子通常用市值或流通市值来表示，用于刻画大盘股与小盘股之间的差异。若在更高频的场景中，还可能引入动量、换手率、波动率、收益率均值、技术指标等特征。对于每个样本而言，这些因子共同组成输入向量 </w:t>
      </w:r>
      <m:oMath>
        <m:sSub>
          <m:sSubPr>
            <m:ctrlPr>
              <w:rPr>
                <w:rFonts w:hint="default" w:ascii="DejaVu Math TeX Gyre" w:hAnsi="DejaVu Math TeX Gyre" w:eastAsia="宋体" w:cs="Times New Roman"/>
                <w:i w:val="0"/>
                <w:sz w:val="21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1"/>
              </w:rPr>
              <m:t>x</m:t>
            </m:r>
            <m:ctrlPr>
              <w:rPr>
                <w:rFonts w:hint="default" w:ascii="DejaVu Math TeX Gyre" w:hAnsi="DejaVu Math TeX Gyre" w:eastAsia="宋体" w:cs="Times New Roman"/>
                <w:i w:val="0"/>
                <w:sz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1"/>
              </w:rPr>
              <m:t>t</m:t>
            </m:r>
            <m:ctrlPr>
              <w:rPr>
                <w:rFonts w:hint="default" w:ascii="DejaVu Math TeX Gyre" w:hAnsi="DejaVu Math TeX Gyre" w:eastAsia="宋体" w:cs="Times New Roman"/>
                <w:i w:val="0"/>
                <w:sz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1"/>
          </w:rPr>
          <m:t>=[</m:t>
        </m:r>
        <m:sSub>
          <m:sSubPr>
            <m:ctrlPr>
              <w:rPr>
                <w:rFonts w:hint="default" w:ascii="DejaVu Math TeX Gyre" w:hAnsi="DejaVu Math TeX Gyre" w:eastAsia="宋体" w:cs="Times New Roman"/>
                <w:i w:val="0"/>
                <w:sz w:val="21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1"/>
              </w:rPr>
              <m:t>x</m:t>
            </m:r>
            <m:ctrlPr>
              <w:rPr>
                <w:rFonts w:hint="default" w:ascii="DejaVu Math TeX Gyre" w:hAnsi="DejaVu Math TeX Gyre" w:eastAsia="宋体" w:cs="Times New Roman"/>
                <w:i w:val="0"/>
                <w:sz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1"/>
              </w:rPr>
              <m:t>t,1</m:t>
            </m:r>
            <m:ctrlPr>
              <w:rPr>
                <w:rFonts w:hint="default" w:ascii="DejaVu Math TeX Gyre" w:hAnsi="DejaVu Math TeX Gyre" w:eastAsia="宋体" w:cs="Times New Roman"/>
                <w:i w:val="0"/>
                <w:sz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1"/>
          </w:rPr>
          <m:t>,</m:t>
        </m:r>
        <m:sSub>
          <m:sSubPr>
            <m:ctrlPr>
              <w:rPr>
                <w:rFonts w:hint="default" w:ascii="DejaVu Math TeX Gyre" w:hAnsi="DejaVu Math TeX Gyre" w:eastAsia="宋体" w:cs="Times New Roman"/>
                <w:i w:val="0"/>
                <w:sz w:val="21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1"/>
              </w:rPr>
              <m:t>x</m:t>
            </m:r>
            <m:ctrlPr>
              <w:rPr>
                <w:rFonts w:hint="default" w:ascii="DejaVu Math TeX Gyre" w:hAnsi="DejaVu Math TeX Gyre" w:eastAsia="宋体" w:cs="Times New Roman"/>
                <w:i w:val="0"/>
                <w:sz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1"/>
              </w:rPr>
              <m:t>t,2</m:t>
            </m:r>
            <m:ctrlPr>
              <w:rPr>
                <w:rFonts w:hint="default" w:ascii="DejaVu Math TeX Gyre" w:hAnsi="DejaVu Math TeX Gyre" w:eastAsia="宋体" w:cs="Times New Roman"/>
                <w:i w:val="0"/>
                <w:sz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1"/>
          </w:rPr>
          <m:t>,…,</m:t>
        </m:r>
        <m:sSub>
          <m:sSubPr>
            <m:ctrlPr>
              <w:rPr>
                <w:rFonts w:hint="default" w:ascii="DejaVu Math TeX Gyre" w:hAnsi="DejaVu Math TeX Gyre" w:eastAsia="宋体" w:cs="Times New Roman"/>
                <w:i w:val="0"/>
                <w:sz w:val="21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1"/>
              </w:rPr>
              <m:t>x</m:t>
            </m:r>
            <m:ctrlPr>
              <w:rPr>
                <w:rFonts w:hint="default" w:ascii="DejaVu Math TeX Gyre" w:hAnsi="DejaVu Math TeX Gyre" w:eastAsia="宋体" w:cs="Times New Roman"/>
                <w:i w:val="0"/>
                <w:sz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1"/>
              </w:rPr>
              <m:t>t,d</m:t>
            </m:r>
            <m:ctrlPr>
              <w:rPr>
                <w:rFonts w:hint="default" w:ascii="DejaVu Math TeX Gyre" w:hAnsi="DejaVu Math TeX Gyre" w:eastAsia="宋体" w:cs="Times New Roman"/>
                <w:i w:val="0"/>
                <w:sz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1"/>
          </w:rPr>
          <m:t>]</m:t>
        </m:r>
      </m:oMath>
      <w:r>
        <w:rPr>
          <w:rFonts w:hint="eastAsia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vertAlign w:val="baseline"/>
          <w:lang w:val="en-US" w:eastAsia="zh-CN" w:bidi="ar"/>
        </w:rPr>
        <w:t>，模型通过学习这些特征与未来收益之间的关系来输出预测结果。</w:t>
      </w:r>
    </w:p>
    <w:p w14:paraId="1A156A93">
      <w:pPr>
        <w:spacing w:beforeAutospacing="0"/>
        <w:ind w:firstLine="420" w:firstLineChars="200"/>
        <w:rPr>
          <w:rFonts w:hint="eastAsia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vertAlign w:val="baseline"/>
          <w:lang w:val="en-US" w:eastAsia="zh-CN" w:bidi="ar"/>
        </w:rPr>
      </w:pPr>
      <w:r>
        <w:rPr>
          <w:rFonts w:hint="eastAsia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vertAlign w:val="baseline"/>
          <w:lang w:val="en-US" w:eastAsia="zh-CN" w:bidi="ar"/>
        </w:rPr>
        <w:t>因变量则是模型需要预测的目标，最常见的是未来收益率或未来涨跌方向。若做回归问题，因变量一般定义为下一期收益率 y</w:t>
      </w:r>
      <w:r>
        <w:rPr>
          <w:rFonts w:hint="eastAsia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vertAlign w:val="subscript"/>
          <w:lang w:val="en-US" w:eastAsia="zh-CN" w:bidi="ar"/>
        </w:rPr>
        <w:t>t</w:t>
      </w:r>
      <w:r>
        <w:rPr>
          <w:rFonts w:hint="eastAsia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vertAlign w:val="baseline"/>
          <w:lang w:val="en-US" w:eastAsia="zh-CN" w:bidi="ar"/>
        </w:rPr>
        <w:t xml:space="preserve">，例如季度调仓场景下可定义为下一季度收益率；若做分类问题，则可将未来收益率转换为二元标签，例如当未来收益率大于 0 时记为上涨，反之记为下跌。由于股票收益本身是连续变量，回归任务能够直接刻画收益幅度；而分类任务更适合构建“买入/不买入”或“做多/不做多”的交易信号。对于横截面选股策略，常见做法是对同一时点的所有股票计算模型预测值，再按照预测值排序，选取排序靠前的一部分股票构建组合，从而把连续预测值转化为实际交易决策。若以组合收益为评价对象，则还可以进一步定义组合在第 t 期的收益率 </w:t>
      </w:r>
      <m:oMath>
        <m:sSub>
          <m:sSubPr>
            <m:ctrlPr>
              <w:rPr>
                <w:rFonts w:hint="default" w:ascii="DejaVu Math TeX Gyre" w:hAnsi="DejaVu Math TeX Gyre" w:eastAsia="宋体" w:cs="Times New Roman"/>
                <w:i w:val="0"/>
                <w:sz w:val="21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1"/>
              </w:rPr>
              <m:t>R</m:t>
            </m:r>
            <m:ctrlPr>
              <w:rPr>
                <w:rFonts w:hint="default" w:ascii="DejaVu Math TeX Gyre" w:hAnsi="DejaVu Math TeX Gyre" w:eastAsia="宋体" w:cs="Times New Roman"/>
                <w:i w:val="0"/>
                <w:sz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1"/>
              </w:rPr>
              <m:t>p,t</m:t>
            </m:r>
            <m:ctrlPr>
              <w:rPr>
                <w:rFonts w:hint="default" w:ascii="DejaVu Math TeX Gyre" w:hAnsi="DejaVu Math TeX Gyre" w:eastAsia="宋体" w:cs="Times New Roman"/>
                <w:i w:val="0"/>
                <w:sz w:val="21"/>
              </w:rPr>
            </m:ctrlPr>
          </m:sub>
        </m:sSub>
      </m:oMath>
      <w:r>
        <w:rPr>
          <w:rFonts w:hint="eastAsia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vertAlign w:val="baseline"/>
          <w:lang w:val="en-US" w:eastAsia="zh-CN" w:bidi="ar"/>
        </w:rPr>
        <w:t>，并在测试集上累乘得到累计收益曲线。</w:t>
      </w:r>
    </w:p>
    <w:p w14:paraId="0EC8F1D0">
      <w:pPr>
        <w:spacing w:beforeAutospacing="0"/>
        <w:ind w:firstLine="420" w:firstLineChars="200"/>
        <w:rPr>
          <w:rFonts w:hint="eastAsia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vertAlign w:val="baseline"/>
          <w:lang w:val="en-US" w:eastAsia="zh-CN" w:bidi="ar"/>
        </w:rPr>
      </w:pPr>
      <w:r>
        <w:rPr>
          <w:rFonts w:hint="eastAsia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vertAlign w:val="baseline"/>
          <w:lang w:val="en-US" w:eastAsia="zh-CN" w:bidi="ar"/>
        </w:rPr>
        <w:t>综上，机器学习量化策略中的自变量是用于描述股票特征的因子集合，因变量则是未来收益或涨跌标签，二者构成“因子输入—收益预测—组合构建—回测评估”的建模链条。</w:t>
      </w:r>
    </w:p>
    <w:p w14:paraId="4692543A">
      <w:pPr>
        <w:spacing w:before="159" w:beforeLines="51" w:beforeAutospacing="0" w:after="162" w:afterLines="51" w:afterAutospacing="0"/>
        <w:rPr>
          <w:rFonts w:hint="eastAsia" w:eastAsia="宋体" w:cs="Times New Roman"/>
          <w:i w:val="0"/>
          <w:iCs w:val="0"/>
          <w:caps w:val="0"/>
          <w:color w:val="2E54A1" w:themeColor="accent1" w:themeShade="BF"/>
          <w:spacing w:val="0"/>
          <w:kern w:val="0"/>
          <w:sz w:val="21"/>
          <w:szCs w:val="21"/>
          <w:vertAlign w:val="baseline"/>
          <w:lang w:val="en-US" w:eastAsia="zh-CN" w:bidi="ar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2E54A1" w:themeColor="accent1" w:themeShade="BF"/>
          <w:spacing w:val="0"/>
          <w:kern w:val="0"/>
          <w:sz w:val="21"/>
          <w:szCs w:val="21"/>
          <w:vertAlign w:val="baseline"/>
          <w:lang w:val="en-US" w:eastAsia="zh-CN" w:bidi="ar"/>
        </w:rPr>
        <w:t>任务</w:t>
      </w:r>
      <w:r>
        <w:rPr>
          <w:rFonts w:hint="eastAsia" w:eastAsia="宋体" w:cs="Times New Roman"/>
          <w:i w:val="0"/>
          <w:iCs w:val="0"/>
          <w:caps w:val="0"/>
          <w:color w:val="2E54A1" w:themeColor="accent1" w:themeShade="BF"/>
          <w:spacing w:val="0"/>
          <w:kern w:val="0"/>
          <w:sz w:val="21"/>
          <w:szCs w:val="21"/>
          <w:vertAlign w:val="baseline"/>
          <w:lang w:val="en-US" w:eastAsia="zh-CN" w:bidi="ar"/>
        </w:rPr>
        <w:t>3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2E54A1" w:themeColor="accent1" w:themeShade="BF"/>
          <w:spacing w:val="0"/>
          <w:kern w:val="0"/>
          <w:sz w:val="21"/>
          <w:szCs w:val="21"/>
          <w:vertAlign w:val="baseline"/>
          <w:lang w:val="en-US" w:eastAsia="zh-CN" w:bidi="ar"/>
        </w:rPr>
        <w:t>.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vertAlign w:val="baseline"/>
          <w:lang w:val="en-US" w:eastAsia="zh-CN" w:bidi="ar"/>
        </w:rPr>
        <w:t xml:space="preserve"> </w:t>
      </w:r>
      <w:r>
        <w:rPr>
          <w:rFonts w:hint="eastAsia" w:eastAsia="宋体" w:cs="Times New Roman"/>
          <w:i w:val="0"/>
          <w:iCs w:val="0"/>
          <w:caps w:val="0"/>
          <w:color w:val="2E54A1" w:themeColor="accent1" w:themeShade="BF"/>
          <w:spacing w:val="0"/>
          <w:kern w:val="0"/>
          <w:sz w:val="21"/>
          <w:szCs w:val="21"/>
          <w:vertAlign w:val="baseline"/>
          <w:lang w:val="en-US" w:eastAsia="zh-CN" w:bidi="ar"/>
        </w:rPr>
        <w:t>Python编程实现以下内容：</w:t>
      </w:r>
    </w:p>
    <w:p w14:paraId="18818198">
      <w:pPr>
        <w:numPr>
          <w:ilvl w:val="0"/>
          <w:numId w:val="1"/>
        </w:numPr>
        <w:spacing w:before="159" w:beforeLines="51" w:beforeAutospacing="0" w:after="162" w:afterLines="51" w:afterAutospacing="0"/>
        <w:rPr>
          <w:rFonts w:hint="default" w:eastAsia="宋体" w:cs="Times New Roman"/>
          <w:i w:val="0"/>
          <w:iCs w:val="0"/>
          <w:caps w:val="0"/>
          <w:color w:val="2E54A1" w:themeColor="accent1" w:themeShade="BF"/>
          <w:spacing w:val="0"/>
          <w:kern w:val="0"/>
          <w:sz w:val="21"/>
          <w:szCs w:val="21"/>
          <w:vertAlign w:val="baseline"/>
          <w:lang w:val="en-US" w:eastAsia="zh-CN" w:bidi="ar"/>
        </w:rPr>
      </w:pPr>
      <w:r>
        <w:rPr>
          <w:rFonts w:hint="default" w:eastAsia="宋体" w:cs="Times New Roman"/>
          <w:i w:val="0"/>
          <w:iCs w:val="0"/>
          <w:caps w:val="0"/>
          <w:color w:val="2E54A1" w:themeColor="accent1" w:themeShade="BF"/>
          <w:spacing w:val="0"/>
          <w:kern w:val="0"/>
          <w:sz w:val="21"/>
          <w:szCs w:val="21"/>
          <w:vertAlign w:val="baseline"/>
          <w:lang w:val="en-US" w:eastAsia="zh-CN" w:bidi="ar"/>
        </w:rPr>
        <w:t>加载存储的模型样本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41235D1">
        <w:tc>
          <w:tcPr>
            <w:tcW w:w="8522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</w:tcPr>
          <w:p w14:paraId="1F3282F3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jc w:val="left"/>
              <w:textAlignment w:val="auto"/>
              <w:rPr>
                <w:rFonts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１.１ 语义列名 → 候选关键词映射表</w:t>
            </w:r>
          </w:p>
          <w:p w14:paraId="4F992202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</w:p>
          <w:p w14:paraId="333FC3AF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70C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COLUMN_SEMANTICS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dict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list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]]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</w:t>
            </w:r>
          </w:p>
          <w:p w14:paraId="3E3EB21B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"date"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"date"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"trade_date"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"日期"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"quarter"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"report_date"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],</w:t>
            </w:r>
          </w:p>
          <w:p w14:paraId="6CCAE660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"code"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"code"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"ts_code"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"stock_code"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"symbol"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"股票代码"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],</w:t>
            </w:r>
          </w:p>
          <w:p w14:paraId="66C23CB5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"target"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"next_ret"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"forward_return"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"target"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"下期收益"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"未来收益"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],</w:t>
            </w:r>
          </w:p>
          <w:p w14:paraId="34BA31AD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"pb"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"pb"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"市净率"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"price_to_book"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],</w:t>
            </w:r>
          </w:p>
          <w:p w14:paraId="700FEB55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"pe"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"pe"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"市盈率"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"price_to_earnings"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],</w:t>
            </w:r>
          </w:p>
          <w:p w14:paraId="360B1101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"ps"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"ps"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"市销率"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"price_to_sales"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],</w:t>
            </w:r>
          </w:p>
          <w:p w14:paraId="34CCFD8E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"pcf"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"pcf"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"市现率"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"price_to_cashflow"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],</w:t>
            </w:r>
          </w:p>
          <w:p w14:paraId="4F56ED8C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"ev_ebitda"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"ev"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"ebitda"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"企业倍数"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],</w:t>
            </w:r>
          </w:p>
          <w:p w14:paraId="5E04DAD0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"mv"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"mv"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"market_value"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"总市值"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"市值"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],</w:t>
            </w:r>
          </w:p>
          <w:p w14:paraId="2E77E985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"dividend_yield"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"股息率"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"dividend"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"div_yield"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],</w:t>
            </w:r>
          </w:p>
          <w:p w14:paraId="4F0DB4D2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"profit_growth"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"利润总额"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"净利润同比增长"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"profit_growth"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],</w:t>
            </w:r>
          </w:p>
          <w:p w14:paraId="6729AE67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"revenue_growth"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"营收"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"营业总收入"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"营业收入"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"revenue_growth"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],</w:t>
            </w:r>
          </w:p>
          <w:p w14:paraId="79F49DD4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"asset_growth"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"总资产同比"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"asset_growth"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],</w:t>
            </w:r>
          </w:p>
          <w:p w14:paraId="7C4CD049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"equity_growth"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"净资产同比"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"equity_growth"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],</w:t>
            </w:r>
          </w:p>
          <w:p w14:paraId="7F33BF8F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"eps_growth"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"每股收益"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"eps_growth"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],</w:t>
            </w:r>
          </w:p>
          <w:p w14:paraId="54E63B9B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"cashflow_growth"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"现金净流量"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"经营现金流"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"cashflow_growth"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],</w:t>
            </w:r>
          </w:p>
          <w:p w14:paraId="0E1431B4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"operating_profit_growth"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"营业利润"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"operating_profit"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],</w:t>
            </w:r>
          </w:p>
          <w:p w14:paraId="25DDA958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4D5D433A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  <w:p w14:paraId="2D68151C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detect_columns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DataFrame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-&gt;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dict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]:</w:t>
            </w:r>
          </w:p>
          <w:p w14:paraId="050797A1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"""</w:t>
            </w:r>
          </w:p>
          <w:p w14:paraId="607EBD90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自动检测 DataFrame 中各语义列对应的实际列名。</w:t>
            </w:r>
          </w:p>
          <w:p w14:paraId="01C774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jc w:val="left"/>
              <w:textAlignment w:val="auto"/>
              <w:rPr>
                <w:sz w:val="21"/>
                <w:szCs w:val="21"/>
              </w:rPr>
            </w:pPr>
          </w:p>
          <w:p w14:paraId="6469BFDA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遍历语义映射表，对每个候选关键词与 DataFrame 列名做子串匹配，</w:t>
            </w:r>
          </w:p>
          <w:p w14:paraId="4E489561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已匹配的列不会被重复分配。</w:t>
            </w:r>
          </w:p>
          <w:p w14:paraId="03828B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jc w:val="left"/>
              <w:textAlignment w:val="auto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</w:t>
            </w:r>
          </w:p>
          <w:p w14:paraId="6F3E1A5C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Returns</w:t>
            </w:r>
          </w:p>
          <w:p w14:paraId="6E646371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-------</w:t>
            </w:r>
          </w:p>
          <w:p w14:paraId="3572062A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dict: {语义名 → 实际列名}，如 {"date": "Date", "code": "Code", "target": "Next_Ret"}</w:t>
            </w:r>
          </w:p>
          <w:p w14:paraId="7670E0AD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"""</w:t>
            </w:r>
          </w:p>
          <w:p w14:paraId="0BEB0C03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cols_norm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[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lower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strip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replace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 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"_"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columns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</w:p>
          <w:p w14:paraId="3AE3C68D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mapping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dict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{}</w:t>
            </w:r>
          </w:p>
          <w:p w14:paraId="2AA60EC6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used_cols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7C8031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jc w:val="left"/>
              <w:textAlignment w:val="auto"/>
              <w:rPr>
                <w:sz w:val="21"/>
                <w:szCs w:val="21"/>
              </w:rPr>
            </w:pPr>
          </w:p>
          <w:p w14:paraId="5F8A7F5D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semantic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candidates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70C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COLUMN_SEMANTICS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items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():</w:t>
            </w:r>
          </w:p>
          <w:p w14:paraId="09CA2BB6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cand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candidates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6D0C24F4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1260" w:firstLineChars="6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cand_norm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cand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lower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strip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replace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 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"_"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240282E7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1260" w:firstLineChars="6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enumerate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cols_norm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):</w:t>
            </w:r>
          </w:p>
          <w:p w14:paraId="6498CE1B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1680" w:firstLineChars="8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columns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used_cols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  <w:r>
              <w:rPr>
                <w:rFonts w:hint="eastAsia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continue</w:t>
            </w:r>
          </w:p>
          <w:p w14:paraId="020343BF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1680" w:firstLineChars="8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cand_norm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cand_norm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59955949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2100" w:firstLineChars="10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mapping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semantic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columns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</w:p>
          <w:p w14:paraId="7602EB6A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2100" w:firstLineChars="10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used_cols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add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columns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])</w:t>
            </w:r>
          </w:p>
          <w:p w14:paraId="65409C94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2100" w:firstLineChars="10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break</w:t>
            </w:r>
          </w:p>
          <w:p w14:paraId="15E21C6C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1260" w:firstLineChars="6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semantic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mapping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  <w:r>
              <w:rPr>
                <w:rFonts w:hint="eastAsia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break</w:t>
            </w:r>
          </w:p>
          <w:p w14:paraId="5E712937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mapping</w:t>
            </w:r>
          </w:p>
          <w:p w14:paraId="34FDFB40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  <w:p w14:paraId="10DF1CD7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１.２ FactorDataLoader：通用因子面板数据加载器</w:t>
            </w:r>
          </w:p>
          <w:p w14:paraId="1DFB31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jc w:val="left"/>
              <w:textAlignment w:val="auto"/>
              <w:rPr>
                <w:sz w:val="21"/>
                <w:szCs w:val="21"/>
              </w:rPr>
            </w:pPr>
          </w:p>
          <w:p w14:paraId="6A093D1C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FactorDataLoader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1A2A4D86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"""</w:t>
            </w:r>
          </w:p>
          <w:p w14:paraId="2DB0E3A6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加载任意 CSV 因子面板文件，自动识别 date/code/target 列并做基础清洗。</w:t>
            </w:r>
          </w:p>
          <w:p w14:paraId="603637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jc w:val="left"/>
              <w:textAlignment w:val="auto"/>
              <w:rPr>
                <w:sz w:val="21"/>
                <w:szCs w:val="21"/>
              </w:rPr>
            </w:pPr>
          </w:p>
          <w:p w14:paraId="3B6B28B2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使用示例：</w:t>
            </w:r>
          </w:p>
          <w:p w14:paraId="6E439EA6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loader = FactorDataLoader(config)</w:t>
            </w:r>
          </w:p>
          <w:p w14:paraId="5A198F09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 = loader.load("data/raw/my_factor_data.csv")</w:t>
            </w:r>
          </w:p>
          <w:p w14:paraId="5A4018CA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"""</w:t>
            </w:r>
          </w:p>
          <w:p w14:paraId="79A25F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jc w:val="left"/>
              <w:textAlignment w:val="auto"/>
              <w:rPr>
                <w:sz w:val="21"/>
                <w:szCs w:val="21"/>
              </w:rPr>
            </w:pPr>
          </w:p>
          <w:p w14:paraId="1C4EC533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__init__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config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MLQuantConfig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):</w:t>
            </w:r>
          </w:p>
          <w:p w14:paraId="317EA6CC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config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config</w:t>
            </w:r>
          </w:p>
          <w:p w14:paraId="220DA23C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col_map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dict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{}</w:t>
            </w:r>
          </w:p>
          <w:p w14:paraId="4250EE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jc w:val="left"/>
              <w:textAlignment w:val="auto"/>
              <w:rPr>
                <w:sz w:val="21"/>
                <w:szCs w:val="21"/>
              </w:rPr>
            </w:pPr>
          </w:p>
          <w:p w14:paraId="1D2DA924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load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path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|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None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None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-&gt;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DataFrame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7C1AB5F9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path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path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config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data_path</w:t>
            </w:r>
          </w:p>
          <w:p w14:paraId="4CE17EFA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read_csv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path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encoding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"utf-8-sig"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1E248B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jc w:val="left"/>
              <w:textAlignment w:val="auto"/>
              <w:rPr>
                <w:sz w:val="21"/>
                <w:szCs w:val="21"/>
              </w:rPr>
            </w:pPr>
          </w:p>
          <w:p w14:paraId="3CBB2270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自动检测 → 统一重命名</w:t>
            </w:r>
          </w:p>
          <w:p w14:paraId="7F88E63D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col_map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detect_columns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724F563F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允许用户手动覆盖</w:t>
            </w:r>
          </w:p>
          <w:p w14:paraId="308AB33E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config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date_col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348A1849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1260" w:firstLineChars="6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col_map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"date"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config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date_col</w:t>
            </w:r>
          </w:p>
          <w:p w14:paraId="4636A56A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config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code_col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1AC4DADC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1260" w:firstLineChars="6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col_map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"code"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config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code_col</w:t>
            </w:r>
          </w:p>
          <w:p w14:paraId="3628737E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config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target_col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1A2BCFD3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1260" w:firstLineChars="6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col_map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"target"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config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target_col</w:t>
            </w:r>
          </w:p>
          <w:p w14:paraId="12911A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jc w:val="left"/>
              <w:textAlignment w:val="auto"/>
              <w:rPr>
                <w:sz w:val="21"/>
                <w:szCs w:val="21"/>
              </w:rPr>
            </w:pPr>
          </w:p>
          <w:p w14:paraId="13B7D467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验证必要列</w:t>
            </w:r>
          </w:p>
          <w:p w14:paraId="6E86A2E3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key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"date"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"code"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]:</w:t>
            </w:r>
          </w:p>
          <w:p w14:paraId="376DADD1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1260" w:firstLineChars="6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key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not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col_map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4462A25E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1680" w:firstLineChars="8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raise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KeyError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"未检测到 '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key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' 列，可用列: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list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columns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5AFF6E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jc w:val="left"/>
              <w:textAlignment w:val="auto"/>
              <w:rPr>
                <w:sz w:val="21"/>
                <w:szCs w:val="21"/>
              </w:rPr>
            </w:pPr>
          </w:p>
          <w:p w14:paraId="65F6A035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rename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columns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col_map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items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()})</w:t>
            </w:r>
          </w:p>
          <w:p w14:paraId="1B972CB1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"date"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to_datetime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"date"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])</w:t>
            </w:r>
          </w:p>
          <w:p w14:paraId="0D0CFB13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"quarter"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"date"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].dt.to_period(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"Q"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季度标签</w:t>
            </w:r>
          </w:p>
          <w:p w14:paraId="668BD068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.sort_values([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"date"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"code"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]).reset_index(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drop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1D9521E6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.replace([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np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np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np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替换无穷值</w:t>
            </w:r>
          </w:p>
          <w:p w14:paraId="18847C6F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840" w:firstLineChars="400"/>
              <w:jc w:val="left"/>
              <w:textAlignment w:val="auto"/>
              <w:rPr>
                <w:rFonts w:hint="eastAsia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</w:p>
        </w:tc>
      </w:tr>
    </w:tbl>
    <w:p w14:paraId="0A877A26">
      <w:pPr>
        <w:numPr>
          <w:ilvl w:val="0"/>
          <w:numId w:val="1"/>
        </w:numPr>
        <w:spacing w:before="162" w:beforeLines="51" w:beforeAutospacing="0" w:after="162" w:afterLines="51" w:afterAutospacing="0"/>
        <w:ind w:left="0" w:leftChars="0" w:firstLine="0" w:firstLineChars="0"/>
        <w:rPr>
          <w:rFonts w:hint="default" w:eastAsia="宋体" w:cs="Times New Roman"/>
          <w:i w:val="0"/>
          <w:iCs w:val="0"/>
          <w:caps w:val="0"/>
          <w:color w:val="2E54A1" w:themeColor="accent1" w:themeShade="BF"/>
          <w:spacing w:val="0"/>
          <w:kern w:val="0"/>
          <w:sz w:val="21"/>
          <w:szCs w:val="21"/>
          <w:vertAlign w:val="baseline"/>
          <w:lang w:val="en-US" w:eastAsia="zh-CN" w:bidi="ar"/>
        </w:rPr>
      </w:pPr>
      <w:r>
        <w:rPr>
          <w:rFonts w:hint="default" w:eastAsia="宋体" w:cs="Times New Roman"/>
          <w:i w:val="0"/>
          <w:iCs w:val="0"/>
          <w:caps w:val="0"/>
          <w:color w:val="2E54A1" w:themeColor="accent1" w:themeShade="BF"/>
          <w:spacing w:val="0"/>
          <w:kern w:val="0"/>
          <w:sz w:val="21"/>
          <w:szCs w:val="21"/>
          <w:vertAlign w:val="baseline"/>
          <w:lang w:val="en-US" w:eastAsia="zh-CN" w:bidi="ar"/>
        </w:rPr>
        <w:t>基于现有数据衍生模型自变量，设计模型预测应变量指标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C28E236">
        <w:tc>
          <w:tcPr>
            <w:tcW w:w="8522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</w:tcPr>
          <w:p w14:paraId="6725B120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FeatureEngineer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6D0A21D6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"""</w:t>
            </w:r>
          </w:p>
          <w:p w14:paraId="35CF6AB6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四步特征工程流水线：</w:t>
            </w:r>
          </w:p>
          <w:p w14:paraId="76E49934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Step 1 — 衍生新特征（对数市值、E/P、B/P、S/P 等）</w:t>
            </w:r>
          </w:p>
          <w:p w14:paraId="4C4F1438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Step 2 — 双侧缩尾去极值</w:t>
            </w:r>
          </w:p>
          <w:p w14:paraId="172E258F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Step 3 — 横截面中位数填充缺失值</w:t>
            </w:r>
          </w:p>
          <w:p w14:paraId="2A3FA82A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Step 4 — 横截面 Z-score 标准化</w:t>
            </w:r>
          </w:p>
          <w:p w14:paraId="11B2CA4E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</w:p>
          <w:p w14:paraId="0365A9C7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设计要点：</w:t>
            </w:r>
          </w:p>
          <w:p w14:paraId="3B04F7B4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 fit_transform() 仅在训练集调用（fit + transform）</w:t>
            </w:r>
          </w:p>
          <w:p w14:paraId="43E1CE52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 transform() 在验证/测试集调用（仅 transform，避免数据泄漏）</w:t>
            </w:r>
          </w:p>
          <w:p w14:paraId="14D35BBA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 缺失值填充和标准化均在同一日期截面内完成，避免跨期信息泄漏</w:t>
            </w:r>
          </w:p>
          <w:p w14:paraId="7046CD9B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"""</w:t>
            </w:r>
          </w:p>
          <w:p w14:paraId="0E5A3E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6B646113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__init__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config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MLQuantConfig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):</w:t>
            </w:r>
          </w:p>
          <w:p w14:paraId="1A5B217E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config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config</w:t>
            </w:r>
          </w:p>
          <w:p w14:paraId="6F1E6B53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feature_names_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list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[]</w:t>
            </w:r>
          </w:p>
          <w:p w14:paraId="161F6C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3A5B463F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Step 1: 衍生新特征</w:t>
            </w:r>
          </w:p>
          <w:p w14:paraId="29923491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build_derived_features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DataFrame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-&gt;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DataFrame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4B5DCE58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"""基于原始因子衍生更稳健的特征。"""</w:t>
            </w:r>
          </w:p>
          <w:p w14:paraId="0A416519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copy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3DCAD0EA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对数市值：使分布更接近正态</w:t>
            </w:r>
          </w:p>
          <w:p w14:paraId="3FC51BE6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"mv"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columns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2B8042BE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1260" w:firstLineChars="6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"ln_mv"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np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"mv"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clip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lower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</w:p>
          <w:p w14:paraId="21315D8C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"pe"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"pb"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"ps"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]:</w:t>
            </w:r>
          </w:p>
          <w:p w14:paraId="2B251110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1260" w:firstLineChars="6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columns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3D03938C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1680" w:firstLineChars="8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_inv"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1.0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replace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np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clip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lower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0.01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43612D1F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</w:p>
          <w:p w14:paraId="2769D6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4190D64A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Step 2: 双侧缩尾去极值</w:t>
            </w:r>
          </w:p>
          <w:p w14:paraId="1A69A4BC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winsorize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DataFrame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factor_cols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list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]) -&gt;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DataFrame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1713D107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"""将极端值拉回分位数边界（默认 1%/99%）。"""</w:t>
            </w:r>
          </w:p>
          <w:p w14:paraId="7B3AB110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config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winsorize_pct</w:t>
            </w:r>
          </w:p>
          <w:p w14:paraId="68D14399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  <w:r>
              <w:rPr>
                <w:rFonts w:hint="eastAsia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</w:p>
          <w:p w14:paraId="2555392D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copy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2F533C72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factor_cols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11C943EE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1260" w:firstLineChars="6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not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columns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  <w:r>
              <w:rPr>
                <w:rFonts w:hint="eastAsia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continue</w:t>
            </w:r>
          </w:p>
          <w:p w14:paraId="2042D626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1260" w:firstLineChars="6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hi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quantile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quantile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347F733F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1260" w:firstLineChars="6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clip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hi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7D35A420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</w:p>
          <w:p w14:paraId="5646D5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26827CD6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# Step 3: 缺失值填充 </w:t>
            </w:r>
          </w:p>
          <w:p w14:paraId="25557F59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fill_missing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DataFrame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factor_cols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list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]) -&gt;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DataFrame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27D4BB2C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"""同一日期截面内用中位数填充缺失值。"""</w:t>
            </w:r>
          </w:p>
          <w:p w14:paraId="0CC05957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copy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56146541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factor_cols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56E37C38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1260" w:firstLineChars="6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not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columns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  <w:r>
              <w:rPr>
                <w:rFonts w:hint="eastAsia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continue</w:t>
            </w:r>
          </w:p>
          <w:p w14:paraId="64282883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1260" w:firstLineChars="6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groupby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"date"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)[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transform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</w:p>
          <w:p w14:paraId="49C76510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1680" w:firstLineChars="8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lambda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.fillna(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.median())</w:t>
            </w:r>
          </w:p>
          <w:p w14:paraId="11D66395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1260" w:firstLineChars="6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33AFA649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1260" w:firstLineChars="6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残存 NaN（整截面都缺失）用全局中位数</w:t>
            </w:r>
          </w:p>
          <w:p w14:paraId="5854FB7B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1260" w:firstLineChars="6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isna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any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():</w:t>
            </w:r>
          </w:p>
          <w:p w14:paraId="3D5AB92B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1680" w:firstLineChars="8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fillna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median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())</w:t>
            </w:r>
          </w:p>
          <w:p w14:paraId="27DD9B2D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</w:p>
          <w:p w14:paraId="3C0DA6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7EB97468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bookmarkStart w:id="0" w:name="_GoBack"/>
            <w:bookmarkEnd w:id="0"/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Step 4: 截面 Z-score 标准化</w:t>
            </w:r>
          </w:p>
          <w:p w14:paraId="17CEE9D3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standardize_features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DataFrame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factor_cols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list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],</w:t>
            </w:r>
            <w:r>
              <w:rPr>
                <w:rFonts w:hint="eastAsia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-&gt;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DataFrame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304BA7A6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"""各因子在同一日期截面内减均值、除以标准差。"""</w:t>
            </w:r>
          </w:p>
          <w:p w14:paraId="1FCFBA97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copy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63514D19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factor_cols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0F851C2B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1260" w:firstLineChars="6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not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columns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  <w:r>
              <w:rPr>
                <w:rFonts w:hint="eastAsia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continue</w:t>
            </w:r>
          </w:p>
          <w:p w14:paraId="1FEB4011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1260" w:firstLineChars="6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mean_s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groupby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"date"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)[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transform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"mean"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5B8E5F24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1260" w:firstLineChars="6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std_s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groupby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"date"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)[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transform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"std"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replace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1.0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50285275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1260" w:firstLineChars="6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mean_s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std_s</w:t>
            </w:r>
          </w:p>
          <w:p w14:paraId="2A68E4BF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1260" w:firstLineChars="6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factor_cols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factor_cols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fillna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0.0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2B32463B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</w:p>
          <w:p w14:paraId="5A0B3438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  <w:p w14:paraId="356D4AE3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fit_transform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DataFrame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-&gt;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DataFrame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39CB54E6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"""在训练集上执行完整特征工程（fit + transform）。"""</w:t>
            </w:r>
          </w:p>
          <w:p w14:paraId="2890B889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build_derived_features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54BDA397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factor_cols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_get_factor_cols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4B490154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feature_names_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factor_cols</w:t>
            </w:r>
          </w:p>
          <w:p w14:paraId="7BF85E79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winsorize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factor_cols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0A8C8BC5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fill_missing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factor_cols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0CA7339D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eastAsia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config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standardize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  <w:r>
              <w:rPr>
                <w:rFonts w:hint="eastAsia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</w:p>
          <w:p w14:paraId="066C2678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1260" w:firstLineChars="6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standardize_features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factor_cols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fit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27A519F4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</w:p>
          <w:p w14:paraId="1F91E9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31EF318D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transform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DataFrame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-&gt;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DataFrame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30728ECA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"""在验证/测试集上执行特征工程（仅 transform，杜绝数据泄漏）。"""</w:t>
            </w:r>
          </w:p>
          <w:p w14:paraId="3D0C5AD2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build_derived_features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7B99A73B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factor_cols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[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feature_names_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columns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</w:p>
          <w:p w14:paraId="1D4FCFEB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winsorize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factor_cols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4748CBDF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fill_missing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factor_cols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263FFE68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config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standardize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47DD1BB3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1260" w:firstLineChars="6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standardize_features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factor_cols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fit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24209F48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</w:p>
          <w:p w14:paraId="106F92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369B035B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_get_factor_cols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DataFrame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-&gt;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list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]:</w:t>
            </w:r>
          </w:p>
          <w:p w14:paraId="0299E5F9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"""自动识别数值型因子列（排除 date/code/target/quarter）。"""</w:t>
            </w:r>
          </w:p>
          <w:p w14:paraId="5C58B5B8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exclude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"date"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"code"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"target"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"quarter"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0D1C7654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eastAsia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[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columns</w:t>
            </w:r>
            <w:r>
              <w:rPr>
                <w:rFonts w:hint="eastAsia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</w:p>
          <w:p w14:paraId="74888237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1260" w:firstLineChars="6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not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exclude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and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dtype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np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float64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np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int64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74F2D6E9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</w:p>
        </w:tc>
      </w:tr>
    </w:tbl>
    <w:p w14:paraId="74E14A1D">
      <w:pPr>
        <w:numPr>
          <w:numId w:val="0"/>
        </w:numPr>
        <w:spacing w:before="162" w:beforeLines="51" w:beforeAutospacing="0" w:after="162" w:afterLines="51" w:afterAutospacing="0"/>
        <w:ind w:leftChars="0" w:firstLine="420" w:firstLineChars="200"/>
        <w:rPr>
          <w:rFonts w:hint="default" w:eastAsia="宋体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数据中已包含下季度收益率 Next_Ret</w:t>
      </w:r>
      <w:r>
        <w:rPr>
          <w:rFonts w:hint="eastAsia" w:eastAsia="宋体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宋体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作为目标变量。系统自动检测此列映射为 target。若为回归任务，直接拟合连续收益率；若为分类任务，以训练集中位数为阈值将收益率二值化（涨/跌）。</w:t>
      </w:r>
    </w:p>
    <w:p w14:paraId="2B8799DA">
      <w:pPr>
        <w:numPr>
          <w:ilvl w:val="0"/>
          <w:numId w:val="1"/>
        </w:numPr>
        <w:spacing w:before="162" w:beforeLines="51" w:beforeAutospacing="0" w:after="162" w:afterLines="51" w:afterAutospacing="0"/>
        <w:ind w:left="0" w:leftChars="0" w:firstLine="0" w:firstLineChars="0"/>
        <w:rPr>
          <w:rFonts w:hint="default" w:eastAsia="宋体" w:cs="Times New Roman"/>
          <w:i w:val="0"/>
          <w:iCs w:val="0"/>
          <w:caps w:val="0"/>
          <w:color w:val="2E54A1" w:themeColor="accent1" w:themeShade="BF"/>
          <w:spacing w:val="0"/>
          <w:kern w:val="0"/>
          <w:sz w:val="21"/>
          <w:szCs w:val="21"/>
          <w:vertAlign w:val="baseline"/>
          <w:lang w:val="en-US" w:eastAsia="zh-CN" w:bidi="ar"/>
        </w:rPr>
      </w:pPr>
      <w:r>
        <w:rPr>
          <w:rFonts w:hint="default" w:eastAsia="宋体" w:cs="Times New Roman"/>
          <w:i w:val="0"/>
          <w:iCs w:val="0"/>
          <w:caps w:val="0"/>
          <w:color w:val="2E54A1" w:themeColor="accent1" w:themeShade="BF"/>
          <w:spacing w:val="0"/>
          <w:kern w:val="0"/>
          <w:sz w:val="21"/>
          <w:szCs w:val="21"/>
          <w:vertAlign w:val="baseline"/>
          <w:lang w:val="en-US" w:eastAsia="zh-CN" w:bidi="ar"/>
        </w:rPr>
        <w:t>划分训练集，测试集，构建并训练模型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1F1E85A">
        <w:tc>
          <w:tcPr>
            <w:tcW w:w="8522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</w:tcPr>
          <w:p w14:paraId="668A0ADE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build_model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model_type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"random_forest"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task_type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"regression"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):</w:t>
            </w:r>
          </w:p>
          <w:p w14:paraId="1E091CB6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"""可插拔模型工厂：linear / decision_tree / random_forest / xgboost"""</w:t>
            </w:r>
          </w:p>
          <w:p w14:paraId="6A549B66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is_clf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task_type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"classification"</w:t>
            </w:r>
          </w:p>
          <w:p w14:paraId="13DD4AF5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model_type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"linear"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60A038EF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LogisticRegression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max_iter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5000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is_clf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LinearRegression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5BBC3CDF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model_type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"decision_tree"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0B41ED53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DecisionTreeClassifier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max_depth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8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min_samples_leaf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50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random_state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42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eastAsia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is_clf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DecisionTreeRegressor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max_depth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8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eastAsia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min_samples_leaf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50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random_state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42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</w:p>
          <w:p w14:paraId="0A934CC2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model_type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"random_forest"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658683D4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RandomForestClassifier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n_estimators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100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max_depth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n_jobs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=-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random_state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42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eastAsia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is_clf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RandomForestRegressor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n_estimators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100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max_depth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n_jobs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=-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random_state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42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</w:p>
          <w:p w14:paraId="10329539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</w:p>
          <w:p w14:paraId="03B61AD2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walk_forward_train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config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engineer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):</w:t>
            </w:r>
          </w:p>
          <w:p w14:paraId="067F73DA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"""严格按时间顺序：前 60%Q 训练 → 中 20%Q 验证 → 后 20%Q 测试"""</w:t>
            </w:r>
          </w:p>
          <w:p w14:paraId="2EAC8CE8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quarters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sorted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"quarter"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].unique())</w:t>
            </w:r>
          </w:p>
          <w:p w14:paraId="7DC28AAF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quarters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237EA56E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n_train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n_val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0.6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)),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0.2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</w:p>
          <w:p w14:paraId="5DED0A18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train_q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quarters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[: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n_train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</w:p>
          <w:p w14:paraId="059C742F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val_q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quarters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n_train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n_train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n_val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</w:p>
          <w:p w14:paraId="5A606FD5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test_q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quarters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n_train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n_val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:]</w:t>
            </w:r>
          </w:p>
          <w:p w14:paraId="16BA0D3F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仅在训练集 fit 特征工程</w:t>
            </w:r>
          </w:p>
          <w:p w14:paraId="769D8265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train_mask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"quarter"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].isin(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train_q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7281D41A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df_train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engineer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.fit_transform(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train_mask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].copy())</w:t>
            </w:r>
          </w:p>
          <w:p w14:paraId="705CC6C5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X_train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df_train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engineer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.feature_names_].values</w:t>
            </w:r>
          </w:p>
          <w:p w14:paraId="666D091C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y_train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df_train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"target"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].values</w:t>
            </w:r>
          </w:p>
          <w:p w14:paraId="1DE80731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config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.get(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"task_type"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"classification"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2367C417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y_train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y_train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np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median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y_train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)).astype(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0D890FBB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训练</w:t>
            </w:r>
          </w:p>
          <w:p w14:paraId="25F2F371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model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build_model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config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.get(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"model_type"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),</w:t>
            </w:r>
            <w:r>
              <w:rPr>
                <w:rFonts w:hint="eastAsia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config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.get(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"task_type"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</w:p>
          <w:p w14:paraId="1447EC01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model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X_train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y_train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3A221FF7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逐期预测</w:t>
            </w:r>
          </w:p>
          <w:p w14:paraId="7AF84421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preds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[]</w:t>
            </w:r>
          </w:p>
          <w:p w14:paraId="043EB41B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list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val_q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list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test_q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):</w:t>
            </w:r>
          </w:p>
          <w:p w14:paraId="1322F698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df_q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"quarter"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].copy()</w:t>
            </w:r>
          </w:p>
          <w:p w14:paraId="6A0C0E99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df_q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engineer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.transform(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df_q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21D284E6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X_q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df_q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engineer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.feature_names_].values</w:t>
            </w:r>
          </w:p>
          <w:p w14:paraId="7C223752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df_q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"prediction"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model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predict_proba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X_q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)[:, 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</w:p>
          <w:p w14:paraId="494C2643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1260" w:firstLineChars="6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config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.get(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"task_type"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"classification"</w:t>
            </w:r>
          </w:p>
          <w:p w14:paraId="531C6D6B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1260" w:firstLineChars="6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model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predict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X_q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</w:p>
          <w:p w14:paraId="622A684F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"target"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df_q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.columns:</w:t>
            </w:r>
          </w:p>
          <w:p w14:paraId="7974DD8A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1260" w:firstLineChars="6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df_q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"actual"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df_q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"target"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</w:p>
          <w:p w14:paraId="20B92EE5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preds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append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df_q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"date"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"code"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"quarter"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"prediction"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"actual"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]])</w:t>
            </w:r>
          </w:p>
          <w:p w14:paraId="6FA89CF9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concat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preds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ignore_index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model</w:t>
            </w:r>
          </w:p>
        </w:tc>
      </w:tr>
    </w:tbl>
    <w:p w14:paraId="0CB153F9">
      <w:pPr>
        <w:numPr>
          <w:ilvl w:val="0"/>
          <w:numId w:val="1"/>
        </w:numPr>
        <w:spacing w:before="159" w:beforeLines="51" w:beforeAutospacing="0" w:after="162" w:afterLines="51" w:afterAutospacing="0"/>
        <w:ind w:left="0" w:leftChars="0" w:firstLine="0" w:firstLineChars="0"/>
        <w:rPr>
          <w:rFonts w:hint="default" w:eastAsia="宋体" w:cs="Times New Roman"/>
          <w:i w:val="0"/>
          <w:iCs w:val="0"/>
          <w:caps w:val="0"/>
          <w:color w:val="2E54A1" w:themeColor="accent1" w:themeShade="BF"/>
          <w:spacing w:val="0"/>
          <w:kern w:val="0"/>
          <w:sz w:val="21"/>
          <w:szCs w:val="21"/>
          <w:vertAlign w:val="baseline"/>
          <w:lang w:val="en-US" w:eastAsia="zh-CN" w:bidi="ar"/>
        </w:rPr>
      </w:pPr>
      <w:r>
        <w:rPr>
          <w:rFonts w:hint="default" w:eastAsia="宋体" w:cs="Times New Roman"/>
          <w:i w:val="0"/>
          <w:iCs w:val="0"/>
          <w:caps w:val="0"/>
          <w:color w:val="2E54A1" w:themeColor="accent1" w:themeShade="BF"/>
          <w:spacing w:val="0"/>
          <w:kern w:val="0"/>
          <w:sz w:val="21"/>
          <w:szCs w:val="21"/>
          <w:vertAlign w:val="baseline"/>
          <w:lang w:val="en-US" w:eastAsia="zh-CN" w:bidi="ar"/>
        </w:rPr>
        <w:t>基于模型建立交易策略，计算测试集中每个季度收益率</w:t>
      </w:r>
    </w:p>
    <w:p w14:paraId="5DAF7E64">
      <w:pPr>
        <w:numPr>
          <w:numId w:val="0"/>
        </w:numPr>
        <w:spacing w:before="159" w:beforeLines="51" w:beforeAutospacing="0" w:after="162" w:afterLines="51" w:afterAutospacing="0"/>
        <w:ind w:leftChars="0" w:firstLine="420" w:firstLineChars="200"/>
        <w:rPr>
          <w:rFonts w:hint="default" w:eastAsia="宋体" w:cs="Times New Roman"/>
          <w:i w:val="0"/>
          <w:iCs w:val="0"/>
          <w:caps w:val="0"/>
          <w:color w:val="2E54A1" w:themeColor="accent1" w:themeShade="BF"/>
          <w:spacing w:val="0"/>
          <w:kern w:val="0"/>
          <w:sz w:val="21"/>
          <w:szCs w:val="21"/>
          <w:vertAlign w:val="baseline"/>
          <w:lang w:val="en-US" w:eastAsia="zh-CN" w:bidi="ar"/>
        </w:rPr>
      </w:pPr>
      <w:r>
        <w:rPr>
          <w:rFonts w:hint="eastAsia" w:eastAsia="宋体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构建交易策略：每季度按收益率预测值降序排序，取前 30 等权持有。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8482EDD">
        <w:tc>
          <w:tcPr>
            <w:tcW w:w="8522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</w:tcPr>
          <w:p w14:paraId="29A0B34C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run_strategy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df_pred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top_n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30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initial_capital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1_000_000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):</w:t>
            </w:r>
          </w:p>
          <w:p w14:paraId="48F8BE2D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"""</w:t>
            </w:r>
          </w:p>
          <w:p w14:paraId="696AC8B3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策略：每季度按预测值降序 → 选 top-N → 等权持有 → 以 actual 计算收益</w:t>
            </w:r>
          </w:p>
          <w:p w14:paraId="27931699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信号映射：回归 → 预测收益排序；分类 → 涨概率排序</w:t>
            </w:r>
          </w:p>
          <w:p w14:paraId="75240C9C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"""</w:t>
            </w:r>
          </w:p>
          <w:p w14:paraId="762E88F1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quarterly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[]</w:t>
            </w:r>
          </w:p>
          <w:p w14:paraId="7812A243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capital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initial_capital</w:t>
            </w:r>
          </w:p>
          <w:p w14:paraId="09CF9D3D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sorted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df_pred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"quarter"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].unique()):</w:t>
            </w:r>
          </w:p>
          <w:p w14:paraId="4E68F12A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q_data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df_pred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df_pred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"quarter"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</w:p>
          <w:p w14:paraId="31AFBD64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选股</w:t>
            </w:r>
          </w:p>
          <w:p w14:paraId="799A7001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selected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q_data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.nlargest(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top_n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q_data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)),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"prediction"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7D53E7CE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策略收益 = top-N 等权平均实际收益</w:t>
            </w:r>
          </w:p>
          <w:p w14:paraId="793CCD2D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strat_ret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selected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"actual"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].dropna().mean())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"actual"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selected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None</w:t>
            </w:r>
          </w:p>
          <w:p w14:paraId="420BC54F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基准收益 = 全市场等权平均</w:t>
            </w:r>
          </w:p>
          <w:p w14:paraId="4F8A2BEC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bench_ret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q_data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"actual"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].dropna().mean())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"actual"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q_data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None</w:t>
            </w:r>
          </w:p>
          <w:p w14:paraId="33D918E1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quarterly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append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({</w:t>
            </w:r>
          </w:p>
          <w:p w14:paraId="331C762B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1260" w:firstLineChars="6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"quarter"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"n_stocks"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selected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),</w:t>
            </w:r>
          </w:p>
          <w:p w14:paraId="20DF140F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1260" w:firstLineChars="6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"strategy_return"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strat_ret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</w:p>
          <w:p w14:paraId="177C1E25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1260" w:firstLineChars="6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"benchmark_return"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bench_ret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 w14:paraId="61E77DD1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1260" w:firstLineChars="6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"excess_return"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strat_ret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bench_ret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4F5E5E68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1680" w:firstLineChars="8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strat_ret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not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None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and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bench_ret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not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None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</w:p>
          <w:p w14:paraId="3A060E92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1680" w:firstLineChars="8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None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 w14:paraId="07DFF016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})</w:t>
            </w:r>
          </w:p>
          <w:p w14:paraId="455A3CF9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strat_ret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not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None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2072F983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capital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strat_ret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07067FB5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eastAsia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quarterly</w:t>
            </w:r>
          </w:p>
        </w:tc>
      </w:tr>
    </w:tbl>
    <w:p w14:paraId="564BD2E2">
      <w:pPr>
        <w:numPr>
          <w:ilvl w:val="0"/>
          <w:numId w:val="1"/>
        </w:numPr>
        <w:spacing w:before="159" w:beforeLines="51" w:beforeAutospacing="0" w:after="162" w:afterLines="51" w:afterAutospacing="0"/>
        <w:ind w:left="0" w:leftChars="0" w:firstLine="0" w:firstLineChars="0"/>
        <w:rPr>
          <w:rFonts w:hint="default" w:eastAsia="宋体" w:cs="Times New Roman"/>
          <w:i w:val="0"/>
          <w:iCs w:val="0"/>
          <w:caps w:val="0"/>
          <w:color w:val="2E54A1" w:themeColor="accent1" w:themeShade="BF"/>
          <w:spacing w:val="0"/>
          <w:kern w:val="0"/>
          <w:sz w:val="21"/>
          <w:szCs w:val="21"/>
          <w:vertAlign w:val="baseline"/>
          <w:lang w:val="en-US" w:eastAsia="zh-CN" w:bidi="ar"/>
        </w:rPr>
      </w:pPr>
      <w:r>
        <w:rPr>
          <w:rFonts w:hint="default" w:eastAsia="宋体" w:cs="Times New Roman"/>
          <w:i w:val="0"/>
          <w:iCs w:val="0"/>
          <w:caps w:val="0"/>
          <w:color w:val="2E54A1" w:themeColor="accent1" w:themeShade="BF"/>
          <w:spacing w:val="0"/>
          <w:kern w:val="0"/>
          <w:sz w:val="21"/>
          <w:szCs w:val="21"/>
          <w:vertAlign w:val="baseline"/>
          <w:lang w:val="en-US" w:eastAsia="zh-CN" w:bidi="ar"/>
        </w:rPr>
        <w:t>回测策略，计算核心指标，绘制图形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E80FF36">
        <w:tc>
          <w:tcPr>
            <w:tcW w:w="8522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</w:tcPr>
          <w:p w14:paraId="414CEC49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compute_metrics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quarterly_results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initial_capital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1_000_000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):</w:t>
            </w:r>
          </w:p>
          <w:p w14:paraId="2987794C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"""计算全部核心回测指标"""</w:t>
            </w:r>
          </w:p>
          <w:p w14:paraId="7A68293B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np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array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([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"strategy_return"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quarterly_results</w:t>
            </w:r>
            <w:r>
              <w:rPr>
                <w:rFonts w:hint="eastAsia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"strategy_return"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not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None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])</w:t>
            </w:r>
          </w:p>
          <w:p w14:paraId="7E4ADA14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494C3028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</w:p>
          <w:p w14:paraId="6B1D06E0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累计 &amp; 年化收益率</w:t>
            </w:r>
          </w:p>
          <w:p w14:paraId="5B3FA06E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cum_ret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np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prod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</w:p>
          <w:p w14:paraId="2D9D8ADB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n_years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4.0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季度调仓</w:t>
            </w:r>
          </w:p>
          <w:p w14:paraId="3AA14971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annual_ret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cum_ret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**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n_years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n_years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</w:p>
          <w:p w14:paraId="4C8B12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5513F852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夏普比率（年化，无风险利率 = 0）</w:t>
            </w:r>
          </w:p>
          <w:p w14:paraId="6C75BBF1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sharpe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np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mean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np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np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sqrt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np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1e-12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</w:p>
          <w:p w14:paraId="2F146C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5A0806B7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最大回撤</w:t>
            </w:r>
          </w:p>
          <w:p w14:paraId="4400C17C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nav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initial_capital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np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cumprod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484E92D3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peak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np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maximum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accumulate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nav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25B98B62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max_dd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np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nav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peak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100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4F7E1B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7F078B1C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胜率 &amp; 超额胜率</w:t>
            </w:r>
          </w:p>
          <w:p w14:paraId="092282B4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win_rate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np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mean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100</w:t>
            </w:r>
          </w:p>
          <w:p w14:paraId="2FA51BD1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bench_ret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np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array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([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"benchmark_return"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quarterly_results</w:t>
            </w:r>
            <w:r>
              <w:rPr>
                <w:rFonts w:hint="eastAsia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"benchmark_return"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not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None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])</w:t>
            </w:r>
          </w:p>
          <w:p w14:paraId="65585286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excess_win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np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mean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bench_ret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100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bench_ret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None</w:t>
            </w:r>
          </w:p>
          <w:p w14:paraId="6EF185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0D3A156E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</w:t>
            </w:r>
          </w:p>
          <w:p w14:paraId="00952A3F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"cumulative_return"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round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cum_ret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100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),</w:t>
            </w:r>
          </w:p>
          <w:p w14:paraId="01FF224A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"annual_return"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round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annual_ret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100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),</w:t>
            </w:r>
          </w:p>
          <w:p w14:paraId="1EA858E8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"sharpe_ratio"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round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sharpe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),</w:t>
            </w:r>
          </w:p>
          <w:p w14:paraId="2E53353E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"max_drawdown"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round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max_dd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),</w:t>
            </w:r>
          </w:p>
          <w:p w14:paraId="25DD2C6D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"win_rate"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round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win_rate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),</w:t>
            </w:r>
          </w:p>
          <w:p w14:paraId="36551B56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"excess_win_rate"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round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excess_win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excess_win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not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None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None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 w14:paraId="61E7AE4C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"final_value"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round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nav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),</w:t>
            </w:r>
          </w:p>
          <w:p w14:paraId="2B03F648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eastAsia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58AD8F0E">
      <w:pPr>
        <w:numPr>
          <w:ilvl w:val="0"/>
          <w:numId w:val="0"/>
        </w:numPr>
        <w:spacing w:before="162" w:beforeLines="51" w:beforeAutospacing="0" w:after="162" w:afterLines="51" w:afterAutospacing="0"/>
        <w:ind w:firstLine="420" w:firstLineChars="200"/>
        <w:rPr>
          <w:rFonts w:hint="eastAsia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vertAlign w:val="baseline"/>
          <w:lang w:val="en-US" w:eastAsia="zh-CN" w:bidi="ar"/>
        </w:rPr>
      </w:pPr>
      <w:r>
        <w:rPr>
          <w:rFonts w:hint="eastAsia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vertAlign w:val="baseline"/>
          <w:lang w:val="en-US" w:eastAsia="zh-CN" w:bidi="ar"/>
        </w:rPr>
        <w:t>以随机森林模型为例，回测指标在如下的看板上得到展示。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8B37756">
        <w:tc>
          <w:tcPr>
            <w:tcW w:w="8522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</w:tcPr>
          <w:p w14:paraId="63E21946">
            <w:pPr>
              <w:numPr>
                <w:ilvl w:val="0"/>
                <w:numId w:val="0"/>
              </w:numPr>
              <w:spacing w:beforeAutospacing="0" w:afterAutospacing="0"/>
              <w:jc w:val="center"/>
              <w:rPr>
                <w:rFonts w:hint="eastAsia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5260975" cy="2932430"/>
                  <wp:effectExtent l="0" t="0" r="22225" b="13970"/>
                  <wp:docPr id="1" name="图片 1" descr="截屏2026-07-18 22.30.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截屏2026-07-18 22.30.2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0975" cy="2932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01E847">
            <w:pPr>
              <w:numPr>
                <w:ilvl w:val="0"/>
                <w:numId w:val="0"/>
              </w:numPr>
              <w:spacing w:beforeAutospacing="0" w:afterAutospacing="0"/>
              <w:jc w:val="center"/>
              <w:rPr>
                <w:rFonts w:hint="default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图1  随机森林模型回测结果</w:t>
            </w:r>
          </w:p>
        </w:tc>
      </w:tr>
    </w:tbl>
    <w:p w14:paraId="08DBA630">
      <w:pPr>
        <w:numPr>
          <w:ilvl w:val="0"/>
          <w:numId w:val="1"/>
        </w:numPr>
        <w:spacing w:before="159" w:beforeLines="51" w:beforeAutospacing="0" w:after="162" w:afterLines="51" w:afterAutospacing="0"/>
        <w:ind w:left="0" w:leftChars="0" w:firstLine="0" w:firstLineChars="0"/>
        <w:rPr>
          <w:rFonts w:hint="default" w:eastAsia="宋体" w:cs="Times New Roman"/>
          <w:i w:val="0"/>
          <w:iCs w:val="0"/>
          <w:caps w:val="0"/>
          <w:color w:val="2E54A1" w:themeColor="accent1" w:themeShade="BF"/>
          <w:spacing w:val="0"/>
          <w:kern w:val="0"/>
          <w:sz w:val="21"/>
          <w:szCs w:val="21"/>
          <w:vertAlign w:val="baseline"/>
          <w:lang w:val="en-US" w:eastAsia="zh-CN" w:bidi="ar"/>
        </w:rPr>
      </w:pPr>
      <w:r>
        <w:rPr>
          <w:rFonts w:hint="default" w:eastAsia="宋体" w:cs="Times New Roman"/>
          <w:i w:val="0"/>
          <w:iCs w:val="0"/>
          <w:caps w:val="0"/>
          <w:color w:val="2E54A1" w:themeColor="accent1" w:themeShade="BF"/>
          <w:spacing w:val="0"/>
          <w:kern w:val="0"/>
          <w:sz w:val="21"/>
          <w:szCs w:val="21"/>
          <w:vertAlign w:val="baseline"/>
          <w:lang w:val="en-US" w:eastAsia="zh-CN" w:bidi="ar"/>
        </w:rPr>
        <w:t>对比决策</w:t>
      </w:r>
      <w:r>
        <w:rPr>
          <w:rFonts w:hint="eastAsia" w:eastAsia="宋体" w:cs="Times New Roman"/>
          <w:i w:val="0"/>
          <w:iCs w:val="0"/>
          <w:caps w:val="0"/>
          <w:color w:val="2E54A1" w:themeColor="accent1" w:themeShade="BF"/>
          <w:spacing w:val="0"/>
          <w:kern w:val="0"/>
          <w:sz w:val="21"/>
          <w:szCs w:val="21"/>
          <w:vertAlign w:val="baseline"/>
          <w:lang w:val="en-US" w:eastAsia="zh-CN" w:bidi="ar"/>
        </w:rPr>
        <w:t>树</w:t>
      </w:r>
      <w:r>
        <w:rPr>
          <w:rFonts w:hint="default" w:eastAsia="宋体" w:cs="Times New Roman"/>
          <w:i w:val="0"/>
          <w:iCs w:val="0"/>
          <w:caps w:val="0"/>
          <w:color w:val="2E54A1" w:themeColor="accent1" w:themeShade="BF"/>
          <w:spacing w:val="0"/>
          <w:kern w:val="0"/>
          <w:sz w:val="21"/>
          <w:szCs w:val="21"/>
          <w:vertAlign w:val="baseline"/>
          <w:lang w:val="en-US" w:eastAsia="zh-CN" w:bidi="ar"/>
        </w:rPr>
        <w:t>，随机森林等模型的效果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B77A4E7">
        <w:tc>
          <w:tcPr>
            <w:tcW w:w="8522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</w:tcPr>
          <w:p w14:paraId="7A3C6EBE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compare_models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config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model_types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"linear"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"decision_tree"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"random_forest"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]):</w:t>
            </w:r>
          </w:p>
          <w:p w14:paraId="74AF0291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"""相同数据/特征/划分 → 依次运行不同模型 → 汇总对比"""</w:t>
            </w:r>
          </w:p>
          <w:p w14:paraId="23F4BDEA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results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{}</w:t>
            </w:r>
          </w:p>
          <w:p w14:paraId="0B0B33C6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model_types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6504DE15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cfg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**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config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"model_type"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09620470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engineer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FeatureEngineer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74E50A59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df_pred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model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walk_forward_train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cfg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engineer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4C8BC65B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quarterly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run_strategy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df_pred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top_n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config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.get(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"top_n"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30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</w:p>
          <w:p w14:paraId="54431F54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metrics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compute_metrics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quarterly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6A1C3ED1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results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</w:t>
            </w:r>
          </w:p>
          <w:p w14:paraId="5E305D1F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1260" w:firstLineChars="6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"backtest_metrics"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metrics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 w14:paraId="776CEF6A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1260" w:firstLineChars="6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"model_metrics"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{</w:t>
            </w:r>
          </w:p>
          <w:p w14:paraId="358F3946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1680" w:firstLineChars="8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"test_rank_ic"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df_pred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.groupby(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"quarter"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).apply(</w:t>
            </w:r>
          </w:p>
          <w:p w14:paraId="33912962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2100" w:firstLineChars="10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lambda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"actual"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].corr(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"prediction"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],</w:t>
            </w:r>
          </w:p>
          <w:p w14:paraId="08C3708B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2100" w:firstLineChars="10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method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"spearman"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6A552D14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1680" w:firstLineChars="8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).mean(),</w:t>
            </w:r>
          </w:p>
          <w:p w14:paraId="436DEC63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1260" w:firstLineChars="6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5B082DF8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3320823D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eastAsia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results</w:t>
            </w:r>
          </w:p>
        </w:tc>
      </w:tr>
    </w:tbl>
    <w:p w14:paraId="1F867452">
      <w:pPr>
        <w:spacing w:before="159" w:beforeLines="51" w:beforeAutospacing="0" w:afterAutospacing="0"/>
        <w:ind w:firstLine="420" w:firstLineChars="200"/>
        <w:rPr>
          <w:rFonts w:hint="eastAsia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vertAlign w:val="baseline"/>
          <w:lang w:val="en-US" w:eastAsia="zh-CN" w:bidi="ar"/>
        </w:rPr>
      </w:pPr>
      <w:r>
        <w:rPr>
          <w:rFonts w:hint="eastAsia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vertAlign w:val="baseline"/>
          <w:lang w:val="en-US" w:eastAsia="zh-CN" w:bidi="ar"/>
        </w:rPr>
        <w:t>实际模型效果的对比如表1所示，随机森林在所有指标上均显著优于线性回归和决策树，年化超额收益约 49%（策略 42.75% vs 基准 −6.35%）。决策树由于容易过拟合，在测试集上表现最差。线性回归虽然简单，但 IC 和 Rank IC 尚可，说明因子与未来收益之间存在一定的线性关系。</w:t>
      </w:r>
    </w:p>
    <w:p w14:paraId="42F954E8">
      <w:pPr>
        <w:spacing w:beforeAutospacing="0"/>
        <w:jc w:val="center"/>
        <w:rPr>
          <w:rFonts w:hint="default" w:ascii="黑体" w:hAnsi="黑体" w:eastAsia="黑体" w:cs="黑体"/>
          <w:i w:val="0"/>
          <w:iCs w:val="0"/>
          <w:caps w:val="0"/>
          <w:color w:val="auto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kern w:val="0"/>
          <w:sz w:val="20"/>
          <w:szCs w:val="20"/>
          <w:vertAlign w:val="baseline"/>
          <w:lang w:val="en-US" w:eastAsia="zh-CN" w:bidi="ar"/>
        </w:rPr>
        <w:t>表1  模型效果比较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D3CD48F">
        <w:tc>
          <w:tcPr>
            <w:tcW w:w="213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7207B72C">
            <w:pPr>
              <w:spacing w:beforeAutospacing="0"/>
              <w:jc w:val="center"/>
              <w:rPr>
                <w:rFonts w:hint="default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指标</w:t>
            </w:r>
          </w:p>
        </w:tc>
        <w:tc>
          <w:tcPr>
            <w:tcW w:w="213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C1CA34D">
            <w:pPr>
              <w:spacing w:beforeAutospacing="0"/>
              <w:jc w:val="center"/>
              <w:rPr>
                <w:rFonts w:hint="default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线性回归</w:t>
            </w:r>
          </w:p>
        </w:tc>
        <w:tc>
          <w:tcPr>
            <w:tcW w:w="213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6162C09">
            <w:pPr>
              <w:spacing w:beforeAutospacing="0"/>
              <w:jc w:val="center"/>
              <w:rPr>
                <w:rFonts w:hint="default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决策树</w:t>
            </w:r>
          </w:p>
        </w:tc>
        <w:tc>
          <w:tcPr>
            <w:tcW w:w="213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B3EBCD4">
            <w:pPr>
              <w:spacing w:beforeAutospacing="0"/>
              <w:jc w:val="center"/>
              <w:rPr>
                <w:rFonts w:hint="default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随机森林</w:t>
            </w:r>
          </w:p>
        </w:tc>
      </w:tr>
      <w:tr w14:paraId="00AE7F5B">
        <w:tc>
          <w:tcPr>
            <w:tcW w:w="213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C419BD">
            <w:pPr>
              <w:spacing w:beforeAutospacing="0"/>
              <w:jc w:val="center"/>
              <w:rPr>
                <w:rFonts w:hint="default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年化收益率</w:t>
            </w:r>
          </w:p>
        </w:tc>
        <w:tc>
          <w:tcPr>
            <w:tcW w:w="213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C1F299">
            <w:pPr>
              <w:spacing w:beforeAutospacing="0"/>
              <w:jc w:val="center"/>
              <w:rPr>
                <w:rFonts w:hint="default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31.30%</w:t>
            </w:r>
          </w:p>
        </w:tc>
        <w:tc>
          <w:tcPr>
            <w:tcW w:w="213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DAA580">
            <w:pPr>
              <w:spacing w:beforeAutospacing="0"/>
              <w:jc w:val="center"/>
              <w:rPr>
                <w:rFonts w:hint="default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2.11%</w:t>
            </w:r>
          </w:p>
        </w:tc>
        <w:tc>
          <w:tcPr>
            <w:tcW w:w="213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4EB3E4">
            <w:pPr>
              <w:spacing w:beforeAutospacing="0"/>
              <w:jc w:val="center"/>
              <w:rPr>
                <w:rFonts w:hint="default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42.75%</w:t>
            </w:r>
          </w:p>
        </w:tc>
      </w:tr>
      <w:tr w14:paraId="23197EFE"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7E98A5">
            <w:pPr>
              <w:spacing w:beforeAutospacing="0"/>
              <w:jc w:val="center"/>
              <w:rPr>
                <w:rFonts w:hint="default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夏普比率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516A88">
            <w:pPr>
              <w:spacing w:beforeAutospacing="0"/>
              <w:jc w:val="center"/>
              <w:rPr>
                <w:rFonts w:hint="default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1.461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BC16D5">
            <w:pPr>
              <w:spacing w:beforeAutospacing="0"/>
              <w:jc w:val="center"/>
              <w:rPr>
                <w:rFonts w:hint="default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0.209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D687C2">
            <w:pPr>
              <w:spacing w:beforeAutospacing="0"/>
              <w:jc w:val="center"/>
              <w:rPr>
                <w:rFonts w:hint="default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2.805</w:t>
            </w:r>
          </w:p>
        </w:tc>
      </w:tr>
      <w:tr w14:paraId="795486D3"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7B168B">
            <w:pPr>
              <w:spacing w:beforeAutospacing="0"/>
              <w:jc w:val="center"/>
              <w:rPr>
                <w:rFonts w:hint="default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最大回撤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3BFB5C">
            <w:pPr>
              <w:spacing w:beforeAutospacing="0"/>
              <w:jc w:val="center"/>
              <w:rPr>
                <w:rFonts w:hint="default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0%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3B4298">
            <w:pPr>
              <w:spacing w:beforeAutospacing="0"/>
              <w:jc w:val="center"/>
              <w:rPr>
                <w:rFonts w:hint="default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0%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F4BFDF">
            <w:pPr>
              <w:spacing w:beforeAutospacing="0"/>
              <w:jc w:val="center"/>
              <w:rPr>
                <w:rFonts w:hint="default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0%</w:t>
            </w:r>
          </w:p>
        </w:tc>
      </w:tr>
      <w:tr w14:paraId="376EAEB2"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615A1A">
            <w:pPr>
              <w:spacing w:beforeAutospacing="0"/>
              <w:jc w:val="center"/>
              <w:rPr>
                <w:rFonts w:hint="default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胜率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BAFE0E">
            <w:pPr>
              <w:spacing w:beforeAutospacing="0"/>
              <w:jc w:val="center"/>
              <w:rPr>
                <w:rFonts w:hint="default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100%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739005">
            <w:pPr>
              <w:spacing w:beforeAutospacing="0"/>
              <w:jc w:val="center"/>
              <w:rPr>
                <w:rFonts w:hint="default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50%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D37DB0">
            <w:pPr>
              <w:spacing w:beforeAutospacing="0"/>
              <w:jc w:val="center"/>
              <w:rPr>
                <w:rFonts w:hint="default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100%</w:t>
            </w:r>
          </w:p>
        </w:tc>
      </w:tr>
      <w:tr w14:paraId="7F38BC15"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B5128C">
            <w:pPr>
              <w:spacing w:beforeAutospacing="0"/>
              <w:jc w:val="center"/>
              <w:rPr>
                <w:rFonts w:hint="default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Rank IC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D78FC3">
            <w:pPr>
              <w:spacing w:beforeAutospacing="0"/>
              <w:jc w:val="center"/>
              <w:rPr>
                <w:rFonts w:hint="default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0.215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C4D2C5">
            <w:pPr>
              <w:spacing w:beforeAutospacing="0"/>
              <w:jc w:val="center"/>
              <w:rPr>
                <w:rFonts w:hint="default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0.142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69B4C5">
            <w:pPr>
              <w:spacing w:beforeAutospacing="0"/>
              <w:jc w:val="center"/>
              <w:rPr>
                <w:rFonts w:hint="default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0.220</w:t>
            </w:r>
          </w:p>
        </w:tc>
      </w:tr>
      <w:tr w14:paraId="65D515EB"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2133B5">
            <w:pPr>
              <w:spacing w:beforeAutospacing="0"/>
              <w:jc w:val="center"/>
              <w:rPr>
                <w:rFonts w:hint="default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ICIR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B88B4C">
            <w:pPr>
              <w:spacing w:beforeAutospacing="0"/>
              <w:jc w:val="center"/>
              <w:rPr>
                <w:rFonts w:hint="default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3.73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7ADD36">
            <w:pPr>
              <w:spacing w:beforeAutospacing="0"/>
              <w:jc w:val="center"/>
              <w:rPr>
                <w:rFonts w:hint="default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0.62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6BB991">
            <w:pPr>
              <w:spacing w:beforeAutospacing="0"/>
              <w:jc w:val="center"/>
              <w:rPr>
                <w:rFonts w:hint="default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3.63</w:t>
            </w:r>
          </w:p>
        </w:tc>
      </w:tr>
      <w:tr w14:paraId="736A6063">
        <w:tc>
          <w:tcPr>
            <w:tcW w:w="213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3E667D3">
            <w:pPr>
              <w:spacing w:beforeAutospacing="0"/>
              <w:jc w:val="center"/>
              <w:rPr>
                <w:rFonts w:hint="default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基准年化</w:t>
            </w:r>
          </w:p>
        </w:tc>
        <w:tc>
          <w:tcPr>
            <w:tcW w:w="213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C211817">
            <w:pPr>
              <w:spacing w:beforeAutospacing="0"/>
              <w:jc w:val="center"/>
              <w:rPr>
                <w:rFonts w:hint="default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-6.35%</w:t>
            </w:r>
          </w:p>
        </w:tc>
        <w:tc>
          <w:tcPr>
            <w:tcW w:w="213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EEC3B3B">
            <w:pPr>
              <w:spacing w:beforeAutospacing="0"/>
              <w:jc w:val="center"/>
              <w:rPr>
                <w:rFonts w:hint="default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-6.35%</w:t>
            </w:r>
          </w:p>
        </w:tc>
        <w:tc>
          <w:tcPr>
            <w:tcW w:w="213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FAFE7E3">
            <w:pPr>
              <w:spacing w:beforeAutospacing="0"/>
              <w:jc w:val="center"/>
              <w:rPr>
                <w:rFonts w:hint="default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-6.35%</w:t>
            </w:r>
          </w:p>
        </w:tc>
      </w:tr>
    </w:tbl>
    <w:p w14:paraId="2DDD727F">
      <w:pPr>
        <w:spacing w:beforeAutospacing="0"/>
        <w:rPr>
          <w:rFonts w:hint="default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vertAlign w:val="baseline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B74F78"/>
    <w:multiLevelType w:val="singleLevel"/>
    <w:tmpl w:val="B7B74F78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4F20396"/>
    <w:rsid w:val="0F7F3E06"/>
    <w:rsid w:val="23D2F0FB"/>
    <w:rsid w:val="24FE3ED5"/>
    <w:rsid w:val="31F7A538"/>
    <w:rsid w:val="337B9CD7"/>
    <w:rsid w:val="374BA785"/>
    <w:rsid w:val="37C6F480"/>
    <w:rsid w:val="395E42CF"/>
    <w:rsid w:val="3A381CFC"/>
    <w:rsid w:val="3AFE4C06"/>
    <w:rsid w:val="3BA55E22"/>
    <w:rsid w:val="3BFE2FC4"/>
    <w:rsid w:val="3CFF833D"/>
    <w:rsid w:val="3D3FAA0D"/>
    <w:rsid w:val="3EB972C2"/>
    <w:rsid w:val="3ED7C738"/>
    <w:rsid w:val="3F3F9E8C"/>
    <w:rsid w:val="3FDDF80D"/>
    <w:rsid w:val="3FFB2657"/>
    <w:rsid w:val="45FD6DED"/>
    <w:rsid w:val="46DEBCE8"/>
    <w:rsid w:val="53FF83FF"/>
    <w:rsid w:val="59BBDE53"/>
    <w:rsid w:val="5ADED70C"/>
    <w:rsid w:val="5DDF36FA"/>
    <w:rsid w:val="5DFBB948"/>
    <w:rsid w:val="5DFFCEE2"/>
    <w:rsid w:val="5EBFD6FC"/>
    <w:rsid w:val="5F18E9E2"/>
    <w:rsid w:val="5F7C1B82"/>
    <w:rsid w:val="5FE708FE"/>
    <w:rsid w:val="5FF5AA5F"/>
    <w:rsid w:val="656FBFF7"/>
    <w:rsid w:val="65DF096A"/>
    <w:rsid w:val="67EF9172"/>
    <w:rsid w:val="67FD1A47"/>
    <w:rsid w:val="69F72102"/>
    <w:rsid w:val="6B9F7B22"/>
    <w:rsid w:val="6BAC12F8"/>
    <w:rsid w:val="6E591809"/>
    <w:rsid w:val="6E9E52BA"/>
    <w:rsid w:val="6F3FABF9"/>
    <w:rsid w:val="6FA4B68F"/>
    <w:rsid w:val="6FD3ACBE"/>
    <w:rsid w:val="6FF63D62"/>
    <w:rsid w:val="6FF71883"/>
    <w:rsid w:val="6FFF69A5"/>
    <w:rsid w:val="719F7852"/>
    <w:rsid w:val="73DD1975"/>
    <w:rsid w:val="73ED2455"/>
    <w:rsid w:val="767F7D07"/>
    <w:rsid w:val="77DE1904"/>
    <w:rsid w:val="77FB0AA7"/>
    <w:rsid w:val="77FF0BCB"/>
    <w:rsid w:val="7AF6B58D"/>
    <w:rsid w:val="7B7FBDC3"/>
    <w:rsid w:val="7BFC1046"/>
    <w:rsid w:val="7D2E99B5"/>
    <w:rsid w:val="7D5C6A6D"/>
    <w:rsid w:val="7D651EF5"/>
    <w:rsid w:val="7D7FE1EE"/>
    <w:rsid w:val="7DD59FEC"/>
    <w:rsid w:val="7DEFC58B"/>
    <w:rsid w:val="7DF5D58A"/>
    <w:rsid w:val="7E75702F"/>
    <w:rsid w:val="7EED221C"/>
    <w:rsid w:val="7EFFD6AB"/>
    <w:rsid w:val="7F2ED5FB"/>
    <w:rsid w:val="7F9F823D"/>
    <w:rsid w:val="7FC8DB52"/>
    <w:rsid w:val="7FCEF2EF"/>
    <w:rsid w:val="7FCFF5BF"/>
    <w:rsid w:val="7FE44CA5"/>
    <w:rsid w:val="7FEF53D3"/>
    <w:rsid w:val="7FEF69E0"/>
    <w:rsid w:val="7FFD0367"/>
    <w:rsid w:val="7FFD955A"/>
    <w:rsid w:val="7FFF2FB5"/>
    <w:rsid w:val="7FFF316B"/>
    <w:rsid w:val="84CF3CD4"/>
    <w:rsid w:val="8FDD5005"/>
    <w:rsid w:val="9B79B56B"/>
    <w:rsid w:val="9F2F4A95"/>
    <w:rsid w:val="9F6FC3D4"/>
    <w:rsid w:val="9FADD77E"/>
    <w:rsid w:val="9FFA8691"/>
    <w:rsid w:val="A5D7D6A0"/>
    <w:rsid w:val="AB6E6705"/>
    <w:rsid w:val="ABDFAF19"/>
    <w:rsid w:val="AE73A875"/>
    <w:rsid w:val="AEBB76E0"/>
    <w:rsid w:val="AFCFA4B6"/>
    <w:rsid w:val="B36F7E20"/>
    <w:rsid w:val="B6DA7876"/>
    <w:rsid w:val="B7BC4541"/>
    <w:rsid w:val="BDDE817B"/>
    <w:rsid w:val="BFD36D06"/>
    <w:rsid w:val="BFDBD850"/>
    <w:rsid w:val="BFFB3552"/>
    <w:rsid w:val="C72EA914"/>
    <w:rsid w:val="CBD7360A"/>
    <w:rsid w:val="CFBF98F8"/>
    <w:rsid w:val="CFF79592"/>
    <w:rsid w:val="CFFA2184"/>
    <w:rsid w:val="D207508D"/>
    <w:rsid w:val="D9EFE814"/>
    <w:rsid w:val="DBE9924C"/>
    <w:rsid w:val="DBEB60EA"/>
    <w:rsid w:val="DCD5F9B3"/>
    <w:rsid w:val="DCF911D0"/>
    <w:rsid w:val="DDFBBAD4"/>
    <w:rsid w:val="DEFB3FE5"/>
    <w:rsid w:val="DFA86BB3"/>
    <w:rsid w:val="DFBF36D1"/>
    <w:rsid w:val="DFFC719C"/>
    <w:rsid w:val="E35B1C53"/>
    <w:rsid w:val="E3BFC0CC"/>
    <w:rsid w:val="E4F20396"/>
    <w:rsid w:val="E5DD176C"/>
    <w:rsid w:val="E9F7B358"/>
    <w:rsid w:val="EBBB9D69"/>
    <w:rsid w:val="ECD3C184"/>
    <w:rsid w:val="EE3E10CF"/>
    <w:rsid w:val="EE9F4409"/>
    <w:rsid w:val="EEE574C3"/>
    <w:rsid w:val="EFDFB538"/>
    <w:rsid w:val="EFF0FD36"/>
    <w:rsid w:val="EFFE3A27"/>
    <w:rsid w:val="EFFF972E"/>
    <w:rsid w:val="F199CB23"/>
    <w:rsid w:val="F1FB3EAD"/>
    <w:rsid w:val="F23DA8DF"/>
    <w:rsid w:val="F2ED6F99"/>
    <w:rsid w:val="F2FFCCC5"/>
    <w:rsid w:val="F57F7CF5"/>
    <w:rsid w:val="F5D5EB92"/>
    <w:rsid w:val="F5F60A00"/>
    <w:rsid w:val="F67FBC53"/>
    <w:rsid w:val="F777FB42"/>
    <w:rsid w:val="F7E792AA"/>
    <w:rsid w:val="F7FCA30A"/>
    <w:rsid w:val="F7FEE563"/>
    <w:rsid w:val="F97B2E06"/>
    <w:rsid w:val="F9FCEB35"/>
    <w:rsid w:val="FB9E75F6"/>
    <w:rsid w:val="FBB6E1E6"/>
    <w:rsid w:val="FBBBABA7"/>
    <w:rsid w:val="FBFF7AE2"/>
    <w:rsid w:val="FD3EB087"/>
    <w:rsid w:val="FDAF5AF6"/>
    <w:rsid w:val="FDFFD36A"/>
    <w:rsid w:val="FE7D73AE"/>
    <w:rsid w:val="FEBFD88B"/>
    <w:rsid w:val="FEF71833"/>
    <w:rsid w:val="FEFEF429"/>
    <w:rsid w:val="FF7F70B2"/>
    <w:rsid w:val="FF7F8E78"/>
    <w:rsid w:val="FFB4CD85"/>
    <w:rsid w:val="FFBEDD34"/>
    <w:rsid w:val="FFCFCB73"/>
    <w:rsid w:val="FFDFCC54"/>
    <w:rsid w:val="FFEF0B20"/>
    <w:rsid w:val="FFEFFEFE"/>
    <w:rsid w:val="FFFDF8A3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18"/>
      <w:lang w:val="en-US" w:eastAsia="zh-CN" w:bidi="ar-SA"/>
    </w:rPr>
  </w:style>
  <w:style w:type="paragraph" w:styleId="2">
    <w:name w:val="heading 1"/>
    <w:basedOn w:val="1"/>
    <w:next w:val="3"/>
    <w:link w:val="18"/>
    <w:qFormat/>
    <w:uiPriority w:val="0"/>
    <w:pPr>
      <w:keepNext/>
      <w:keepLines/>
      <w:widowControl/>
      <w:spacing w:before="50" w:beforeLines="50" w:after="50" w:afterLines="50" w:line="360" w:lineRule="atLeast"/>
      <w:jc w:val="center"/>
      <w:outlineLvl w:val="0"/>
    </w:pPr>
    <w:rPr>
      <w:rFonts w:eastAsia="黑体"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50" w:beforeLines="50" w:after="50" w:afterLines="50" w:line="360" w:lineRule="atLeast"/>
      <w:ind w:left="0"/>
      <w:jc w:val="both"/>
      <w:outlineLvl w:val="1"/>
    </w:pPr>
    <w:rPr>
      <w:rFonts w:eastAsia="黑体"/>
    </w:rPr>
  </w:style>
  <w:style w:type="paragraph" w:styleId="4">
    <w:name w:val="heading 3"/>
    <w:basedOn w:val="1"/>
    <w:next w:val="5"/>
    <w:semiHidden/>
    <w:unhideWhenUsed/>
    <w:qFormat/>
    <w:uiPriority w:val="0"/>
    <w:pPr>
      <w:keepNext/>
      <w:keepLines/>
      <w:spacing w:before="50" w:beforeLines="50" w:after="50" w:afterLines="50" w:line="360" w:lineRule="auto"/>
      <w:jc w:val="both"/>
      <w:outlineLvl w:val="2"/>
    </w:pPr>
    <w:rPr>
      <w:rFonts w:ascii="Times New Roman" w:hAnsi="Times New Roman" w:eastAsia="黑体" w:cs="Times New Roman"/>
      <w:sz w:val="24"/>
      <w:szCs w:val="18"/>
    </w:rPr>
  </w:style>
  <w:style w:type="paragraph" w:styleId="6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5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uiPriority w:val="0"/>
    <w:pPr>
      <w:ind w:firstLine="420" w:firstLineChars="200"/>
    </w:pPr>
  </w:style>
  <w:style w:type="paragraph" w:styleId="7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8">
    <w:name w:val="toc 3"/>
    <w:basedOn w:val="1"/>
    <w:next w:val="1"/>
    <w:uiPriority w:val="0"/>
    <w:pPr>
      <w:spacing w:line="360" w:lineRule="auto"/>
      <w:ind w:left="840" w:leftChars="400"/>
    </w:pPr>
    <w:rPr>
      <w:rFonts w:ascii="Times New Roman" w:hAnsi="Times New Roman" w:eastAsia="宋体" w:cs="Times New Roman"/>
      <w:sz w:val="24"/>
      <w:szCs w:val="18"/>
    </w:rPr>
  </w:style>
  <w:style w:type="paragraph" w:styleId="9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eastAsia="楷体_GB2312"/>
    </w:rPr>
  </w:style>
  <w:style w:type="paragraph" w:styleId="10">
    <w:name w:val="toc 1"/>
    <w:basedOn w:val="1"/>
    <w:next w:val="1"/>
    <w:uiPriority w:val="0"/>
    <w:pPr>
      <w:tabs>
        <w:tab w:val="right" w:leader="dot" w:pos="9061"/>
      </w:tabs>
      <w:spacing w:line="360" w:lineRule="auto"/>
      <w:jc w:val="left"/>
    </w:pPr>
    <w:rPr>
      <w:rFonts w:ascii="Times New Roman" w:hAnsi="Times New Roman" w:eastAsia="黑体" w:cs="Times New Roman"/>
      <w:color w:val="222222"/>
      <w:sz w:val="24"/>
      <w:szCs w:val="32"/>
      <w:shd w:val="clear" w:color="auto" w:fill="FFFFFF"/>
      <w14:ligatures w14:val="standardContextual"/>
    </w:rPr>
  </w:style>
  <w:style w:type="paragraph" w:styleId="11">
    <w:name w:val="toc 2"/>
    <w:basedOn w:val="1"/>
    <w:next w:val="1"/>
    <w:uiPriority w:val="0"/>
    <w:pPr>
      <w:spacing w:line="360" w:lineRule="auto"/>
      <w:ind w:left="420" w:leftChars="200"/>
    </w:pPr>
    <w:rPr>
      <w:rFonts w:ascii="Times New Roman" w:hAnsi="Times New Roman" w:eastAsia="宋体" w:cs="Times New Roman"/>
      <w:sz w:val="24"/>
      <w:szCs w:val="18"/>
    </w:rPr>
  </w:style>
  <w:style w:type="paragraph" w:styleId="1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4">
    <w:name w:val="Table Grid"/>
    <w:basedOn w:val="1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6">
    <w:name w:val="表头"/>
    <w:basedOn w:val="7"/>
    <w:next w:val="1"/>
    <w:uiPriority w:val="0"/>
    <w:pPr>
      <w:spacing w:before="120"/>
      <w:outlineLvl w:val="3"/>
    </w:pPr>
    <w:rPr>
      <w:rFonts w:ascii="Times New Roman" w:hAnsi="Times New Roman" w:eastAsia="黑体"/>
      <w:b/>
      <w:sz w:val="21"/>
    </w:rPr>
  </w:style>
  <w:style w:type="paragraph" w:customStyle="1" w:styleId="17">
    <w:name w:val="算法"/>
    <w:basedOn w:val="1"/>
    <w:next w:val="1"/>
    <w:uiPriority w:val="0"/>
    <w:pPr>
      <w:jc w:val="center"/>
    </w:pPr>
    <w:rPr>
      <w:rFonts w:hint="default" w:ascii="Times New Roman" w:hAnsi="Times New Roman" w:eastAsia="宋体"/>
      <w:sz w:val="21"/>
    </w:rPr>
  </w:style>
  <w:style w:type="character" w:customStyle="1" w:styleId="18">
    <w:name w:val="标题 1 Char"/>
    <w:link w:val="2"/>
    <w:uiPriority w:val="9"/>
    <w:rPr>
      <w:rFonts w:eastAsia="黑体"/>
      <w:kern w:val="44"/>
      <w:sz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2026-07-18T12:08:00Z</dcterms:created>
  <dc:creator>王羿珧</dc:creator>
  <cp:lastModifiedBy>王羿珧</cp:lastModifiedBy>
  <dcterms:modified xsi:type="dcterms:W3CDTF">2026-07-18T22:31:11Z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F5E928571945804254FC5A6A85A7EBB1_41</vt:lpwstr>
  </property>
</Properties>
</file>