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232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315" w:afterLines="101" w:afterAutospacing="0" w:line="360" w:lineRule="auto"/>
        <w:ind w:leftChars="0" w:right="0" w:rightChars="0"/>
        <w:jc w:val="center"/>
        <w:textAlignment w:val="baseline"/>
        <w:rPr>
          <w:rFonts w:hint="default" w:ascii="Times New Roman" w:hAnsi="Times New Roman" w:eastAsia="宋体" w:cs="Times New Roman"/>
          <w:i w:val="0"/>
          <w:iCs w:val="0"/>
          <w:caps w:val="0"/>
          <w:color w:val="000000"/>
          <w:spacing w:val="0"/>
          <w:sz w:val="32"/>
          <w:szCs w:val="32"/>
          <w:lang w:val="en-US" w:eastAsia="zh-CN"/>
        </w:rPr>
      </w:pPr>
      <w:r>
        <w:rPr>
          <w:rFonts w:hint="eastAsia" w:ascii="黑体" w:hAnsi="黑体" w:eastAsia="黑体" w:cs="黑体"/>
          <w:i w:val="0"/>
          <w:iCs w:val="0"/>
          <w:caps w:val="0"/>
          <w:color w:val="000000"/>
          <w:spacing w:val="0"/>
          <w:sz w:val="32"/>
          <w:szCs w:val="32"/>
          <w:lang w:val="en-US" w:eastAsia="zh-CN"/>
        </w:rPr>
        <w:t>TASK3 策略首秀：用均线交叉反应市场趋势变化</w:t>
      </w:r>
    </w:p>
    <w:p w14:paraId="5C5552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Autospacing="0" w:line="360" w:lineRule="auto"/>
        <w:ind w:leftChars="0" w:right="0" w:rightChars="0" w:firstLine="360" w:firstLineChars="200"/>
        <w:jc w:val="both"/>
        <w:textAlignment w:val="baseline"/>
        <w:rPr>
          <w:rFonts w:hint="default" w:ascii="Times New Roman" w:hAnsi="Times New Roman" w:eastAsia="宋体" w:cs="Times New Roman"/>
          <w:i/>
          <w:iCs/>
          <w:caps w:val="0"/>
          <w:color w:val="808080" w:themeColor="background1" w:themeShade="80"/>
          <w:spacing w:val="0"/>
          <w:sz w:val="18"/>
          <w:szCs w:val="18"/>
          <w:lang w:val="en-US" w:eastAsia="zh-CN"/>
        </w:rPr>
      </w:pPr>
      <w:r>
        <w:rPr>
          <w:rFonts w:hint="default" w:ascii="Times New Roman" w:hAnsi="Times New Roman" w:eastAsia="宋体" w:cs="Times New Roman"/>
          <w:i/>
          <w:iCs/>
          <w:caps w:val="0"/>
          <w:color w:val="808080" w:themeColor="background1" w:themeShade="80"/>
          <w:spacing w:val="0"/>
          <w:sz w:val="18"/>
          <w:szCs w:val="18"/>
          <w:lang w:val="en-US" w:eastAsia="zh-CN"/>
        </w:rPr>
        <w:t>在量化交易领域，交易策略是实现盈利的核心。</w:t>
      </w:r>
      <w:r>
        <w:rPr>
          <w:rFonts w:hint="eastAsia" w:eastAsia="宋体" w:cs="Times New Roman"/>
          <w:i/>
          <w:iCs/>
          <w:caps w:val="0"/>
          <w:color w:val="808080" w:themeColor="background1" w:themeShade="80"/>
          <w:spacing w:val="0"/>
          <w:sz w:val="18"/>
          <w:szCs w:val="18"/>
          <w:lang w:val="en-US" w:eastAsia="zh-CN"/>
        </w:rPr>
        <w:t>本</w:t>
      </w:r>
      <w:r>
        <w:rPr>
          <w:rFonts w:hint="default" w:ascii="Times New Roman" w:hAnsi="Times New Roman" w:eastAsia="宋体" w:cs="Times New Roman"/>
          <w:i/>
          <w:iCs/>
          <w:caps w:val="0"/>
          <w:color w:val="808080" w:themeColor="background1" w:themeShade="80"/>
          <w:spacing w:val="0"/>
          <w:sz w:val="18"/>
          <w:szCs w:val="18"/>
          <w:lang w:val="en-US" w:eastAsia="zh-CN"/>
        </w:rPr>
        <w:t>任务旨在深入掌握经典且广泛应用的量化交易策略——双均线策略，</w:t>
      </w:r>
      <w:r>
        <w:rPr>
          <w:rFonts w:hint="eastAsia" w:eastAsia="宋体" w:cs="Times New Roman"/>
          <w:i/>
          <w:iCs/>
          <w:caps w:val="0"/>
          <w:color w:val="808080" w:themeColor="background1" w:themeShade="80"/>
          <w:spacing w:val="0"/>
          <w:sz w:val="18"/>
          <w:szCs w:val="18"/>
          <w:lang w:val="en-US" w:eastAsia="zh-CN"/>
        </w:rPr>
        <w:t>并</w:t>
      </w:r>
      <w:r>
        <w:rPr>
          <w:rFonts w:hint="default" w:ascii="Times New Roman" w:hAnsi="Times New Roman" w:eastAsia="宋体" w:cs="Times New Roman"/>
          <w:i/>
          <w:iCs/>
          <w:caps w:val="0"/>
          <w:color w:val="808080" w:themeColor="background1" w:themeShade="80"/>
          <w:spacing w:val="0"/>
          <w:sz w:val="18"/>
          <w:szCs w:val="18"/>
          <w:lang w:val="en-US" w:eastAsia="zh-CN"/>
        </w:rPr>
        <w:t>通过实践操作，学会如何利用均线交叉信号（金叉与死叉）来捕捉市场趋势变化，</w:t>
      </w:r>
      <w:r>
        <w:rPr>
          <w:rFonts w:hint="eastAsia" w:eastAsia="宋体" w:cs="Times New Roman"/>
          <w:i/>
          <w:iCs/>
          <w:caps w:val="0"/>
          <w:color w:val="808080" w:themeColor="background1" w:themeShade="80"/>
          <w:spacing w:val="0"/>
          <w:sz w:val="18"/>
          <w:szCs w:val="18"/>
          <w:lang w:val="en-US" w:eastAsia="zh-CN"/>
        </w:rPr>
        <w:t>而后</w:t>
      </w:r>
      <w:r>
        <w:rPr>
          <w:rFonts w:hint="default" w:ascii="Times New Roman" w:hAnsi="Times New Roman" w:eastAsia="宋体" w:cs="Times New Roman"/>
          <w:i/>
          <w:iCs/>
          <w:caps w:val="0"/>
          <w:color w:val="808080" w:themeColor="background1" w:themeShade="80"/>
          <w:spacing w:val="0"/>
          <w:sz w:val="18"/>
          <w:szCs w:val="18"/>
          <w:lang w:val="en-US" w:eastAsia="zh-CN"/>
        </w:rPr>
        <w:t>进行交易决策。</w:t>
      </w:r>
      <w:r>
        <w:rPr>
          <w:rFonts w:hint="eastAsia" w:eastAsia="宋体" w:cs="Times New Roman"/>
          <w:i/>
          <w:iCs/>
          <w:caps w:val="0"/>
          <w:color w:val="808080" w:themeColor="background1" w:themeShade="80"/>
          <w:spacing w:val="0"/>
          <w:sz w:val="18"/>
          <w:szCs w:val="18"/>
          <w:lang w:val="en-US" w:eastAsia="zh-CN"/>
        </w:rPr>
        <w:t>此外</w:t>
      </w:r>
      <w:r>
        <w:rPr>
          <w:rFonts w:hint="default" w:ascii="Times New Roman" w:hAnsi="Times New Roman" w:eastAsia="宋体" w:cs="Times New Roman"/>
          <w:i/>
          <w:iCs/>
          <w:caps w:val="0"/>
          <w:color w:val="808080" w:themeColor="background1" w:themeShade="80"/>
          <w:spacing w:val="0"/>
          <w:sz w:val="18"/>
          <w:szCs w:val="18"/>
          <w:lang w:val="en-US" w:eastAsia="zh-CN"/>
        </w:rPr>
        <w:t>，最大回撤（MDD），夏普比率（Sharpe Ratio）、累计回报（Cumulative Return）等关键指标</w:t>
      </w:r>
      <w:r>
        <w:rPr>
          <w:rFonts w:hint="eastAsia" w:eastAsia="宋体" w:cs="Times New Roman"/>
          <w:i/>
          <w:iCs/>
          <w:caps w:val="0"/>
          <w:color w:val="808080" w:themeColor="background1" w:themeShade="80"/>
          <w:spacing w:val="0"/>
          <w:sz w:val="18"/>
          <w:szCs w:val="18"/>
          <w:lang w:val="en-US" w:eastAsia="zh-CN"/>
        </w:rPr>
        <w:t>能进一步帮助</w:t>
      </w:r>
      <w:r>
        <w:rPr>
          <w:rFonts w:hint="default" w:ascii="Times New Roman" w:hAnsi="Times New Roman" w:eastAsia="宋体" w:cs="Times New Roman"/>
          <w:i/>
          <w:iCs/>
          <w:caps w:val="0"/>
          <w:color w:val="808080" w:themeColor="background1" w:themeShade="80"/>
          <w:spacing w:val="0"/>
          <w:sz w:val="18"/>
          <w:szCs w:val="18"/>
          <w:lang w:val="en-US" w:eastAsia="zh-CN"/>
        </w:rPr>
        <w:t>全面评估交易策略的性能，从而为后续更复杂策略的开发和优化积累经验。</w:t>
      </w:r>
    </w:p>
    <w:p w14:paraId="4F3350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任务1.</w:t>
      </w: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 xml:space="preserve"> </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了解双均线策略，对其中的金叉，死叉等概念做出解释</w:t>
      </w:r>
    </w:p>
    <w:p w14:paraId="466DAD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default" w:eastAsia="宋体" w:cs="Times New Roman"/>
          <w:b/>
          <w:bCs/>
          <w:i w:val="0"/>
          <w:iCs w:val="0"/>
          <w:caps w:val="0"/>
          <w:color w:val="000000"/>
          <w:spacing w:val="0"/>
          <w:kern w:val="0"/>
          <w:sz w:val="21"/>
          <w:szCs w:val="21"/>
          <w:vertAlign w:val="baseline"/>
          <w:lang w:val="en-US" w:eastAsia="zh-CN" w:bidi="ar"/>
        </w:rPr>
        <w:t>双均线策略（Dual Moving Average Strategy）</w:t>
      </w:r>
      <w:r>
        <w:rPr>
          <w:rFonts w:hint="eastAsia" w:eastAsia="宋体" w:cs="Times New Roman"/>
          <w:i w:val="0"/>
          <w:iCs w:val="0"/>
          <w:caps w:val="0"/>
          <w:color w:val="000000"/>
          <w:spacing w:val="0"/>
          <w:kern w:val="0"/>
          <w:sz w:val="21"/>
          <w:szCs w:val="21"/>
          <w:vertAlign w:val="baseline"/>
          <w:lang w:val="en-US" w:eastAsia="zh-CN" w:bidi="ar"/>
        </w:rPr>
        <w:t>属于</w:t>
      </w:r>
      <w:r>
        <w:rPr>
          <w:rFonts w:hint="default" w:eastAsia="宋体" w:cs="Times New Roman"/>
          <w:i w:val="0"/>
          <w:iCs w:val="0"/>
          <w:caps w:val="0"/>
          <w:color w:val="000000"/>
          <w:spacing w:val="0"/>
          <w:kern w:val="0"/>
          <w:sz w:val="21"/>
          <w:szCs w:val="21"/>
          <w:vertAlign w:val="baseline"/>
          <w:lang w:val="en-US" w:eastAsia="zh-CN" w:bidi="ar"/>
        </w:rPr>
        <w:t>趋势跟踪型量化交易策略，核心思想是利用两条不同周期的移动平均线判断市场趋势，并根据两条均线之间的位置关系产生买卖信号。策略通常选择一条周期较短的均线作为短期均线（Short-term Moving Average），用于反映市场近期价格变化；另一条周期较长的均线作为长期均线（Long-term Moving Average），用于反映市场整体趋势。例如，常见的组合包括5日均线与20日均线、10日均线与30日均线以及20日均线与60日均线等。当短期均线突破长期均线时，说明近期价格上涨速度快于长期平均水平，市场可能进入上涨趋势；当短期均线跌破长期均线时，则意味着市场可能进入下跌趋势。因此，双均线策略通过比较短期与长期价格趋势之间的相对变化，尽量在趋势形成初期买入，在趋势结束时卖出，从而获取趋势行情带来的收益。</w:t>
      </w:r>
    </w:p>
    <w:p w14:paraId="543764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default" w:eastAsia="宋体" w:cs="Times New Roman"/>
          <w:b/>
          <w:bCs/>
          <w:i w:val="0"/>
          <w:iCs w:val="0"/>
          <w:caps w:val="0"/>
          <w:color w:val="000000"/>
          <w:spacing w:val="0"/>
          <w:kern w:val="0"/>
          <w:sz w:val="21"/>
          <w:szCs w:val="21"/>
          <w:vertAlign w:val="baseline"/>
          <w:lang w:val="en-US" w:eastAsia="zh-CN" w:bidi="ar"/>
        </w:rPr>
        <w:t>金叉（Golden Cross）</w:t>
      </w:r>
      <w:r>
        <w:rPr>
          <w:rFonts w:hint="default" w:eastAsia="宋体" w:cs="Times New Roman"/>
          <w:i w:val="0"/>
          <w:iCs w:val="0"/>
          <w:caps w:val="0"/>
          <w:color w:val="000000"/>
          <w:spacing w:val="0"/>
          <w:kern w:val="0"/>
          <w:sz w:val="21"/>
          <w:szCs w:val="21"/>
          <w:vertAlign w:val="baseline"/>
          <w:lang w:val="en-US" w:eastAsia="zh-CN" w:bidi="ar"/>
        </w:rPr>
        <w:t>是双均线策略中的</w:t>
      </w:r>
      <w:r>
        <w:rPr>
          <w:rFonts w:hint="eastAsia" w:eastAsia="宋体" w:cs="Times New Roman"/>
          <w:i w:val="0"/>
          <w:iCs w:val="0"/>
          <w:caps w:val="0"/>
          <w:color w:val="000000"/>
          <w:spacing w:val="0"/>
          <w:kern w:val="0"/>
          <w:sz w:val="21"/>
          <w:szCs w:val="21"/>
          <w:vertAlign w:val="baseline"/>
          <w:lang w:val="en-US" w:eastAsia="zh-CN" w:bidi="ar"/>
        </w:rPr>
        <w:t>重要</w:t>
      </w:r>
      <w:r>
        <w:rPr>
          <w:rFonts w:hint="default" w:eastAsia="宋体" w:cs="Times New Roman"/>
          <w:i w:val="0"/>
          <w:iCs w:val="0"/>
          <w:caps w:val="0"/>
          <w:color w:val="000000"/>
          <w:spacing w:val="0"/>
          <w:kern w:val="0"/>
          <w:sz w:val="21"/>
          <w:szCs w:val="21"/>
          <w:vertAlign w:val="baseline"/>
          <w:lang w:val="en-US" w:eastAsia="zh-CN" w:bidi="ar"/>
        </w:rPr>
        <w:t>买入信号，是指短期均线由下向上突破长期均线形成交叉。当市场经历一段下跌或横盘后，若近期价格持续上涨，短期均线会逐渐向上移动，并最终突破长期均线，此时形成金叉。金叉意味着短期市场表现已经强于长期平均水平，说明市场可能进入新的上涨趋势，投资者通常将其视为买入或建仓信号。在实际交易中，为了减少价格短期波动带来的虚假信号，许多策略还会结合成交量、趋势强度或其他技术指标共同确认金叉是否有效。</w:t>
      </w:r>
    </w:p>
    <w:p w14:paraId="1C2ADC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default" w:eastAsia="宋体" w:cs="Times New Roman"/>
          <w:b/>
          <w:bCs/>
          <w:i w:val="0"/>
          <w:iCs w:val="0"/>
          <w:caps w:val="0"/>
          <w:color w:val="000000"/>
          <w:spacing w:val="0"/>
          <w:kern w:val="0"/>
          <w:sz w:val="21"/>
          <w:szCs w:val="21"/>
          <w:vertAlign w:val="baseline"/>
          <w:lang w:val="en-US" w:eastAsia="zh-CN" w:bidi="ar"/>
        </w:rPr>
        <w:t>死叉（Death Cross）</w:t>
      </w:r>
      <w:r>
        <w:rPr>
          <w:rFonts w:hint="default" w:eastAsia="宋体" w:cs="Times New Roman"/>
          <w:i w:val="0"/>
          <w:iCs w:val="0"/>
          <w:caps w:val="0"/>
          <w:color w:val="000000"/>
          <w:spacing w:val="0"/>
          <w:kern w:val="0"/>
          <w:sz w:val="21"/>
          <w:szCs w:val="21"/>
          <w:vertAlign w:val="baseline"/>
          <w:lang w:val="en-US" w:eastAsia="zh-CN" w:bidi="ar"/>
        </w:rPr>
        <w:t>是双均线策略中的</w:t>
      </w:r>
      <w:r>
        <w:rPr>
          <w:rFonts w:hint="eastAsia" w:eastAsia="宋体" w:cs="Times New Roman"/>
          <w:i w:val="0"/>
          <w:iCs w:val="0"/>
          <w:caps w:val="0"/>
          <w:color w:val="000000"/>
          <w:spacing w:val="0"/>
          <w:kern w:val="0"/>
          <w:sz w:val="21"/>
          <w:szCs w:val="21"/>
          <w:vertAlign w:val="baseline"/>
          <w:lang w:val="en-US" w:eastAsia="zh-CN" w:bidi="ar"/>
        </w:rPr>
        <w:t>重要</w:t>
      </w:r>
      <w:r>
        <w:rPr>
          <w:rFonts w:hint="default" w:eastAsia="宋体" w:cs="Times New Roman"/>
          <w:i w:val="0"/>
          <w:iCs w:val="0"/>
          <w:caps w:val="0"/>
          <w:color w:val="000000"/>
          <w:spacing w:val="0"/>
          <w:kern w:val="0"/>
          <w:sz w:val="21"/>
          <w:szCs w:val="21"/>
          <w:vertAlign w:val="baseline"/>
          <w:lang w:val="en-US" w:eastAsia="zh-CN" w:bidi="ar"/>
        </w:rPr>
        <w:t>卖出信号，是指短期均线由上向下跌破长期均线形成交叉。当市场上涨趋势减弱或价格持续下跌时，短期均线会逐渐向下移动，并跌破长期均线，此时形成死叉。死叉表明近期价格已经弱于长期平均水平，市场可能进入下跌趋势，因此投资者通常将其作为卖出、减仓或止损的重要依据。与金叉类似，为避免震荡行情中频繁产生错误交易信号，实际量化策略通常也会设置一定的确认条件，例如要求交叉持续若干个交易日或结合其他指标共同判断。</w:t>
      </w:r>
    </w:p>
    <w:p w14:paraId="0E73CC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default" w:eastAsia="宋体" w:cs="Times New Roman"/>
          <w:b/>
          <w:bCs/>
          <w:i w:val="0"/>
          <w:iCs w:val="0"/>
          <w:caps w:val="0"/>
          <w:color w:val="000000"/>
          <w:spacing w:val="0"/>
          <w:kern w:val="0"/>
          <w:sz w:val="21"/>
          <w:szCs w:val="21"/>
          <w:vertAlign w:val="baseline"/>
          <w:lang w:val="en-US" w:eastAsia="zh-CN" w:bidi="ar"/>
        </w:rPr>
        <w:t>持仓（Position）</w:t>
      </w:r>
      <w:r>
        <w:rPr>
          <w:rFonts w:hint="default" w:eastAsia="宋体" w:cs="Times New Roman"/>
          <w:i w:val="0"/>
          <w:iCs w:val="0"/>
          <w:caps w:val="0"/>
          <w:color w:val="000000"/>
          <w:spacing w:val="0"/>
          <w:kern w:val="0"/>
          <w:sz w:val="21"/>
          <w:szCs w:val="21"/>
          <w:vertAlign w:val="baseline"/>
          <w:lang w:val="en-US" w:eastAsia="zh-CN" w:bidi="ar"/>
        </w:rPr>
        <w:t>是指投资者当前是否持有某只资产以及持有的数量。在双均线策略中，交易系统通常只有两种基本状态：空仓（Flat Position）和持仓（Long Position）。当策略检测到金叉信号时，会执行买入操作，使账户由空仓转为持仓；当检测到死叉信号时，则执行卖出操作，使账户重新回到空仓状态。整个交易过程实际上就是在这两种状态之间不断切换，从而实现趋势跟踪。</w:t>
      </w:r>
    </w:p>
    <w:p w14:paraId="118937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20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default" w:eastAsia="宋体" w:cs="Times New Roman"/>
          <w:b/>
          <w:bCs/>
          <w:i w:val="0"/>
          <w:iCs w:val="0"/>
          <w:caps w:val="0"/>
          <w:color w:val="000000"/>
          <w:spacing w:val="0"/>
          <w:kern w:val="0"/>
          <w:sz w:val="21"/>
          <w:szCs w:val="21"/>
          <w:vertAlign w:val="baseline"/>
          <w:lang w:val="en-US" w:eastAsia="zh-CN" w:bidi="ar"/>
        </w:rPr>
        <w:t>买入信号（Buy Signal）</w:t>
      </w:r>
      <w:r>
        <w:rPr>
          <w:rFonts w:hint="default" w:eastAsia="宋体" w:cs="Times New Roman"/>
          <w:i w:val="0"/>
          <w:iCs w:val="0"/>
          <w:caps w:val="0"/>
          <w:color w:val="000000"/>
          <w:spacing w:val="0"/>
          <w:kern w:val="0"/>
          <w:sz w:val="21"/>
          <w:szCs w:val="21"/>
          <w:vertAlign w:val="baseline"/>
          <w:lang w:val="en-US" w:eastAsia="zh-CN" w:bidi="ar"/>
        </w:rPr>
        <w:t>是指策略认为未来价格具有上涨概率，因此建议建立仓位的交易信号；</w:t>
      </w:r>
      <w:r>
        <w:rPr>
          <w:rFonts w:hint="default" w:eastAsia="宋体" w:cs="Times New Roman"/>
          <w:b/>
          <w:bCs/>
          <w:i w:val="0"/>
          <w:iCs w:val="0"/>
          <w:caps w:val="0"/>
          <w:color w:val="000000"/>
          <w:spacing w:val="0"/>
          <w:kern w:val="0"/>
          <w:sz w:val="21"/>
          <w:szCs w:val="21"/>
          <w:vertAlign w:val="baseline"/>
          <w:lang w:val="en-US" w:eastAsia="zh-CN" w:bidi="ar"/>
        </w:rPr>
        <w:t>卖出信号（Sell Signal）</w:t>
      </w:r>
      <w:r>
        <w:rPr>
          <w:rFonts w:hint="default" w:eastAsia="宋体" w:cs="Times New Roman"/>
          <w:i w:val="0"/>
          <w:iCs w:val="0"/>
          <w:caps w:val="0"/>
          <w:color w:val="000000"/>
          <w:spacing w:val="0"/>
          <w:kern w:val="0"/>
          <w:sz w:val="21"/>
          <w:szCs w:val="21"/>
          <w:vertAlign w:val="baseline"/>
          <w:lang w:val="en-US" w:eastAsia="zh-CN" w:bidi="ar"/>
        </w:rPr>
        <w:t>则表示策略认为未来价格可能下跌，因此建议卖出持仓或退出市场。在双均线策略中，金叉通常对应买入信号，死叉通常对应卖出信号。量化交易系统会根据这些预先定义好的规则自动执行交易，从而避免人为情绪对投资决策产生影响，提高交易的一致性和纪律性。</w:t>
      </w:r>
    </w:p>
    <w:p w14:paraId="6FFC96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eastAsia"/>
          <w:sz w:val="21"/>
          <w:szCs w:val="21"/>
          <w:lang w:val="en-US" w:eastAsia="zh-CN"/>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任务</w:t>
      </w:r>
      <w:r>
        <w:rPr>
          <w:rFonts w:hint="eastAsia" w:eastAsia="宋体" w:cs="Times New Roman"/>
          <w:i w:val="0"/>
          <w:iCs w:val="0"/>
          <w:caps w:val="0"/>
          <w:color w:val="2E54A1" w:themeColor="accent1" w:themeShade="BF"/>
          <w:spacing w:val="0"/>
          <w:kern w:val="0"/>
          <w:sz w:val="21"/>
          <w:szCs w:val="21"/>
          <w:vertAlign w:val="baseline"/>
          <w:lang w:val="en-US" w:eastAsia="zh-CN" w:bidi="ar"/>
        </w:rPr>
        <w:t>2</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w:t>
      </w: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 xml:space="preserve"> </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了解量化策</w:t>
      </w:r>
      <w:r>
        <w:rPr>
          <w:rFonts w:hint="eastAsia" w:eastAsia="宋体" w:cs="Times New Roman"/>
          <w:i w:val="0"/>
          <w:iCs w:val="0"/>
          <w:caps w:val="0"/>
          <w:color w:val="2E54A1" w:themeColor="accent1" w:themeShade="BF"/>
          <w:spacing w:val="0"/>
          <w:kern w:val="0"/>
          <w:sz w:val="21"/>
          <w:szCs w:val="21"/>
          <w:vertAlign w:val="baseline"/>
          <w:lang w:val="en-US" w:eastAsia="zh-CN" w:bidi="ar"/>
        </w:rPr>
        <w:t>略</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效果的</w:t>
      </w:r>
      <w:r>
        <w:rPr>
          <w:rFonts w:hint="eastAsia" w:eastAsia="宋体" w:cs="Times New Roman"/>
          <w:i w:val="0"/>
          <w:iCs w:val="0"/>
          <w:caps w:val="0"/>
          <w:color w:val="2E54A1" w:themeColor="accent1" w:themeShade="BF"/>
          <w:spacing w:val="0"/>
          <w:kern w:val="0"/>
          <w:sz w:val="21"/>
          <w:szCs w:val="21"/>
          <w:vertAlign w:val="baseline"/>
          <w:lang w:val="en-US" w:eastAsia="zh-CN" w:bidi="ar"/>
        </w:rPr>
        <w:t>评估</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指标，对其中最大回撤（MDD）、夏普比率（Sharpe Ratio）、累计回报（Cumulative Return）等概念做出解释</w:t>
      </w:r>
    </w:p>
    <w:p w14:paraId="16E9ABC5">
      <w:pPr>
        <w:numPr>
          <w:numId w:val="0"/>
        </w:numPr>
        <w:spacing w:afterAutospacing="0"/>
        <w:ind w:firstLine="420" w:firstLineChars="200"/>
        <w:rPr>
          <w:rFonts w:hint="default"/>
          <w:sz w:val="21"/>
          <w:szCs w:val="21"/>
          <w:lang w:val="en-US" w:eastAsia="zh-CN"/>
        </w:rPr>
      </w:pPr>
      <w:r>
        <w:rPr>
          <w:rFonts w:hint="default"/>
          <w:sz w:val="21"/>
          <w:szCs w:val="21"/>
          <w:lang w:val="en-US" w:eastAsia="zh-CN"/>
        </w:rPr>
        <w:t>在量化交易中，仅观察策略最终获得多少收益并不足以全面评价策略的优劣，还需要综合考虑策略承担的风险、收益稳定性以及资金回撤情况。因此，量化投资通常采用多种评价指标对策略进行综合分析。其中，累计回报（Cumulative Return）用于衡量策略整体获得的收益水平，是评价盈利能力最直观的指标；最大回撤（Maximum Drawdown，MDD）用于衡量策略在运行过程中可能遭受的最大资金损失，是评价风险控制能力的重要指标；夏普比率（Sharpe Ratio）则综合考虑收益与风险之间的关系，用于评价策略在承担单位风险时所获得的超额收益，是衡量风险调整后收益能力的重要指标。这三项指标分别从收益、风险以及收益风险比三个不同角度评价量化策略，因此也是学术研究和实际投资中应用最广泛的策略评价指标。</w:t>
      </w:r>
    </w:p>
    <w:p w14:paraId="7AFD07C6">
      <w:pPr>
        <w:numPr>
          <w:ilvl w:val="0"/>
          <w:numId w:val="1"/>
        </w:numPr>
        <w:spacing w:before="159" w:beforeLines="51" w:beforeAutospacing="0" w:after="162" w:afterLines="51" w:afterAutospacing="0"/>
        <w:rPr>
          <w:rFonts w:hint="default"/>
          <w:color w:val="2E54A1" w:themeColor="accent1" w:themeShade="BF"/>
          <w:sz w:val="21"/>
          <w:szCs w:val="21"/>
          <w:lang w:val="en-US" w:eastAsia="zh-CN"/>
        </w:rPr>
      </w:pPr>
      <w:r>
        <w:rPr>
          <w:rFonts w:hint="eastAsia"/>
          <w:color w:val="2E54A1" w:themeColor="accent1" w:themeShade="BF"/>
          <w:sz w:val="21"/>
          <w:szCs w:val="21"/>
          <w:lang w:val="en-US" w:eastAsia="zh-CN"/>
        </w:rPr>
        <w:t>最大回撤 MDD</w:t>
      </w:r>
    </w:p>
    <w:p w14:paraId="1F48F7EB">
      <w:pPr>
        <w:numPr>
          <w:numId w:val="0"/>
        </w:numPr>
        <w:spacing w:beforeAutospacing="0" w:afterAutospacing="0"/>
        <w:ind w:firstLine="420" w:firstLineChars="200"/>
        <w:rPr>
          <w:rFonts w:hint="eastAsia"/>
          <w:sz w:val="21"/>
          <w:szCs w:val="21"/>
          <w:lang w:val="en-US" w:eastAsia="zh-CN"/>
        </w:rPr>
      </w:pPr>
      <w:r>
        <w:rPr>
          <w:rFonts w:hint="eastAsia"/>
          <w:sz w:val="21"/>
          <w:szCs w:val="21"/>
          <w:lang w:val="en-US" w:eastAsia="zh-CN"/>
        </w:rPr>
        <w:t>最大回撤（Maximum Drawdown，MDD）指策略净值在整个运行期间，从某一历史最高点下降到之后最低点所经历的最大跌幅，其计算方式通常表示为历史峰值与随后最低净值之间的最大下降比例，即</w:t>
      </w:r>
    </w:p>
    <w:p w14:paraId="6AC9BEA9">
      <w:pPr>
        <w:keepNext w:val="0"/>
        <w:keepLines w:val="0"/>
        <w:widowControl/>
        <w:numPr>
          <w:numId w:val="0"/>
        </w:numPr>
        <w:suppressLineNumbers w:val="0"/>
        <w:spacing w:beforeAutospacing="0" w:afterAutospacing="0"/>
        <w:jc w:val="left"/>
        <w:rPr>
          <w:rFonts w:hint="eastAsia" w:hAnsi="宋体" w:eastAsia="宋体" w:cs="宋体"/>
          <w:i w:val="0"/>
          <w:kern w:val="0"/>
          <w:sz w:val="24"/>
          <w:szCs w:val="24"/>
          <w:lang w:val="en-US" w:eastAsia="zh-CN" w:bidi="ar"/>
        </w:rPr>
      </w:pPr>
      <m:oMathPara>
        <m:oMath>
          <m:eqArr>
            <m:eqArrPr>
              <m:maxDist m:val="1"/>
              <m:ctrlPr>
                <m:rPr/>
                <w:rPr>
                  <w:rFonts w:hint="default" w:ascii="Times New Roman" w:hAnsi="Times New Roman" w:eastAsia="宋体" w:cs="Times New Roman"/>
                  <w:i w:val="0"/>
                  <w:sz w:val="24"/>
                </w:rPr>
              </m:ctrlPr>
            </m:eqArrPr>
            <m:e>
              <m:r>
                <m:rPr>
                  <m:nor/>
                  <m:sty m:val="p"/>
                </m:rPr>
                <w:rPr>
                  <w:rFonts w:hint="default" w:ascii="Times New Roman" w:hAnsi="Times New Roman" w:eastAsia="宋体" w:cs="Times New Roman"/>
                  <w:i w:val="0"/>
                  <w:sz w:val="24"/>
                </w:rPr>
                <m:t>MDD=</m:t>
              </m:r>
              <m:func>
                <m:funcPr>
                  <m:ctrlPr>
                    <w:rPr>
                      <w:rFonts w:hint="default" w:ascii="DejaVu Math TeX Gyre" w:hAnsi="DejaVu Math TeX Gyre" w:eastAsia="宋体" w:cs="Times New Roman"/>
                      <w:i w:val="0"/>
                      <w:sz w:val="24"/>
                    </w:rPr>
                  </m:ctrlPr>
                </m:funcPr>
                <m:fName>
                  <m:limLow>
                    <m:limLowPr>
                      <m:ctrlPr>
                        <w:rPr>
                          <w:rFonts w:hint="default" w:ascii="DejaVu Math TeX Gyre" w:hAnsi="DejaVu Math TeX Gyre" w:eastAsia="宋体" w:cs="Times New Roman"/>
                          <w:i w:val="0"/>
                          <w:sz w:val="24"/>
                        </w:rPr>
                      </m:ctrlPr>
                    </m:limLowPr>
                    <m:e>
                      <m:r>
                        <m:rPr>
                          <m:nor/>
                          <m:sty m:val="p"/>
                        </m:rPr>
                        <w:rPr>
                          <w:rFonts w:hint="default" w:ascii="Times New Roman" w:hAnsi="Times New Roman" w:eastAsia="宋体" w:cs="Times New Roman"/>
                          <w:i w:val="0"/>
                          <w:sz w:val="24"/>
                        </w:rPr>
                        <m:t>max</m:t>
                      </m:r>
                      <m:ctrlPr>
                        <w:rPr>
                          <w:rFonts w:hint="default" w:ascii="DejaVu Math TeX Gyre" w:hAnsi="DejaVu Math TeX Gyre" w:eastAsia="宋体" w:cs="Times New Roman"/>
                          <w:i w:val="0"/>
                          <w:sz w:val="24"/>
                        </w:rPr>
                      </m:ctrlPr>
                    </m:e>
                    <m:lim>
                      <m:r>
                        <m:rPr>
                          <m:nor/>
                          <m:sty m:val="p"/>
                        </m:rPr>
                        <w:rPr>
                          <w:rFonts w:hint="default" w:ascii="Times New Roman" w:hAnsi="Times New Roman" w:eastAsia="宋体" w:cs="Times New Roman"/>
                          <w:i w:val="0"/>
                          <w:sz w:val="24"/>
                        </w:rPr>
                        <m:t>t</m:t>
                      </m:r>
                      <m:ctrlPr>
                        <w:rPr>
                          <w:rFonts w:hint="default" w:ascii="DejaVu Math TeX Gyre" w:hAnsi="DejaVu Math TeX Gyre" w:eastAsia="宋体" w:cs="Times New Roman"/>
                          <w:i w:val="0"/>
                          <w:sz w:val="24"/>
                        </w:rPr>
                      </m:ctrlPr>
                    </m:lim>
                  </m:limLow>
                  <m:ctrlPr>
                    <w:rPr>
                      <w:rFonts w:hint="default" w:ascii="DejaVu Math TeX Gyre" w:hAnsi="DejaVu Math TeX Gyre" w:eastAsia="宋体" w:cs="Times New Roman"/>
                      <w:i w:val="0"/>
                      <w:sz w:val="24"/>
                    </w:rPr>
                  </m:ctrlPr>
                </m:fName>
                <m:e>
                  <m:d>
                    <m:dPr>
                      <m:ctrlPr>
                        <w:rPr>
                          <w:rFonts w:hint="default" w:ascii="DejaVu Math TeX Gyre" w:hAnsi="DejaVu Math TeX Gyre" w:eastAsia="宋体" w:cs="Times New Roman"/>
                          <w:i w:val="0"/>
                          <w:sz w:val="24"/>
                        </w:rPr>
                      </m:ctrlPr>
                    </m:dPr>
                    <m:e>
                      <m:f>
                        <m:fPr>
                          <m:ctrlPr>
                            <w:rPr>
                              <w:rFonts w:hint="default" w:ascii="DejaVu Math TeX Gyre" w:hAnsi="DejaVu Math TeX Gyre" w:eastAsia="宋体" w:cs="Times New Roman"/>
                              <w:i w:val="0"/>
                              <w:sz w:val="24"/>
                            </w:rPr>
                          </m:ctrlPr>
                        </m:fPr>
                        <m:num>
                          <m:sSub>
                            <m:sSubPr>
                              <m:ctrlPr>
                                <w:rPr>
                                  <w:rFonts w:hint="default" w:ascii="DejaVu Math TeX Gyre" w:hAnsi="DejaVu Math TeX Gyre" w:eastAsia="宋体" w:cs="Times New Roman"/>
                                  <w:i w:val="0"/>
                                  <w:sz w:val="24"/>
                                </w:rPr>
                              </m:ctrlPr>
                            </m:sSubPr>
                            <m:e>
                              <m:r>
                                <m:rPr>
                                  <m:nor/>
                                  <m:sty m:val="p"/>
                                </m:rPr>
                                <w:rPr>
                                  <w:rFonts w:hint="default" w:ascii="Times New Roman" w:hAnsi="Times New Roman" w:eastAsia="宋体" w:cs="Times New Roman"/>
                                  <w:i w:val="0"/>
                                  <w:sz w:val="24"/>
                                </w:rPr>
                                <m:t>Peak</m:t>
                              </m:r>
                              <m:ctrlPr>
                                <w:rPr>
                                  <w:rFonts w:hint="default" w:ascii="DejaVu Math TeX Gyre" w:hAnsi="DejaVu Math TeX Gyre" w:eastAsia="宋体" w:cs="Times New Roman"/>
                                  <w:i w:val="0"/>
                                  <w:sz w:val="24"/>
                                </w:rPr>
                              </m:ctrlPr>
                            </m:e>
                            <m:sub>
                              <m:r>
                                <m:rPr>
                                  <m:nor/>
                                  <m:sty m:val="p"/>
                                </m:rPr>
                                <w:rPr>
                                  <w:rFonts w:hint="default" w:ascii="Times New Roman" w:hAnsi="Times New Roman" w:eastAsia="宋体" w:cs="Times New Roman"/>
                                  <w:i w:val="0"/>
                                  <w:sz w:val="24"/>
                                </w:rPr>
                                <m:t>t</m:t>
                              </m:r>
                              <m:ctrlPr>
                                <w:rPr>
                                  <w:rFonts w:hint="default" w:ascii="DejaVu Math TeX Gyre" w:hAnsi="DejaVu Math TeX Gyre" w:eastAsia="宋体" w:cs="Times New Roman"/>
                                  <w:i w:val="0"/>
                                  <w:sz w:val="24"/>
                                </w:rPr>
                              </m:ctrlPr>
                            </m:sub>
                          </m:sSub>
                          <m:r>
                            <m:rPr>
                              <m:nor/>
                              <m:sty m:val="p"/>
                            </m:rPr>
                            <w:rPr>
                              <w:rFonts w:hint="default" w:ascii="Times New Roman" w:hAnsi="Times New Roman" w:eastAsia="宋体" w:cs="Times New Roman"/>
                              <w:i w:val="0"/>
                              <w:sz w:val="24"/>
                            </w:rPr>
                            <m:t>−</m:t>
                          </m:r>
                          <m:sSub>
                            <m:sSubPr>
                              <m:ctrlPr>
                                <w:rPr>
                                  <w:rFonts w:hint="default" w:ascii="DejaVu Math TeX Gyre" w:hAnsi="DejaVu Math TeX Gyre" w:eastAsia="宋体" w:cs="Times New Roman"/>
                                  <w:i w:val="0"/>
                                  <w:sz w:val="24"/>
                                </w:rPr>
                              </m:ctrlPr>
                            </m:sSubPr>
                            <m:e>
                              <m:r>
                                <m:rPr>
                                  <m:nor/>
                                  <m:sty m:val="p"/>
                                </m:rPr>
                                <w:rPr>
                                  <w:rFonts w:hint="default" w:ascii="Times New Roman" w:hAnsi="Times New Roman" w:eastAsia="宋体" w:cs="Times New Roman"/>
                                  <w:i w:val="0"/>
                                  <w:sz w:val="24"/>
                                </w:rPr>
                                <m:t>Trough</m:t>
                              </m:r>
                              <m:ctrlPr>
                                <w:rPr>
                                  <w:rFonts w:hint="default" w:ascii="DejaVu Math TeX Gyre" w:hAnsi="DejaVu Math TeX Gyre" w:eastAsia="宋体" w:cs="Times New Roman"/>
                                  <w:i w:val="0"/>
                                  <w:sz w:val="24"/>
                                </w:rPr>
                              </m:ctrlPr>
                            </m:e>
                            <m:sub>
                              <m:r>
                                <m:rPr>
                                  <m:nor/>
                                  <m:sty m:val="p"/>
                                </m:rPr>
                                <w:rPr>
                                  <w:rFonts w:hint="default" w:ascii="Times New Roman" w:hAnsi="Times New Roman" w:eastAsia="宋体" w:cs="Times New Roman"/>
                                  <w:i w:val="0"/>
                                  <w:sz w:val="24"/>
                                </w:rPr>
                                <m:t>t</m:t>
                              </m:r>
                              <m:ctrlPr>
                                <w:rPr>
                                  <w:rFonts w:hint="default" w:ascii="DejaVu Math TeX Gyre" w:hAnsi="DejaVu Math TeX Gyre" w:eastAsia="宋体" w:cs="Times New Roman"/>
                                  <w:i w:val="0"/>
                                  <w:sz w:val="24"/>
                                </w:rPr>
                              </m:ctrlPr>
                            </m:sub>
                          </m:sSub>
                          <m:ctrlPr>
                            <w:rPr>
                              <w:rFonts w:hint="default" w:ascii="DejaVu Math TeX Gyre" w:hAnsi="DejaVu Math TeX Gyre" w:eastAsia="宋体" w:cs="Times New Roman"/>
                              <w:i w:val="0"/>
                              <w:sz w:val="24"/>
                            </w:rPr>
                          </m:ctrlPr>
                        </m:num>
                        <m:den>
                          <m:sSub>
                            <m:sSubPr>
                              <m:ctrlPr>
                                <w:rPr>
                                  <w:rFonts w:hint="default" w:ascii="DejaVu Math TeX Gyre" w:hAnsi="DejaVu Math TeX Gyre" w:eastAsia="宋体" w:cs="Times New Roman"/>
                                  <w:i w:val="0"/>
                                  <w:sz w:val="24"/>
                                </w:rPr>
                              </m:ctrlPr>
                            </m:sSubPr>
                            <m:e>
                              <m:r>
                                <m:rPr>
                                  <m:nor/>
                                  <m:sty m:val="p"/>
                                </m:rPr>
                                <w:rPr>
                                  <w:rFonts w:hint="default" w:ascii="Times New Roman" w:hAnsi="Times New Roman" w:eastAsia="宋体" w:cs="Times New Roman"/>
                                  <w:i w:val="0"/>
                                  <w:sz w:val="24"/>
                                </w:rPr>
                                <m:t>Peak</m:t>
                              </m:r>
                              <m:ctrlPr>
                                <w:rPr>
                                  <w:rFonts w:hint="default" w:ascii="DejaVu Math TeX Gyre" w:hAnsi="DejaVu Math TeX Gyre" w:eastAsia="宋体" w:cs="Times New Roman"/>
                                  <w:i w:val="0"/>
                                  <w:sz w:val="24"/>
                                </w:rPr>
                              </m:ctrlPr>
                            </m:e>
                            <m:sub>
                              <m:r>
                                <m:rPr>
                                  <m:nor/>
                                  <m:sty m:val="p"/>
                                </m:rPr>
                                <w:rPr>
                                  <w:rFonts w:hint="default" w:ascii="Times New Roman" w:hAnsi="Times New Roman" w:eastAsia="宋体" w:cs="Times New Roman"/>
                                  <w:i w:val="0"/>
                                  <w:sz w:val="24"/>
                                </w:rPr>
                                <m:t>t</m:t>
                              </m:r>
                              <m:ctrlPr>
                                <w:rPr>
                                  <w:rFonts w:hint="default" w:ascii="DejaVu Math TeX Gyre" w:hAnsi="DejaVu Math TeX Gyre" w:eastAsia="宋体" w:cs="Times New Roman"/>
                                  <w:i w:val="0"/>
                                  <w:sz w:val="24"/>
                                </w:rPr>
                              </m:ctrlPr>
                            </m:sub>
                          </m:sSub>
                          <m:ctrlPr>
                            <w:rPr>
                              <w:rFonts w:hint="default" w:ascii="DejaVu Math TeX Gyre" w:hAnsi="DejaVu Math TeX Gyre" w:eastAsia="宋体" w:cs="Times New Roman"/>
                              <w:i w:val="0"/>
                              <w:sz w:val="24"/>
                            </w:rPr>
                          </m:ctrlPr>
                        </m:den>
                      </m:f>
                      <m:ctrlPr>
                        <w:rPr>
                          <w:rFonts w:hint="default" w:ascii="DejaVu Math TeX Gyre" w:hAnsi="DejaVu Math TeX Gyre" w:eastAsia="宋体" w:cs="Times New Roman"/>
                          <w:i w:val="0"/>
                          <w:sz w:val="24"/>
                        </w:rPr>
                      </m:ctrlPr>
                    </m:e>
                  </m:d>
                  <m:ctrlPr>
                    <w:rPr>
                      <w:rFonts w:hint="default" w:ascii="DejaVu Math TeX Gyre" w:hAnsi="DejaVu Math TeX Gyre" w:eastAsia="宋体" w:cs="Times New Roman"/>
                      <w:i w:val="0"/>
                      <w:sz w:val="24"/>
                    </w:rPr>
                  </m:ctrlPr>
                </m:e>
              </m:func>
              <m:r>
                <m:rPr>
                  <m:sty m:val="p"/>
                </m:rPr>
                <w:rPr>
                  <w:rFonts w:hint="default" w:ascii="DejaVu Math TeX Gyre" w:hAnsi="DejaVu Math TeX Gyre" w:eastAsia="宋体" w:cs="Times New Roman"/>
                  <w:sz w:val="24"/>
                </w:rPr>
                <m:t>#</m:t>
              </m:r>
              <m:r>
                <m:rPr>
                  <m:nor/>
                  <m:sty m:val="p"/>
                </m:rPr>
                <w:rPr>
                  <w:rFonts w:hint="default" w:ascii="Times New Roman" w:hAnsi="Times New Roman" w:eastAsia="宋体" w:cs="Times New Roman"/>
                  <w:i w:val="0"/>
                  <w:sz w:val="24"/>
                  <w:lang w:val="en-US"/>
                </w:rPr>
                <m:t>(1)</m:t>
              </m:r>
              <m:ctrlPr>
                <m:rPr/>
                <w:rPr>
                  <w:rFonts w:hint="default" w:ascii="Times New Roman" w:hAnsi="Times New Roman" w:eastAsia="宋体" w:cs="Times New Roman"/>
                  <w:i w:val="0"/>
                  <w:sz w:val="24"/>
                </w:rPr>
              </m:ctrlPr>
            </m:e>
          </m:eqArr>
        </m:oMath>
      </m:oMathPara>
    </w:p>
    <w:p w14:paraId="29EC7195">
      <w:pPr>
        <w:keepNext w:val="0"/>
        <w:keepLines w:val="0"/>
        <w:widowControl/>
        <w:numPr>
          <w:numId w:val="0"/>
        </w:numPr>
        <w:suppressLineNumbers w:val="0"/>
        <w:spacing w:beforeAutospacing="0" w:afterAutospacing="0"/>
        <w:jc w:val="left"/>
        <w:rPr>
          <w:rFonts w:hint="default"/>
          <w:sz w:val="21"/>
          <w:szCs w:val="21"/>
          <w:lang w:val="en-US" w:eastAsia="zh-CN"/>
        </w:rPr>
      </w:pPr>
      <w:r>
        <w:rPr>
          <w:rFonts w:hint="eastAsia"/>
          <w:sz w:val="21"/>
          <w:szCs w:val="21"/>
          <w:lang w:val="en-US" w:eastAsia="zh-CN"/>
        </w:rPr>
        <w:t>其中，</w:t>
      </w:r>
      <m:oMath>
        <m:sSub>
          <m:sSubPr>
            <m:ctrlPr>
              <w:rPr>
                <w:rFonts w:hint="default" w:ascii="DejaVu Math TeX Gyre" w:hAnsi="DejaVu Math TeX Gyre" w:eastAsia="宋体"/>
                <w:sz w:val="24"/>
              </w:rPr>
            </m:ctrlPr>
          </m:sSubPr>
          <m:e>
            <m:r>
              <m:rPr>
                <m:sty m:val="p"/>
              </m:rPr>
              <w:rPr>
                <w:rFonts w:hint="default" w:ascii="Times New Roman" w:hAnsi="Times New Roman" w:eastAsia="宋体"/>
                <w:sz w:val="24"/>
              </w:rPr>
              <m:t>Peak</m:t>
            </m:r>
            <m:ctrlPr>
              <w:rPr>
                <w:rFonts w:ascii="DejaVu Math TeX Gyre" w:hAnsi="DejaVu Math TeX Gyre" w:eastAsia="宋体"/>
                <w:sz w:val="24"/>
              </w:rPr>
            </m:ctrlPr>
          </m:e>
          <m:sub>
            <m:r>
              <m:rPr/>
              <w:rPr>
                <w:rFonts w:hint="default" w:ascii="Times New Roman" w:hAnsi="Times New Roman" w:eastAsia="宋体"/>
                <w:sz w:val="24"/>
              </w:rPr>
              <m:t>t</m:t>
            </m:r>
            <m:ctrlPr>
              <w:rPr>
                <w:rFonts w:ascii="DejaVu Math TeX Gyre" w:hAnsi="DejaVu Math TeX Gyre" w:eastAsia="宋体"/>
                <w:sz w:val="24"/>
              </w:rPr>
            </m:ctrlPr>
          </m:sub>
        </m:sSub>
        <m:r>
          <m:rPr/>
          <w:rPr>
            <w:rFonts w:hint="default" w:ascii="Times New Roman" w:hAnsi="Times New Roman" w:eastAsia="宋体"/>
            <w:sz w:val="24"/>
          </w:rPr>
          <m:t>=</m:t>
        </m:r>
        <m:func>
          <m:funcPr>
            <m:ctrlPr>
              <w:rPr>
                <w:rFonts w:hint="default" w:ascii="DejaVu Math TeX Gyre" w:hAnsi="DejaVu Math TeX Gyre" w:eastAsia="宋体"/>
                <w:sz w:val="24"/>
              </w:rPr>
            </m:ctrlPr>
          </m:funcPr>
          <m:fName>
            <m:limLow>
              <m:limLowPr>
                <m:ctrlPr>
                  <w:rPr>
                    <w:rFonts w:hint="default" w:ascii="DejaVu Math TeX Gyre" w:hAnsi="DejaVu Math TeX Gyre" w:eastAsia="宋体"/>
                    <w:sz w:val="24"/>
                  </w:rPr>
                </m:ctrlPr>
              </m:limLowPr>
              <m:e>
                <m:r>
                  <m:rPr>
                    <m:sty m:val="p"/>
                  </m:rPr>
                  <w:rPr>
                    <w:rFonts w:hint="default" w:ascii="Times New Roman" w:hAnsi="Times New Roman" w:eastAsia="宋体"/>
                    <w:sz w:val="24"/>
                  </w:rPr>
                  <m:t>max</m:t>
                </m:r>
                <m:ctrlPr>
                  <w:rPr>
                    <w:rFonts w:ascii="DejaVu Math TeX Gyre" w:hAnsi="DejaVu Math TeX Gyre" w:eastAsia="宋体"/>
                    <w:sz w:val="24"/>
                  </w:rPr>
                </m:ctrlPr>
              </m:e>
              <m:lim>
                <m:r>
                  <m:rPr/>
                  <w:rPr>
                    <w:rFonts w:hint="default" w:ascii="Times New Roman" w:hAnsi="Times New Roman" w:eastAsia="宋体"/>
                    <w:sz w:val="24"/>
                  </w:rPr>
                  <m:t>0≤i≤t</m:t>
                </m:r>
                <m:ctrlPr>
                  <w:rPr>
                    <w:rFonts w:ascii="DejaVu Math TeX Gyre" w:hAnsi="DejaVu Math TeX Gyre" w:eastAsia="宋体"/>
                    <w:sz w:val="24"/>
                  </w:rPr>
                </m:ctrlPr>
              </m:lim>
            </m:limLow>
            <m:ctrlPr>
              <w:rPr>
                <w:rFonts w:hint="default" w:ascii="DejaVu Math TeX Gyre" w:hAnsi="DejaVu Math TeX Gyre" w:eastAsia="宋体"/>
                <w:sz w:val="24"/>
              </w:rPr>
            </m:ctrlPr>
          </m:fName>
          <m:e>
            <m:sSub>
              <m:sSubPr>
                <m:ctrlPr>
                  <w:rPr>
                    <w:rFonts w:hint="default" w:ascii="DejaVu Math TeX Gyre" w:hAnsi="DejaVu Math TeX Gyre" w:eastAsia="宋体"/>
                    <w:sz w:val="24"/>
                  </w:rPr>
                </m:ctrlPr>
              </m:sSubPr>
              <m:e>
                <m:r>
                  <m:rPr/>
                  <w:rPr>
                    <w:rFonts w:hint="default" w:ascii="Times New Roman" w:hAnsi="Times New Roman" w:eastAsia="宋体"/>
                    <w:sz w:val="24"/>
                  </w:rPr>
                  <m:t>V</m:t>
                </m:r>
                <m:ctrlPr>
                  <w:rPr>
                    <w:rFonts w:ascii="DejaVu Math TeX Gyre" w:hAnsi="DejaVu Math TeX Gyre" w:eastAsia="宋体"/>
                    <w:sz w:val="24"/>
                  </w:rPr>
                </m:ctrlPr>
              </m:e>
              <m:sub>
                <m:r>
                  <m:rPr/>
                  <w:rPr>
                    <w:rFonts w:hint="default" w:ascii="Times New Roman" w:hAnsi="Times New Roman"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e>
        </m:func>
      </m:oMath>
      <w:r>
        <w:rPr>
          <w:rFonts w:hint="eastAsia"/>
          <w:sz w:val="21"/>
          <w:szCs w:val="21"/>
          <w:lang w:val="en-US" w:eastAsia="zh-CN"/>
        </w:rPr>
        <w:t xml:space="preserve"> 表示截至时刻 </w:t>
      </w:r>
      <m:oMath>
        <m:r>
          <m:rPr>
            <m:nor/>
          </m:rPr>
          <w:rPr>
            <w:rFonts w:hint="default" w:ascii="Times New Roman" w:hAnsi="Times New Roman" w:cs="Times New Roman"/>
            <w:i/>
            <w:sz w:val="21"/>
          </w:rPr>
          <m:t>t</m:t>
        </m:r>
      </m:oMath>
      <w:r>
        <w:rPr>
          <w:rFonts w:hint="eastAsia"/>
          <w:sz w:val="21"/>
          <w:szCs w:val="21"/>
          <w:lang w:val="en-US" w:eastAsia="zh-CN"/>
        </w:rPr>
        <w:t xml:space="preserve"> 之前策略净值达到的历史最高值，</w:t>
      </w:r>
      <m:oMath>
        <m:sSub>
          <m:sSubPr>
            <m:ctrlPr>
              <w:rPr>
                <w:rFonts w:hint="default" w:ascii="DejaVu Math TeX Gyre" w:hAnsi="DejaVu Math TeX Gyre" w:eastAsia="宋体"/>
                <w:sz w:val="24"/>
              </w:rPr>
            </m:ctrlPr>
          </m:sSubPr>
          <m:e>
            <m:r>
              <m:rPr>
                <m:sty m:val="p"/>
              </m:rPr>
              <w:rPr>
                <w:rFonts w:hint="default" w:ascii="Times New Roman" w:hAnsi="Times New Roman" w:eastAsia="宋体"/>
                <w:sz w:val="24"/>
              </w:rPr>
              <m:t>Trough</m:t>
            </m:r>
            <m:ctrlPr>
              <w:rPr>
                <w:rFonts w:ascii="DejaVu Math TeX Gyre" w:hAnsi="DejaVu Math TeX Gyre" w:eastAsia="宋体"/>
                <w:sz w:val="24"/>
              </w:rPr>
            </m:ctrlPr>
          </m:e>
          <m:sub>
            <m:r>
              <m:rPr/>
              <w:rPr>
                <w:rFonts w:hint="default" w:ascii="Times New Roman" w:hAnsi="Times New Roman" w:eastAsia="宋体"/>
                <w:sz w:val="24"/>
              </w:rPr>
              <m:t>t</m:t>
            </m:r>
            <m:ctrlPr>
              <w:rPr>
                <w:rFonts w:ascii="DejaVu Math TeX Gyre" w:hAnsi="DejaVu Math TeX Gyre" w:eastAsia="宋体"/>
                <w:sz w:val="24"/>
              </w:rPr>
            </m:ctrlPr>
          </m:sub>
        </m:sSub>
        <m:r>
          <m:rPr/>
          <w:rPr>
            <w:rFonts w:hint="default" w:ascii="Times New Roman" w:hAnsi="Times New Roman" w:eastAsia="宋体"/>
            <w:sz w:val="24"/>
          </w:rPr>
          <m:t>=</m:t>
        </m:r>
        <m:func>
          <m:funcPr>
            <m:ctrlPr>
              <w:rPr>
                <w:rFonts w:hint="default" w:ascii="DejaVu Math TeX Gyre" w:hAnsi="DejaVu Math TeX Gyre" w:eastAsia="宋体"/>
                <w:sz w:val="24"/>
              </w:rPr>
            </m:ctrlPr>
          </m:funcPr>
          <m:fName>
            <m:limLow>
              <m:limLowPr>
                <m:ctrlPr>
                  <w:rPr>
                    <w:rFonts w:hint="default" w:ascii="DejaVu Math TeX Gyre" w:hAnsi="DejaVu Math TeX Gyre" w:eastAsia="宋体"/>
                    <w:sz w:val="24"/>
                  </w:rPr>
                </m:ctrlPr>
              </m:limLowPr>
              <m:e>
                <m:r>
                  <m:rPr>
                    <m:sty m:val="p"/>
                  </m:rPr>
                  <w:rPr>
                    <w:rFonts w:hint="default" w:ascii="Times New Roman" w:hAnsi="Times New Roman" w:eastAsia="宋体"/>
                    <w:sz w:val="24"/>
                  </w:rPr>
                  <m:t>min</m:t>
                </m:r>
                <m:ctrlPr>
                  <w:rPr>
                    <w:rFonts w:ascii="DejaVu Math TeX Gyre" w:hAnsi="DejaVu Math TeX Gyre" w:eastAsia="宋体"/>
                    <w:sz w:val="24"/>
                  </w:rPr>
                </m:ctrlPr>
              </m:e>
              <m:lim>
                <m:r>
                  <m:rPr/>
                  <w:rPr>
                    <w:rFonts w:hint="default" w:ascii="Times New Roman" w:hAnsi="Times New Roman" w:eastAsia="宋体"/>
                    <w:sz w:val="24"/>
                  </w:rPr>
                  <m:t>j≥t</m:t>
                </m:r>
                <m:ctrlPr>
                  <w:rPr>
                    <w:rFonts w:ascii="DejaVu Math TeX Gyre" w:hAnsi="DejaVu Math TeX Gyre" w:eastAsia="宋体"/>
                    <w:sz w:val="24"/>
                  </w:rPr>
                </m:ctrlPr>
              </m:lim>
            </m:limLow>
            <m:ctrlPr>
              <w:rPr>
                <w:rFonts w:hint="default" w:ascii="DejaVu Math TeX Gyre" w:hAnsi="DejaVu Math TeX Gyre" w:eastAsia="宋体"/>
                <w:sz w:val="24"/>
              </w:rPr>
            </m:ctrlPr>
          </m:fName>
          <m:e>
            <m:sSub>
              <m:sSubPr>
                <m:ctrlPr>
                  <w:rPr>
                    <w:rFonts w:hint="default" w:ascii="DejaVu Math TeX Gyre" w:hAnsi="DejaVu Math TeX Gyre" w:eastAsia="宋体"/>
                    <w:sz w:val="24"/>
                  </w:rPr>
                </m:ctrlPr>
              </m:sSubPr>
              <m:e>
                <m:r>
                  <m:rPr/>
                  <w:rPr>
                    <w:rFonts w:hint="default" w:ascii="Times New Roman" w:hAnsi="Times New Roman" w:eastAsia="宋体"/>
                    <w:sz w:val="24"/>
                  </w:rPr>
                  <m:t>V</m:t>
                </m:r>
                <m:ctrlPr>
                  <w:rPr>
                    <w:rFonts w:ascii="DejaVu Math TeX Gyre" w:hAnsi="DejaVu Math TeX Gyre" w:eastAsia="宋体"/>
                    <w:sz w:val="24"/>
                  </w:rPr>
                </m:ctrlPr>
              </m:e>
              <m:sub>
                <m:r>
                  <m:rPr/>
                  <w:rPr>
                    <w:rFonts w:hint="default" w:ascii="Times New Roman" w:hAnsi="Times New Roman" w:eastAsia="宋体"/>
                    <w:sz w:val="24"/>
                  </w:rPr>
                  <m:t>j</m:t>
                </m:r>
                <m:ctrlPr>
                  <w:rPr>
                    <w:rFonts w:ascii="DejaVu Math TeX Gyre" w:hAnsi="DejaVu Math TeX Gyre" w:eastAsia="宋体"/>
                    <w:sz w:val="24"/>
                  </w:rPr>
                </m:ctrlPr>
              </m:sub>
            </m:sSub>
            <m:ctrlPr>
              <w:rPr>
                <w:rFonts w:hint="default" w:ascii="DejaVu Math TeX Gyre" w:hAnsi="DejaVu Math TeX Gyre" w:eastAsia="宋体"/>
                <w:sz w:val="24"/>
              </w:rPr>
            </m:ctrlPr>
          </m:e>
        </m:func>
      </m:oMath>
      <w:r>
        <w:rPr>
          <w:rFonts w:hint="eastAsia"/>
          <w:sz w:val="21"/>
          <w:szCs w:val="21"/>
          <w:lang w:val="en-US" w:eastAsia="zh-CN"/>
        </w:rPr>
        <w:t xml:space="preserve"> 表示该峰值之后出现的最低净值。最大回撤越小，说明策略在市场波动过程中资金损失越有限，风险控制能力越强；反之，若最大回撤较大，则意味着投资者可能需要承受较大的阶段性亏损。对于大多数投资者而言，最大回撤往往比收益更加重要，因为即使策略长期收益较高，若期间出现过大的资金回撤，也可能导致投资者无法继续持有策略。因此，在实际量化投资中，最大回撤通常被视为衡量策略稳定性和风险控制能力的重要指标。</w:t>
      </w:r>
    </w:p>
    <w:p w14:paraId="64019DC1">
      <w:pPr>
        <w:numPr>
          <w:ilvl w:val="0"/>
          <w:numId w:val="1"/>
        </w:numPr>
        <w:spacing w:before="159" w:beforeLines="51" w:beforeAutospacing="0" w:after="162" w:afterLines="51" w:afterAutospacing="0"/>
        <w:rPr>
          <w:rFonts w:hint="default"/>
          <w:color w:val="2E54A1" w:themeColor="accent1" w:themeShade="BF"/>
          <w:sz w:val="21"/>
          <w:szCs w:val="21"/>
          <w:lang w:val="en-US" w:eastAsia="zh-CN"/>
        </w:rPr>
      </w:pPr>
      <w:r>
        <w:rPr>
          <w:rFonts w:hint="eastAsia"/>
          <w:color w:val="2E54A1" w:themeColor="accent1" w:themeShade="BF"/>
          <w:sz w:val="21"/>
          <w:szCs w:val="21"/>
          <w:lang w:val="en-US" w:eastAsia="zh-CN"/>
        </w:rPr>
        <w:t>夏普比率 Sharpe Ratio</w:t>
      </w:r>
    </w:p>
    <w:p w14:paraId="18B41D44">
      <w:pPr>
        <w:numPr>
          <w:numId w:val="0"/>
        </w:numPr>
        <w:spacing w:beforeAutospacing="0" w:afterAutospacing="0"/>
        <w:ind w:firstLine="420" w:firstLineChars="200"/>
        <w:rPr>
          <w:rFonts w:hint="eastAsia"/>
          <w:sz w:val="21"/>
          <w:szCs w:val="21"/>
          <w:lang w:val="en-US" w:eastAsia="zh-CN"/>
        </w:rPr>
      </w:pPr>
      <w:r>
        <w:rPr>
          <w:rFonts w:hint="eastAsia"/>
          <w:sz w:val="21"/>
          <w:szCs w:val="21"/>
          <w:lang w:val="en-US" w:eastAsia="zh-CN"/>
        </w:rPr>
        <w:t>夏普比率（Sharpe Ratio）是由诺贝尔经济学奖获得者威廉·夏普提出的一种风险调整收益指标，用于衡量策略每承担一单位风险所获得的超额收益，其定义为</w:t>
      </w:r>
    </w:p>
    <w:p w14:paraId="17E90B4E">
      <w:pPr>
        <w:keepNext w:val="0"/>
        <w:keepLines w:val="0"/>
        <w:widowControl/>
        <w:numPr>
          <w:numId w:val="0"/>
        </w:numPr>
        <w:suppressLineNumbers w:val="0"/>
        <w:spacing w:beforeAutospacing="0" w:afterAutospacing="0"/>
        <w:jc w:val="left"/>
        <w:rPr>
          <w:rFonts w:hint="default" w:hAnsi="宋体" w:eastAsia="宋体" w:cs="宋体"/>
          <w:i w:val="0"/>
          <w:kern w:val="0"/>
          <w:sz w:val="24"/>
          <w:szCs w:val="24"/>
          <w:lang w:val="en-US" w:eastAsia="zh-CN" w:bidi="ar"/>
        </w:rPr>
      </w:pPr>
      <m:oMathPara>
        <m:oMath>
          <m:eqArr>
            <m:eqArrPr>
              <m:maxDist m:val="1"/>
              <m:ctrlPr>
                <w:rPr>
                  <w:rFonts w:ascii="DejaVu Math TeX Gyre" w:hAnsi="DejaVu Math TeX Gyre" w:eastAsia="宋体"/>
                  <w:sz w:val="24"/>
                </w:rPr>
              </m:ctrlPr>
            </m:eqArrPr>
            <m:e>
              <m:r>
                <m:rPr>
                  <m:sty m:val="p"/>
                </m:rPr>
                <w:rPr>
                  <w:rFonts w:hint="default" w:ascii="Times New Roman" w:hAnsi="Times New Roman" w:eastAsia="宋体"/>
                  <w:sz w:val="24"/>
                </w:rPr>
                <m:t>Sharpe</m:t>
              </m:r>
              <m:r>
                <m:rPr/>
                <w:rPr>
                  <w:rFonts w:hint="default" w:ascii="Times New Roman" w:hAnsi="Times New Roman" w:eastAsia="宋体"/>
                  <w:sz w:val="24"/>
                </w:rPr>
                <m:t>=</m:t>
              </m:r>
              <m:f>
                <m:fPr>
                  <m:ctrlPr>
                    <w:rPr>
                      <w:rFonts w:hint="default" w:ascii="DejaVu Math TeX Gyre" w:hAnsi="DejaVu Math TeX Gyre" w:eastAsia="宋体"/>
                      <w:sz w:val="24"/>
                    </w:rPr>
                  </m:ctrlPr>
                </m:fPr>
                <m:num>
                  <m:sSub>
                    <m:sSubPr>
                      <m:ctrlPr>
                        <w:rPr>
                          <w:rFonts w:hint="default" w:ascii="DejaVu Math TeX Gyre" w:hAnsi="DejaVu Math TeX Gyre" w:eastAsia="宋体"/>
                          <w:sz w:val="24"/>
                        </w:rPr>
                      </m:ctrlPr>
                    </m:sSubPr>
                    <m:e>
                      <m:r>
                        <m:rPr/>
                        <w:rPr>
                          <w:rFonts w:hint="default" w:ascii="Times New Roman" w:hAnsi="Times New Roman" w:eastAsia="宋体"/>
                          <w:sz w:val="24"/>
                        </w:rPr>
                        <m:t>R</m:t>
                      </m:r>
                      <m:ctrlPr>
                        <w:rPr>
                          <w:rFonts w:ascii="DejaVu Math TeX Gyre" w:hAnsi="DejaVu Math TeX Gyre" w:eastAsia="宋体"/>
                          <w:sz w:val="24"/>
                        </w:rPr>
                      </m:ctrlPr>
                    </m:e>
                    <m:sub>
                      <m:r>
                        <m:rPr/>
                        <w:rPr>
                          <w:rFonts w:hint="default" w:ascii="Times New Roman" w:hAnsi="Times New Roman" w:eastAsia="宋体"/>
                          <w:sz w:val="24"/>
                        </w:rPr>
                        <m:t>p</m:t>
                      </m:r>
                      <m:ctrlPr>
                        <w:rPr>
                          <w:rFonts w:ascii="DejaVu Math TeX Gyre" w:hAnsi="DejaVu Math TeX Gyre" w:eastAsia="宋体"/>
                          <w:sz w:val="24"/>
                        </w:rPr>
                      </m:ctrlPr>
                    </m:sub>
                  </m:sSub>
                  <m:r>
                    <m:rPr/>
                    <w:rPr>
                      <w:rFonts w:hint="default" w:ascii="Times New Roman" w:hAnsi="Times New Roman" w:eastAsia="宋体"/>
                      <w:sz w:val="24"/>
                    </w:rPr>
                    <m:t>−</m:t>
                  </m:r>
                  <m:sSub>
                    <m:sSubPr>
                      <m:ctrlPr>
                        <w:rPr>
                          <w:rFonts w:hint="default" w:ascii="DejaVu Math TeX Gyre" w:hAnsi="DejaVu Math TeX Gyre" w:eastAsia="宋体"/>
                          <w:sz w:val="24"/>
                        </w:rPr>
                      </m:ctrlPr>
                    </m:sSubPr>
                    <m:e>
                      <m:r>
                        <m:rPr/>
                        <w:rPr>
                          <w:rFonts w:hint="default" w:ascii="Times New Roman" w:hAnsi="Times New Roman" w:eastAsia="宋体"/>
                          <w:sz w:val="24"/>
                        </w:rPr>
                        <m:t>R</m:t>
                      </m:r>
                      <m:ctrlPr>
                        <w:rPr>
                          <w:rFonts w:ascii="DejaVu Math TeX Gyre" w:hAnsi="DejaVu Math TeX Gyre" w:eastAsia="宋体"/>
                          <w:sz w:val="24"/>
                        </w:rPr>
                      </m:ctrlPr>
                    </m:e>
                    <m:sub>
                      <m:r>
                        <m:rPr/>
                        <w:rPr>
                          <w:rFonts w:hint="default" w:ascii="Times New Roman" w:hAnsi="Times New Roman" w:eastAsia="宋体"/>
                          <w:sz w:val="24"/>
                        </w:rPr>
                        <m:t>f</m:t>
                      </m:r>
                      <m:ctrlPr>
                        <w:rPr>
                          <w:rFonts w:ascii="DejaVu Math TeX Gyre" w:hAnsi="DejaVu Math TeX Gyre" w:eastAsia="宋体"/>
                          <w:sz w:val="24"/>
                        </w:rPr>
                      </m:ctrlPr>
                    </m:sub>
                  </m:sSub>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Times New Roman" w:hAnsi="Times New Roman" w:eastAsia="宋体"/>
                          <w:sz w:val="24"/>
                        </w:rPr>
                        <m:t>σ</m:t>
                      </m:r>
                      <m:ctrlPr>
                        <w:rPr>
                          <w:rFonts w:ascii="DejaVu Math TeX Gyre" w:hAnsi="DejaVu Math TeX Gyre" w:eastAsia="宋体"/>
                          <w:sz w:val="24"/>
                        </w:rPr>
                      </m:ctrlPr>
                    </m:e>
                    <m:sub>
                      <m:r>
                        <m:rPr/>
                        <w:rPr>
                          <w:rFonts w:hint="default" w:ascii="Times New Roman" w:hAnsi="Times New Roman" w:eastAsia="宋体"/>
                          <w:sz w:val="24"/>
                        </w:rPr>
                        <m:t>p</m:t>
                      </m:r>
                      <m:ctrlPr>
                        <w:rPr>
                          <w:rFonts w:ascii="DejaVu Math TeX Gyre" w:hAnsi="DejaVu Math TeX Gyre" w:eastAsia="宋体"/>
                          <w:sz w:val="24"/>
                        </w:rPr>
                      </m:ctrlPr>
                    </m:sub>
                  </m:sSub>
                  <m:ctrlPr>
                    <w:rPr>
                      <w:rFonts w:hint="default" w:ascii="DejaVu Math TeX Gyre" w:hAnsi="DejaVu Math TeX Gyre" w:eastAsia="宋体"/>
                      <w:sz w:val="24"/>
                    </w:rPr>
                  </m:ctrlPr>
                </m:den>
              </m:f>
              <m:r>
                <m:rPr>
                  <m:sty m:val="p"/>
                </m:rPr>
                <w:rPr>
                  <w:rFonts w:hint="default" w:ascii="DejaVu Math TeX Gyre" w:hAnsi="DejaVu Math TeX Gyre" w:eastAsia="宋体"/>
                  <w:sz w:val="24"/>
                </w:rPr>
                <m:t>#</m:t>
              </m:r>
              <m:r>
                <m:rPr>
                  <m:nor/>
                  <m:sty m:val="p"/>
                </m:rPr>
                <w:rPr>
                  <w:rFonts w:hint="default" w:ascii="Times New Roman" w:hAnsi="Times New Roman" w:eastAsia="宋体" w:cs="Times New Roman"/>
                  <w:i w:val="0"/>
                  <w:sz w:val="24"/>
                  <w:lang w:val="en-US"/>
                </w:rPr>
                <m:t>(2)</m:t>
              </m:r>
              <m:ctrlPr>
                <w:rPr>
                  <w:rFonts w:ascii="DejaVu Math TeX Gyre" w:hAnsi="DejaVu Math TeX Gyre" w:eastAsia="宋体"/>
                  <w:sz w:val="24"/>
                </w:rPr>
              </m:ctrlPr>
            </m:e>
          </m:eqArr>
        </m:oMath>
      </m:oMathPara>
    </w:p>
    <w:p w14:paraId="3576D654">
      <w:pPr>
        <w:numPr>
          <w:numId w:val="0"/>
        </w:numPr>
        <w:spacing w:beforeAutospacing="0" w:afterAutospacing="0"/>
        <w:rPr>
          <w:rFonts w:hint="default"/>
          <w:sz w:val="21"/>
          <w:szCs w:val="21"/>
          <w:lang w:val="en-US" w:eastAsia="zh-CN"/>
        </w:rPr>
      </w:pPr>
      <w:r>
        <w:rPr>
          <w:rFonts w:hint="eastAsia"/>
          <w:sz w:val="21"/>
          <w:szCs w:val="21"/>
          <w:lang w:val="en-US" w:eastAsia="zh-CN"/>
        </w:rPr>
        <w:t>其中，</w:t>
      </w:r>
      <m:oMath>
        <m:sSub>
          <m:sSubPr>
            <m:ctrlPr>
              <w:rPr>
                <w:rFonts w:hint="default" w:ascii="DejaVu Math TeX Gyre" w:hAnsi="DejaVu Math TeX Gyre" w:eastAsia="宋体"/>
                <w:sz w:val="24"/>
              </w:rPr>
            </m:ctrlPr>
          </m:sSubPr>
          <m:e>
            <m:r>
              <m:rPr/>
              <w:rPr>
                <w:rFonts w:hint="default" w:ascii="Times New Roman" w:hAnsi="Times New Roman" w:eastAsia="宋体"/>
                <w:sz w:val="24"/>
              </w:rPr>
              <m:t>R</m:t>
            </m:r>
            <m:ctrlPr>
              <w:rPr>
                <w:rFonts w:ascii="DejaVu Math TeX Gyre" w:hAnsi="DejaVu Math TeX Gyre" w:eastAsia="宋体"/>
                <w:sz w:val="24"/>
              </w:rPr>
            </m:ctrlPr>
          </m:e>
          <m:sub>
            <m:r>
              <m:rPr/>
              <w:rPr>
                <w:rFonts w:hint="default" w:ascii="Times New Roman" w:hAnsi="Times New Roman" w:eastAsia="宋体"/>
                <w:sz w:val="24"/>
              </w:rPr>
              <m:t>p</m:t>
            </m:r>
            <m:ctrlPr>
              <w:rPr>
                <w:rFonts w:ascii="DejaVu Math TeX Gyre" w:hAnsi="DejaVu Math TeX Gyre" w:eastAsia="宋体"/>
                <w:sz w:val="24"/>
              </w:rPr>
            </m:ctrlPr>
          </m:sub>
        </m:sSub>
      </m:oMath>
      <w:r>
        <w:rPr>
          <w:rFonts w:hint="default"/>
          <w:sz w:val="21"/>
          <w:szCs w:val="21"/>
          <w:lang w:val="en-US" w:eastAsia="zh-CN"/>
        </w:rPr>
        <w:t xml:space="preserve"> </w:t>
      </w:r>
      <w:r>
        <w:rPr>
          <w:rFonts w:hint="eastAsia"/>
          <w:sz w:val="21"/>
          <w:szCs w:val="21"/>
          <w:lang w:val="en-US" w:eastAsia="zh-CN"/>
        </w:rPr>
        <w:t>表示策略平均收益率，</w:t>
      </w:r>
      <m:oMath>
        <m:sSub>
          <m:sSubPr>
            <m:ctrlPr>
              <w:rPr>
                <w:rFonts w:hint="default" w:ascii="DejaVu Math TeX Gyre" w:hAnsi="DejaVu Math TeX Gyre" w:eastAsia="宋体"/>
                <w:sz w:val="24"/>
              </w:rPr>
            </m:ctrlPr>
          </m:sSubPr>
          <m:e>
            <m:r>
              <m:rPr/>
              <w:rPr>
                <w:rFonts w:hint="default" w:ascii="Times New Roman" w:hAnsi="Times New Roman" w:eastAsia="宋体"/>
                <w:sz w:val="24"/>
              </w:rPr>
              <m:t>R</m:t>
            </m:r>
            <m:ctrlPr>
              <w:rPr>
                <w:rFonts w:ascii="DejaVu Math TeX Gyre" w:hAnsi="DejaVu Math TeX Gyre" w:eastAsia="宋体"/>
                <w:sz w:val="24"/>
              </w:rPr>
            </m:ctrlPr>
          </m:e>
          <m:sub>
            <m:r>
              <m:rPr/>
              <w:rPr>
                <w:rFonts w:hint="default" w:ascii="Times New Roman" w:hAnsi="Times New Roman" w:eastAsia="宋体"/>
                <w:sz w:val="24"/>
              </w:rPr>
              <m:t>f</m:t>
            </m:r>
            <m:ctrlPr>
              <w:rPr>
                <w:rFonts w:ascii="DejaVu Math TeX Gyre" w:hAnsi="DejaVu Math TeX Gyre" w:eastAsia="宋体"/>
                <w:sz w:val="24"/>
              </w:rPr>
            </m:ctrlPr>
          </m:sub>
        </m:sSub>
      </m:oMath>
      <w:r>
        <w:rPr>
          <w:rFonts w:hint="default"/>
          <w:sz w:val="21"/>
          <w:szCs w:val="21"/>
          <w:lang w:val="en-US" w:eastAsia="zh-CN"/>
        </w:rPr>
        <w:t xml:space="preserve"> </w:t>
      </w:r>
      <w:r>
        <w:rPr>
          <w:rFonts w:hint="eastAsia"/>
          <w:sz w:val="21"/>
          <w:szCs w:val="21"/>
          <w:lang w:val="en-US" w:eastAsia="zh-CN"/>
        </w:rPr>
        <w:t>表示无风险收益率（例如国债收益率），</w:t>
      </w:r>
      <m:oMath>
        <m:sSub>
          <m:sSubPr>
            <m:ctrlPr>
              <w:rPr>
                <w:rFonts w:hint="default" w:ascii="DejaVu Math TeX Gyre" w:hAnsi="DejaVu Math TeX Gyre" w:eastAsia="宋体"/>
                <w:sz w:val="24"/>
              </w:rPr>
            </m:ctrlPr>
          </m:sSubPr>
          <m:e>
            <m:r>
              <m:rPr/>
              <w:rPr>
                <w:rFonts w:hint="default" w:ascii="Times New Roman" w:hAnsi="Times New Roman" w:eastAsia="宋体"/>
                <w:sz w:val="24"/>
              </w:rPr>
              <m:t>σ</m:t>
            </m:r>
            <m:ctrlPr>
              <w:rPr>
                <w:rFonts w:ascii="DejaVu Math TeX Gyre" w:hAnsi="DejaVu Math TeX Gyre" w:eastAsia="宋体"/>
                <w:sz w:val="24"/>
              </w:rPr>
            </m:ctrlPr>
          </m:e>
          <m:sub>
            <m:r>
              <m:rPr/>
              <w:rPr>
                <w:rFonts w:hint="default" w:ascii="Times New Roman" w:hAnsi="Times New Roman" w:eastAsia="宋体"/>
                <w:sz w:val="24"/>
              </w:rPr>
              <m:t>p</m:t>
            </m:r>
            <m:ctrlPr>
              <w:rPr>
                <w:rFonts w:ascii="DejaVu Math TeX Gyre" w:hAnsi="DejaVu Math TeX Gyre" w:eastAsia="宋体"/>
                <w:sz w:val="24"/>
              </w:rPr>
            </m:ctrlPr>
          </m:sub>
        </m:sSub>
      </m:oMath>
      <w:r>
        <w:rPr>
          <w:rFonts w:hint="default"/>
          <w:sz w:val="21"/>
          <w:szCs w:val="21"/>
          <w:lang w:val="en-US" w:eastAsia="zh-CN"/>
        </w:rPr>
        <w:t xml:space="preserve"> </w:t>
      </w:r>
      <w:r>
        <w:rPr>
          <w:rFonts w:hint="eastAsia"/>
          <w:sz w:val="21"/>
          <w:szCs w:val="21"/>
          <w:lang w:val="en-US" w:eastAsia="zh-CN"/>
        </w:rPr>
        <w:t>表示策略收益率的标准差，用于衡量收益波动程度。夏普比率越高，说明策略在承担相同风险的情况下能够获得更高的超额收益，资金利用效率越高；若夏普比率较低，则说明策略收益不足以补偿所承担的风险。在量化投资中，夏普比率能够综合考虑收益与波动性，因此比单纯观察收益率更具有参考价值。例如，两种策略都获得20%的年化收益，但其中一种收益波动明显较小，则其夏普比率通常更高，也意味着该策略具有更好的稳定性和投资价值。</w:t>
      </w:r>
    </w:p>
    <w:p w14:paraId="5D9AB26A">
      <w:pPr>
        <w:numPr>
          <w:ilvl w:val="0"/>
          <w:numId w:val="1"/>
        </w:numPr>
        <w:spacing w:before="159" w:beforeLines="51" w:beforeAutospacing="0" w:after="162" w:afterLines="51" w:afterAutospacing="0"/>
        <w:rPr>
          <w:rFonts w:hint="default"/>
          <w:color w:val="2E54A1" w:themeColor="accent1" w:themeShade="BF"/>
          <w:sz w:val="21"/>
          <w:szCs w:val="21"/>
          <w:lang w:val="en-US" w:eastAsia="zh-CN"/>
        </w:rPr>
      </w:pPr>
      <w:r>
        <w:rPr>
          <w:rFonts w:hint="eastAsia"/>
          <w:color w:val="2E54A1" w:themeColor="accent1" w:themeShade="BF"/>
          <w:sz w:val="21"/>
          <w:szCs w:val="21"/>
          <w:lang w:val="en-US" w:eastAsia="zh-CN"/>
        </w:rPr>
        <w:t>累计回报 Cumulative Return</w:t>
      </w:r>
    </w:p>
    <w:p w14:paraId="5A0E7F16">
      <w:pPr>
        <w:numPr>
          <w:numId w:val="0"/>
        </w:numPr>
        <w:spacing w:beforeAutospacing="0" w:afterAutospacing="0"/>
        <w:ind w:firstLine="420" w:firstLineChars="200"/>
        <w:rPr>
          <w:rFonts w:hint="eastAsia"/>
          <w:sz w:val="21"/>
          <w:szCs w:val="21"/>
          <w:lang w:val="en-US" w:eastAsia="zh-CN"/>
        </w:rPr>
      </w:pPr>
      <w:r>
        <w:rPr>
          <w:rFonts w:hint="eastAsia"/>
          <w:sz w:val="21"/>
          <w:szCs w:val="21"/>
          <w:lang w:val="en-US" w:eastAsia="zh-CN"/>
        </w:rPr>
        <w:t xml:space="preserve">累计回报（Cumulative Return）用于衡量策略在整个投资期间获得的总体收益水平，是评价策略盈利能力最直接的指标。假设策略初始资金为 </w:t>
      </w:r>
      <m:oMath>
        <m:sSub>
          <m:sSubPr>
            <m:ctrlPr>
              <w:rPr>
                <w:rFonts w:hint="default" w:ascii="DejaVu Math TeX Gyre" w:hAnsi="DejaVu Math TeX Gyre" w:eastAsia="宋体"/>
                <w:sz w:val="24"/>
              </w:rPr>
            </m:ctrlPr>
          </m:sSubPr>
          <m:e>
            <m:r>
              <m:rPr/>
              <w:rPr>
                <w:rFonts w:hint="default" w:ascii="Times New Roman" w:hAnsi="Times New Roman" w:eastAsia="宋体"/>
                <w:sz w:val="24"/>
              </w:rPr>
              <m:t>V</m:t>
            </m:r>
            <m:ctrlPr>
              <w:rPr>
                <w:rFonts w:ascii="DejaVu Math TeX Gyre" w:hAnsi="DejaVu Math TeX Gyre" w:eastAsia="宋体"/>
                <w:sz w:val="24"/>
              </w:rPr>
            </m:ctrlPr>
          </m:e>
          <m:sub>
            <m:r>
              <m:rPr/>
              <w:rPr>
                <w:rFonts w:hint="default" w:ascii="Times New Roman" w:hAnsi="Times New Roman" w:eastAsia="宋体"/>
                <w:sz w:val="24"/>
              </w:rPr>
              <m:t>0</m:t>
            </m:r>
            <m:ctrlPr>
              <w:rPr>
                <w:rFonts w:ascii="DejaVu Math TeX Gyre" w:hAnsi="DejaVu Math TeX Gyre" w:eastAsia="宋体"/>
                <w:sz w:val="24"/>
              </w:rPr>
            </m:ctrlPr>
          </m:sub>
        </m:sSub>
      </m:oMath>
      <w:r>
        <w:rPr>
          <w:rFonts w:hint="eastAsia"/>
          <w:sz w:val="21"/>
          <w:szCs w:val="21"/>
          <w:lang w:val="en-US" w:eastAsia="zh-CN"/>
        </w:rPr>
        <w:t xml:space="preserve">，期末资金为 </w:t>
      </w:r>
      <m:oMath>
        <m:sSub>
          <m:sSubPr>
            <m:ctrlPr>
              <w:rPr>
                <w:rFonts w:hint="default" w:ascii="DejaVu Math TeX Gyre" w:hAnsi="DejaVu Math TeX Gyre" w:eastAsia="宋体"/>
                <w:sz w:val="24"/>
              </w:rPr>
            </m:ctrlPr>
          </m:sSubPr>
          <m:e>
            <m:r>
              <m:rPr/>
              <w:rPr>
                <w:rFonts w:hint="default" w:ascii="Times New Roman" w:hAnsi="Times New Roman" w:eastAsia="宋体"/>
                <w:sz w:val="24"/>
              </w:rPr>
              <m:t>V</m:t>
            </m:r>
            <m:ctrlPr>
              <w:rPr>
                <w:rFonts w:ascii="DejaVu Math TeX Gyre" w:hAnsi="DejaVu Math TeX Gyre" w:eastAsia="宋体"/>
                <w:sz w:val="24"/>
              </w:rPr>
            </m:ctrlPr>
          </m:e>
          <m:sub>
            <m:r>
              <m:rPr/>
              <w:rPr>
                <w:rFonts w:hint="default" w:ascii="Times New Roman" w:hAnsi="Times New Roman" w:eastAsia="宋体"/>
                <w:sz w:val="24"/>
              </w:rPr>
              <m:t>T</m:t>
            </m:r>
            <m:ctrlPr>
              <w:rPr>
                <w:rFonts w:ascii="DejaVu Math TeX Gyre" w:hAnsi="DejaVu Math TeX Gyre" w:eastAsia="宋体"/>
                <w:sz w:val="24"/>
              </w:rPr>
            </m:ctrlPr>
          </m:sub>
        </m:sSub>
      </m:oMath>
      <w:r>
        <w:rPr>
          <w:rFonts w:hint="eastAsia"/>
          <w:sz w:val="21"/>
          <w:szCs w:val="21"/>
          <w:lang w:val="en-US" w:eastAsia="zh-CN"/>
        </w:rPr>
        <w:t>，则累计回报可表示为</w:t>
      </w:r>
    </w:p>
    <w:p w14:paraId="71254D35">
      <w:pPr>
        <w:keepNext w:val="0"/>
        <w:keepLines w:val="0"/>
        <w:widowControl/>
        <w:numPr>
          <w:numId w:val="0"/>
        </w:numPr>
        <w:suppressLineNumbers w:val="0"/>
        <w:spacing w:beforeAutospacing="0" w:afterAutospacing="0"/>
        <w:jc w:val="left"/>
        <w:rPr>
          <w:rFonts w:hint="eastAsia" w:hAnsi="宋体" w:eastAsia="宋体" w:cs="宋体"/>
          <w:i w:val="0"/>
          <w:kern w:val="0"/>
          <w:sz w:val="24"/>
          <w:szCs w:val="24"/>
          <w:lang w:val="en-US" w:eastAsia="zh-CN" w:bidi="ar"/>
        </w:rPr>
      </w:pPr>
      <m:oMathPara>
        <m:oMath>
          <m:eqArr>
            <m:eqArrPr>
              <m:maxDist m:val="1"/>
              <m:ctrlPr>
                <m:rPr/>
                <w:rPr>
                  <w:rFonts w:hint="default" w:ascii="Times New Roman" w:hAnsi="Times New Roman" w:eastAsia="宋体"/>
                  <w:i/>
                  <w:sz w:val="24"/>
                </w:rPr>
              </m:ctrlPr>
            </m:eqArrPr>
            <m:e>
              <m:r>
                <m:rPr>
                  <m:sty m:val="p"/>
                </m:rPr>
                <w:rPr>
                  <w:rFonts w:hint="default" w:ascii="Times New Roman" w:hAnsi="Times New Roman" w:eastAsia="宋体"/>
                  <w:sz w:val="24"/>
                </w:rPr>
                <m:t>Cumulative Return</m:t>
              </m:r>
              <m:r>
                <m:rPr/>
                <w:rPr>
                  <w:rFonts w:hint="default" w:ascii="Times New Roman" w:hAnsi="Times New Roman" w:eastAsia="宋体"/>
                  <w:sz w:val="24"/>
                </w:rPr>
                <m:t>=</m:t>
              </m:r>
              <m:f>
                <m:fPr>
                  <m:ctrlPr>
                    <w:rPr>
                      <w:rFonts w:hint="default" w:ascii="DejaVu Math TeX Gyre" w:hAnsi="DejaVu Math TeX Gyre" w:eastAsia="宋体"/>
                      <w:sz w:val="24"/>
                    </w:rPr>
                  </m:ctrlPr>
                </m:fPr>
                <m:num>
                  <m:sSub>
                    <m:sSubPr>
                      <m:ctrlPr>
                        <w:rPr>
                          <w:rFonts w:hint="default" w:ascii="DejaVu Math TeX Gyre" w:hAnsi="DejaVu Math TeX Gyre" w:eastAsia="宋体"/>
                          <w:sz w:val="24"/>
                        </w:rPr>
                      </m:ctrlPr>
                    </m:sSubPr>
                    <m:e>
                      <m:r>
                        <m:rPr/>
                        <w:rPr>
                          <w:rFonts w:hint="default" w:ascii="Times New Roman" w:hAnsi="Times New Roman" w:eastAsia="宋体"/>
                          <w:sz w:val="24"/>
                        </w:rPr>
                        <m:t>V</m:t>
                      </m:r>
                      <m:ctrlPr>
                        <w:rPr>
                          <w:rFonts w:ascii="DejaVu Math TeX Gyre" w:hAnsi="DejaVu Math TeX Gyre" w:eastAsia="宋体"/>
                          <w:sz w:val="24"/>
                        </w:rPr>
                      </m:ctrlPr>
                    </m:e>
                    <m:sub>
                      <m:r>
                        <m:rPr/>
                        <w:rPr>
                          <w:rFonts w:hint="default" w:ascii="Times New Roman" w:hAnsi="Times New Roman" w:eastAsia="宋体"/>
                          <w:sz w:val="24"/>
                        </w:rPr>
                        <m:t>T</m:t>
                      </m:r>
                      <m:ctrlPr>
                        <w:rPr>
                          <w:rFonts w:ascii="DejaVu Math TeX Gyre" w:hAnsi="DejaVu Math TeX Gyre" w:eastAsia="宋体"/>
                          <w:sz w:val="24"/>
                        </w:rPr>
                      </m:ctrlPr>
                    </m:sub>
                  </m:sSub>
                  <m:r>
                    <m:rPr/>
                    <w:rPr>
                      <w:rFonts w:hint="default" w:ascii="Times New Roman" w:hAnsi="Times New Roman" w:eastAsia="宋体"/>
                      <w:sz w:val="24"/>
                    </w:rPr>
                    <m:t>−</m:t>
                  </m:r>
                  <m:sSub>
                    <m:sSubPr>
                      <m:ctrlPr>
                        <w:rPr>
                          <w:rFonts w:hint="default" w:ascii="DejaVu Math TeX Gyre" w:hAnsi="DejaVu Math TeX Gyre" w:eastAsia="宋体"/>
                          <w:sz w:val="24"/>
                        </w:rPr>
                      </m:ctrlPr>
                    </m:sSubPr>
                    <m:e>
                      <m:r>
                        <m:rPr/>
                        <w:rPr>
                          <w:rFonts w:hint="default" w:ascii="Times New Roman" w:hAnsi="Times New Roman" w:eastAsia="宋体"/>
                          <w:sz w:val="24"/>
                        </w:rPr>
                        <m:t>V</m:t>
                      </m:r>
                      <m:ctrlPr>
                        <w:rPr>
                          <w:rFonts w:ascii="DejaVu Math TeX Gyre" w:hAnsi="DejaVu Math TeX Gyre" w:eastAsia="宋体"/>
                          <w:sz w:val="24"/>
                        </w:rPr>
                      </m:ctrlPr>
                    </m:e>
                    <m:sub>
                      <m:r>
                        <m:rPr/>
                        <w:rPr>
                          <w:rFonts w:hint="default" w:ascii="Times New Roman" w:hAnsi="Times New Roman" w:eastAsia="宋体"/>
                          <w:sz w:val="24"/>
                        </w:rPr>
                        <m:t>0</m:t>
                      </m:r>
                      <m:ctrlPr>
                        <w:rPr>
                          <w:rFonts w:ascii="DejaVu Math TeX Gyre" w:hAnsi="DejaVu Math TeX Gyre" w:eastAsia="宋体"/>
                          <w:sz w:val="24"/>
                        </w:rPr>
                      </m:ctrlPr>
                    </m:sub>
                  </m:sSub>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Times New Roman" w:hAnsi="Times New Roman" w:eastAsia="宋体"/>
                          <w:sz w:val="24"/>
                        </w:rPr>
                        <m:t>V</m:t>
                      </m:r>
                      <m:ctrlPr>
                        <w:rPr>
                          <w:rFonts w:ascii="DejaVu Math TeX Gyre" w:hAnsi="DejaVu Math TeX Gyre" w:eastAsia="宋体"/>
                          <w:sz w:val="24"/>
                        </w:rPr>
                      </m:ctrlPr>
                    </m:e>
                    <m:sub>
                      <m:r>
                        <m:rPr/>
                        <w:rPr>
                          <w:rFonts w:hint="default" w:ascii="Times New Roman" w:hAnsi="Times New Roman" w:eastAsia="宋体"/>
                          <w:sz w:val="24"/>
                        </w:rPr>
                        <m:t>0</m:t>
                      </m:r>
                      <m:ctrlPr>
                        <w:rPr>
                          <w:rFonts w:ascii="DejaVu Math TeX Gyre" w:hAnsi="DejaVu Math TeX Gyre" w:eastAsia="宋体"/>
                          <w:sz w:val="24"/>
                        </w:rPr>
                      </m:ctrlPr>
                    </m:sub>
                  </m:sSub>
                  <m:ctrlPr>
                    <w:rPr>
                      <w:rFonts w:hint="default" w:ascii="DejaVu Math TeX Gyre" w:hAnsi="DejaVu Math TeX Gyre" w:eastAsia="宋体"/>
                      <w:sz w:val="24"/>
                    </w:rPr>
                  </m:ctrlPr>
                </m:den>
              </m:f>
              <m:r>
                <m:rPr>
                  <m:sty m:val="p"/>
                </m:rPr>
                <w:rPr>
                  <w:rFonts w:hint="default" w:ascii="DejaVu Math TeX Gyre" w:hAnsi="DejaVu Math TeX Gyre" w:eastAsia="宋体"/>
                  <w:sz w:val="24"/>
                </w:rPr>
                <m:t>#</m:t>
              </m:r>
              <m:r>
                <m:rPr>
                  <m:nor/>
                  <m:sty m:val="p"/>
                </m:rPr>
                <w:rPr>
                  <w:rFonts w:hint="default" w:ascii="Times New Roman" w:hAnsi="Times New Roman" w:eastAsia="宋体" w:cs="Times New Roman"/>
                  <w:i w:val="0"/>
                  <w:sz w:val="24"/>
                  <w:lang w:val="en-US"/>
                </w:rPr>
                <m:t>(3)</m:t>
              </m:r>
              <m:ctrlPr>
                <m:rPr/>
                <w:rPr>
                  <w:rFonts w:hint="default" w:ascii="Times New Roman" w:hAnsi="Times New Roman" w:eastAsia="宋体"/>
                  <w:i/>
                  <w:sz w:val="24"/>
                </w:rPr>
              </m:ctrlPr>
            </m:e>
          </m:eqArr>
        </m:oMath>
      </m:oMathPara>
    </w:p>
    <w:p w14:paraId="5BD3C1EF">
      <w:pPr>
        <w:numPr>
          <w:numId w:val="0"/>
        </w:numPr>
        <w:spacing w:beforeAutospacing="0" w:afterAutospacing="0"/>
        <w:rPr>
          <w:rFonts w:hint="eastAsia"/>
          <w:sz w:val="21"/>
          <w:szCs w:val="21"/>
          <w:lang w:val="en-US" w:eastAsia="zh-CN"/>
        </w:rPr>
      </w:pPr>
      <w:r>
        <w:rPr>
          <w:rFonts w:hint="eastAsia"/>
          <w:sz w:val="21"/>
          <w:szCs w:val="21"/>
          <w:lang w:val="en-US" w:eastAsia="zh-CN"/>
        </w:rPr>
        <w:t>例如，若投资者初始资金为100万元，最终资金增长至150万元，则累计回报为50%。累计回报能够直观反映策略最终创造了多少收益，因此常用于不同策略之间的收益比较。然而，仅依赖累计回报评价策略存在一定局限性，因为两种策略即使获得相同的累计收益，其承担的风险可能截然不同。例如，一种策略收益增长平稳，而另一种策略在获得相同收益的过程中经历了较大的资金波动和回撤。因此，在实际评价量化策略时，累计回报通常需要与最大回撤、夏普比率等风险指标结合分析，才能更加全面地评价策略的实际表现。</w:t>
      </w:r>
    </w:p>
    <w:p w14:paraId="507C06F8">
      <w:pPr>
        <w:numPr>
          <w:numId w:val="0"/>
        </w:numPr>
        <w:spacing w:before="159" w:beforeLines="51" w:beforeAutospacing="0" w:after="162" w:afterLines="51" w:afterAutospacing="0"/>
        <w:rPr>
          <w:rFonts w:hint="default"/>
          <w:color w:val="2E54A1" w:themeColor="accent1" w:themeShade="BF"/>
          <w:sz w:val="21"/>
          <w:szCs w:val="21"/>
          <w:lang w:val="en-US" w:eastAsia="zh-CN"/>
        </w:rPr>
      </w:pPr>
      <w:r>
        <w:rPr>
          <w:rFonts w:hint="eastAsia"/>
          <w:color w:val="2E54A1" w:themeColor="accent1" w:themeShade="BF"/>
          <w:sz w:val="21"/>
          <w:szCs w:val="21"/>
          <w:lang w:val="en-US" w:eastAsia="zh-CN"/>
        </w:rPr>
        <w:t>任务3</w:t>
      </w:r>
      <w:r>
        <w:rPr>
          <w:rFonts w:hint="default"/>
          <w:color w:val="2E54A1" w:themeColor="accent1" w:themeShade="BF"/>
          <w:sz w:val="21"/>
          <w:szCs w:val="21"/>
          <w:lang w:val="en-US" w:eastAsia="zh-CN"/>
        </w:rPr>
        <w:t>.</w:t>
      </w:r>
      <w:r>
        <w:rPr>
          <w:rFonts w:hint="eastAsia"/>
          <w:color w:val="2E54A1" w:themeColor="accent1" w:themeShade="BF"/>
          <w:sz w:val="21"/>
          <w:szCs w:val="21"/>
          <w:lang w:val="en-US" w:eastAsia="zh-CN"/>
        </w:rPr>
        <w:t xml:space="preserve"> </w:t>
      </w:r>
      <w:r>
        <w:rPr>
          <w:rFonts w:hint="default"/>
          <w:color w:val="2E54A1" w:themeColor="accent1" w:themeShade="BF"/>
          <w:sz w:val="21"/>
          <w:szCs w:val="21"/>
          <w:lang w:val="en-US" w:eastAsia="zh-CN"/>
        </w:rPr>
        <w:t>python编程实现以下内容：</w:t>
      </w:r>
    </w:p>
    <w:p w14:paraId="2E195649">
      <w:pPr>
        <w:numPr>
          <w:ilvl w:val="0"/>
          <w:numId w:val="2"/>
        </w:numPr>
        <w:spacing w:beforeAutospacing="0" w:afterAutospacing="0"/>
        <w:rPr>
          <w:rFonts w:hint="default"/>
          <w:sz w:val="21"/>
          <w:szCs w:val="21"/>
          <w:lang w:val="en-US" w:eastAsia="zh-CN"/>
        </w:rPr>
      </w:pPr>
      <w:r>
        <w:rPr>
          <w:rFonts w:hint="default"/>
          <w:color w:val="2E54A1" w:themeColor="accent1" w:themeShade="BF"/>
          <w:sz w:val="21"/>
          <w:szCs w:val="21"/>
          <w:lang w:val="en-US" w:eastAsia="zh-CN"/>
        </w:rPr>
        <w:t>设定短均线和长均线的周期，如 5 和15，计算均线数据</w:t>
      </w:r>
    </w:p>
    <w:p w14:paraId="6F376C7F">
      <w:pPr>
        <w:numPr>
          <w:ilvl w:val="0"/>
          <w:numId w:val="2"/>
        </w:numPr>
        <w:spacing w:beforeAutospacing="0" w:afterAutospacing="0"/>
        <w:rPr>
          <w:rFonts w:hint="default"/>
          <w:sz w:val="21"/>
          <w:szCs w:val="21"/>
          <w:lang w:val="en-US" w:eastAsia="zh-CN"/>
        </w:rPr>
      </w:pPr>
      <w:r>
        <w:rPr>
          <w:rFonts w:hint="default"/>
          <w:color w:val="2E54A1" w:themeColor="accent1" w:themeShade="BF"/>
          <w:sz w:val="21"/>
          <w:szCs w:val="21"/>
          <w:lang w:val="en-US" w:eastAsia="zh-CN"/>
        </w:rPr>
        <w:t>计算买入卖出的交易信号</w:t>
      </w:r>
    </w:p>
    <w:p w14:paraId="0FE56F19">
      <w:pPr>
        <w:numPr>
          <w:ilvl w:val="0"/>
          <w:numId w:val="2"/>
        </w:numPr>
        <w:spacing w:beforeAutospacing="0" w:afterAutospacing="0"/>
        <w:rPr>
          <w:rFonts w:hint="default"/>
          <w:sz w:val="21"/>
          <w:szCs w:val="21"/>
          <w:lang w:val="en-US" w:eastAsia="zh-CN"/>
        </w:rPr>
      </w:pPr>
      <w:r>
        <w:rPr>
          <w:rFonts w:hint="default"/>
          <w:color w:val="2E54A1" w:themeColor="accent1" w:themeShade="BF"/>
          <w:sz w:val="21"/>
          <w:szCs w:val="21"/>
          <w:lang w:val="en-US" w:eastAsia="zh-CN"/>
        </w:rPr>
        <w:t>根据计算结果绘制对应可视化图形，包括股价，长短均线，交易信号，标记买入信号，卖出信号</w:t>
      </w:r>
    </w:p>
    <w:p w14:paraId="7787A2D5">
      <w:pPr>
        <w:numPr>
          <w:ilvl w:val="0"/>
          <w:numId w:val="2"/>
        </w:numPr>
        <w:spacing w:beforeAutospacing="0" w:after="159" w:afterLines="51" w:afterAutospacing="0"/>
        <w:rPr>
          <w:rFonts w:hint="default"/>
          <w:color w:val="2E54A1" w:themeColor="accent1" w:themeShade="BF"/>
          <w:sz w:val="21"/>
          <w:szCs w:val="21"/>
          <w:lang w:val="en-US" w:eastAsia="zh-CN"/>
        </w:rPr>
      </w:pPr>
      <w:r>
        <w:rPr>
          <w:rFonts w:hint="default"/>
          <w:color w:val="2E54A1" w:themeColor="accent1" w:themeShade="BF"/>
          <w:sz w:val="21"/>
          <w:szCs w:val="21"/>
          <w:lang w:val="en-US" w:eastAsia="zh-CN"/>
        </w:rPr>
        <w:t>对策略进行模拟交易和回测，计算以上量化指标</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522"/>
      </w:tblGrid>
      <w:tr w14:paraId="7C2C9928">
        <w:tc>
          <w:tcPr>
            <w:tcW w:w="8522" w:type="dxa"/>
          </w:tcPr>
          <w:p w14:paraId="79232B5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run_backtest</w:t>
            </w:r>
            <w:r>
              <w:rPr>
                <w:rFonts w:hint="default" w:ascii="Menlo" w:hAnsi="Menlo" w:eastAsia="Menlo" w:cs="Menlo"/>
                <w:b w:val="0"/>
                <w:bCs w:val="0"/>
                <w:color w:val="3B3B3B"/>
                <w:kern w:val="0"/>
                <w:sz w:val="21"/>
                <w:szCs w:val="21"/>
                <w:shd w:val="clear" w:fill="FFFFFF"/>
                <w:lang w:val="en-US" w:eastAsia="zh-CN" w:bidi="ar"/>
              </w:rPr>
              <w:t>(</w:t>
            </w:r>
          </w:p>
          <w:p w14:paraId="5AE1C6A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w:t>
            </w:r>
          </w:p>
          <w:p w14:paraId="520D12B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short_period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int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DEFAULT_SHORT_SMA</w:t>
            </w:r>
            <w:r>
              <w:rPr>
                <w:rFonts w:hint="default" w:ascii="Menlo" w:hAnsi="Menlo" w:eastAsia="Menlo" w:cs="Menlo"/>
                <w:b w:val="0"/>
                <w:bCs w:val="0"/>
                <w:color w:val="3B3B3B"/>
                <w:kern w:val="0"/>
                <w:sz w:val="21"/>
                <w:szCs w:val="21"/>
                <w:shd w:val="clear" w:fill="FFFFFF"/>
                <w:lang w:val="en-US" w:eastAsia="zh-CN" w:bidi="ar"/>
              </w:rPr>
              <w:t>,</w:t>
            </w:r>
          </w:p>
          <w:p w14:paraId="07D6E6A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long_period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int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DEFAULT_LONG_SMA</w:t>
            </w:r>
            <w:r>
              <w:rPr>
                <w:rFonts w:hint="default" w:ascii="Menlo" w:hAnsi="Menlo" w:eastAsia="Menlo" w:cs="Menlo"/>
                <w:b w:val="0"/>
                <w:bCs w:val="0"/>
                <w:color w:val="3B3B3B"/>
                <w:kern w:val="0"/>
                <w:sz w:val="21"/>
                <w:szCs w:val="21"/>
                <w:shd w:val="clear" w:fill="FFFFFF"/>
                <w:lang w:val="en-US" w:eastAsia="zh-CN" w:bidi="ar"/>
              </w:rPr>
              <w:t>,</w:t>
            </w:r>
          </w:p>
          <w:p w14:paraId="06E2300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initial_capital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DEFAULT_INITIAL_CAPITAL</w:t>
            </w:r>
            <w:r>
              <w:rPr>
                <w:rFonts w:hint="default" w:ascii="Menlo" w:hAnsi="Menlo" w:eastAsia="Menlo" w:cs="Menlo"/>
                <w:b w:val="0"/>
                <w:bCs w:val="0"/>
                <w:color w:val="3B3B3B"/>
                <w:kern w:val="0"/>
                <w:sz w:val="21"/>
                <w:szCs w:val="21"/>
                <w:shd w:val="clear" w:fill="FFFFFF"/>
                <w:lang w:val="en-US" w:eastAsia="zh-CN" w:bidi="ar"/>
              </w:rPr>
              <w:t>,</w:t>
            </w:r>
          </w:p>
          <w:p w14:paraId="18D9C2C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commission_rate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r>
              <w:rPr>
                <w:rFonts w:hint="default" w:ascii="Menlo" w:hAnsi="Menlo" w:eastAsia="Menlo" w:cs="Menlo"/>
                <w:b w:val="0"/>
                <w:bCs w:val="0"/>
                <w:color w:val="3B3B3B"/>
                <w:kern w:val="0"/>
                <w:sz w:val="21"/>
                <w:szCs w:val="21"/>
                <w:shd w:val="clear" w:fill="FFFFFF"/>
                <w:lang w:val="en-US" w:eastAsia="zh-CN" w:bidi="ar"/>
              </w:rPr>
              <w:t>,</w:t>
            </w:r>
          </w:p>
          <w:p w14:paraId="3907519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start_date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1509FC9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end_date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37229E9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dict</w:t>
            </w:r>
            <w:r>
              <w:rPr>
                <w:rFonts w:hint="default" w:ascii="Menlo" w:hAnsi="Menlo" w:eastAsia="Menlo" w:cs="Menlo"/>
                <w:b w:val="0"/>
                <w:bCs w:val="0"/>
                <w:color w:val="3B3B3B"/>
                <w:kern w:val="0"/>
                <w:sz w:val="21"/>
                <w:szCs w:val="21"/>
                <w:shd w:val="clear" w:fill="FFFFFF"/>
                <w:lang w:val="en-US" w:eastAsia="zh-CN" w:bidi="ar"/>
              </w:rPr>
              <w:t>:</w:t>
            </w:r>
          </w:p>
          <w:p w14:paraId="607BB10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746BF8E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运行双均线策略回测。</w:t>
            </w:r>
          </w:p>
          <w:p w14:paraId="02C5865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p>
          <w:p w14:paraId="452B98F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参数</w:t>
            </w:r>
          </w:p>
          <w:p w14:paraId="75A1E14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0DCEEA1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df : pd.DataFrame</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原始日线数据，需包含 trade_date 和 close 列</w:t>
            </w:r>
          </w:p>
          <w:p w14:paraId="06D8687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short_period : int</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短周期 SMA</w:t>
            </w:r>
          </w:p>
          <w:p w14:paraId="738ED17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long_period : int</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长周期 SMA</w:t>
            </w:r>
          </w:p>
          <w:p w14:paraId="69040EF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initial_capital : float</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初始资金（元）</w:t>
            </w:r>
          </w:p>
          <w:p w14:paraId="0F9BDB7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commission_rate : float</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手续费率（例如 0.0003 表示万分之三）。</w:t>
            </w:r>
          </w:p>
          <w:p w14:paraId="4D3C065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买入时：每股成本 = 价格 × (1 + rate)</w:t>
            </w:r>
          </w:p>
          <w:p w14:paraId="11417B0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卖出时：每股收入 = 价格 × (1 − rate)</w:t>
            </w:r>
          </w:p>
          <w:p w14:paraId="314BB9A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设为 0 则不计手续费。</w:t>
            </w:r>
          </w:p>
          <w:p w14:paraId="49DFA9D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start_date : str | None</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回测起始日期（YYYYMMDD 或 YYYY-MM-DD），None 表示数据最早日期</w:t>
            </w:r>
          </w:p>
          <w:p w14:paraId="61126D3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end_date : str | None</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回测结束日期（YYYYMMDD 或 YYYY-MM-DD），None 表示数据最晚日期</w:t>
            </w:r>
          </w:p>
          <w:p w14:paraId="64313A7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4B92D88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返回</w:t>
            </w:r>
          </w:p>
          <w:p w14:paraId="115BCD7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52FE267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data : dict</w:t>
            </w:r>
          </w:p>
          <w:p w14:paraId="49E146E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dates, close, short_ma, long_ma,</w:t>
            </w:r>
          </w:p>
          <w:p w14:paraId="1530019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buy_signals [{date, price}], sell_signals [{date, price}],</w:t>
            </w:r>
          </w:p>
          <w:p w14:paraId="7A59100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portfolio_value, benchmark_value, drawdown</w:t>
            </w:r>
          </w:p>
          <w:p w14:paraId="26AACC3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metrics : dict</w:t>
            </w:r>
          </w:p>
          <w:p w14:paraId="1F95173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total_return, annual_return, sharpe_ratio,</w:t>
            </w:r>
          </w:p>
          <w:p w14:paraId="189E2B1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max_drawdown, max_drawdown_date,</w:t>
            </w:r>
          </w:p>
          <w:p w14:paraId="33D0BCF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win_rate, trade_count, profit_loss_ratio</w:t>
            </w:r>
          </w:p>
          <w:p w14:paraId="2F7F396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18FD31E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数据准备</w:t>
            </w:r>
          </w:p>
          <w:p w14:paraId="379B916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copy</w:t>
            </w:r>
            <w:r>
              <w:rPr>
                <w:rFonts w:hint="default" w:ascii="Menlo" w:hAnsi="Menlo" w:eastAsia="Menlo" w:cs="Menlo"/>
                <w:b w:val="0"/>
                <w:bCs w:val="0"/>
                <w:color w:val="3B3B3B"/>
                <w:kern w:val="0"/>
                <w:sz w:val="21"/>
                <w:szCs w:val="21"/>
                <w:shd w:val="clear" w:fill="FFFFFF"/>
                <w:lang w:val="en-US" w:eastAsia="zh-CN" w:bidi="ar"/>
              </w:rPr>
              <w:t>()</w:t>
            </w:r>
          </w:p>
          <w:p w14:paraId="1B9B259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"trade_date"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columns</w:t>
            </w:r>
            <w:r>
              <w:rPr>
                <w:rFonts w:hint="default" w:ascii="Menlo" w:hAnsi="Menlo" w:eastAsia="Menlo" w:cs="Menlo"/>
                <w:b w:val="0"/>
                <w:bCs w:val="0"/>
                <w:color w:val="3B3B3B"/>
                <w:kern w:val="0"/>
                <w:sz w:val="21"/>
                <w:szCs w:val="21"/>
                <w:shd w:val="clear" w:fill="FFFFFF"/>
                <w:lang w:val="en-US" w:eastAsia="zh-CN" w:bidi="ar"/>
              </w:rPr>
              <w:t>:</w:t>
            </w:r>
          </w:p>
          <w:p w14:paraId="0FD109D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api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types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is_datetime64_any_dtype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"trade_date"</w:t>
            </w:r>
            <w:r>
              <w:rPr>
                <w:rFonts w:hint="default" w:ascii="Menlo" w:hAnsi="Menlo" w:eastAsia="Menlo" w:cs="Menlo"/>
                <w:b w:val="0"/>
                <w:bCs w:val="0"/>
                <w:color w:val="3B3B3B"/>
                <w:kern w:val="0"/>
                <w:sz w:val="21"/>
                <w:szCs w:val="21"/>
                <w:shd w:val="clear" w:fill="FFFFFF"/>
                <w:lang w:val="en-US" w:eastAsia="zh-CN" w:bidi="ar"/>
              </w:rPr>
              <w:t>]):</w:t>
            </w:r>
          </w:p>
          <w:p w14:paraId="7166885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"trade_date"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to_datetime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"trade_date"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astype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format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"%Y%m</w:t>
            </w:r>
            <w:r>
              <w:rPr>
                <w:rFonts w:hint="default" w:ascii="Menlo" w:hAnsi="Menlo" w:eastAsia="Menlo" w:cs="Menlo"/>
                <w:b w:val="0"/>
                <w:bCs w:val="0"/>
                <w:color w:val="0000FF"/>
                <w:kern w:val="0"/>
                <w:sz w:val="21"/>
                <w:szCs w:val="21"/>
                <w:shd w:val="clear" w:fill="FFFFFF"/>
                <w:lang w:val="en-US" w:eastAsia="zh-CN" w:bidi="ar"/>
              </w:rPr>
              <w:t>%d</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2C686A6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sort_values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"trade_date"</w:t>
            </w:r>
            <w:r>
              <w:rPr>
                <w:rFonts w:hint="default" w:ascii="Menlo" w:hAnsi="Menlo" w:eastAsia="Menlo" w:cs="Menlo"/>
                <w:b w:val="0"/>
                <w:bCs w:val="0"/>
                <w:color w:val="3B3B3B"/>
                <w:kern w:val="0"/>
                <w:sz w:val="21"/>
                <w:szCs w:val="21"/>
                <w:shd w:val="clear" w:fill="FFFFFF"/>
                <w:lang w:val="en-US" w:eastAsia="zh-CN" w:bidi="ar"/>
              </w:rPr>
              <w:t>).reset_index(</w:t>
            </w:r>
            <w:r>
              <w:rPr>
                <w:rFonts w:hint="default" w:ascii="Menlo" w:hAnsi="Menlo" w:eastAsia="Menlo" w:cs="Menlo"/>
                <w:b w:val="0"/>
                <w:bCs w:val="0"/>
                <w:color w:val="001080"/>
                <w:kern w:val="0"/>
                <w:sz w:val="21"/>
                <w:szCs w:val="21"/>
                <w:shd w:val="clear" w:fill="FFFFFF"/>
                <w:lang w:val="en-US" w:eastAsia="zh-CN" w:bidi="ar"/>
              </w:rPr>
              <w:t>drop</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True</w:t>
            </w:r>
            <w:r>
              <w:rPr>
                <w:rFonts w:hint="default" w:ascii="Menlo" w:hAnsi="Menlo" w:eastAsia="Menlo" w:cs="Menlo"/>
                <w:b w:val="0"/>
                <w:bCs w:val="0"/>
                <w:color w:val="3B3B3B"/>
                <w:kern w:val="0"/>
                <w:sz w:val="21"/>
                <w:szCs w:val="21"/>
                <w:shd w:val="clear" w:fill="FFFFFF"/>
                <w:lang w:val="en-US" w:eastAsia="zh-CN" w:bidi="ar"/>
              </w:rPr>
              <w:t>)</w:t>
            </w:r>
          </w:p>
          <w:p w14:paraId="0A1D639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70D157E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set_index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"trade_date"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p>
          <w:p w14:paraId="302060D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58E48A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日期过滤</w:t>
            </w:r>
          </w:p>
          <w:p w14:paraId="5EBB8A4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start_date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45FD2EB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start_dt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to_datetime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start_date</w:t>
            </w:r>
            <w:r>
              <w:rPr>
                <w:rFonts w:hint="default" w:ascii="Menlo" w:hAnsi="Menlo" w:eastAsia="Menlo" w:cs="Menlo"/>
                <w:b w:val="0"/>
                <w:bCs w:val="0"/>
                <w:color w:val="3B3B3B"/>
                <w:kern w:val="0"/>
                <w:sz w:val="21"/>
                <w:szCs w:val="21"/>
                <w:shd w:val="clear" w:fill="FFFFFF"/>
                <w:lang w:val="en-US" w:eastAsia="zh-CN" w:bidi="ar"/>
              </w:rPr>
              <w:t>)</w:t>
            </w:r>
          </w:p>
          <w:p w14:paraId="5A7C9AE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 xml:space="preserve">.index </w:t>
            </w:r>
            <w:r>
              <w:rPr>
                <w:rFonts w:hint="default" w:ascii="Menlo" w:hAnsi="Menlo" w:eastAsia="Menlo" w:cs="Menlo"/>
                <w:b w:val="0"/>
                <w:bCs w:val="0"/>
                <w:color w:val="795E26"/>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start_dt</w:t>
            </w:r>
            <w:r>
              <w:rPr>
                <w:rFonts w:hint="default" w:ascii="Menlo" w:hAnsi="Menlo" w:eastAsia="Menlo" w:cs="Menlo"/>
                <w:b w:val="0"/>
                <w:bCs w:val="0"/>
                <w:color w:val="3B3B3B"/>
                <w:kern w:val="0"/>
                <w:sz w:val="21"/>
                <w:szCs w:val="21"/>
                <w:shd w:val="clear" w:fill="FFFFFF"/>
                <w:lang w:val="en-US" w:eastAsia="zh-CN" w:bidi="ar"/>
              </w:rPr>
              <w:t>]</w:t>
            </w:r>
          </w:p>
          <w:p w14:paraId="49BB431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end_date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5874048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end_dt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to_datetime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end_date</w:t>
            </w:r>
            <w:r>
              <w:rPr>
                <w:rFonts w:hint="default" w:ascii="Menlo" w:hAnsi="Menlo" w:eastAsia="Menlo" w:cs="Menlo"/>
                <w:b w:val="0"/>
                <w:bCs w:val="0"/>
                <w:color w:val="3B3B3B"/>
                <w:kern w:val="0"/>
                <w:sz w:val="21"/>
                <w:szCs w:val="21"/>
                <w:shd w:val="clear" w:fill="FFFFFF"/>
                <w:lang w:val="en-US" w:eastAsia="zh-CN" w:bidi="ar"/>
              </w:rPr>
              <w:t>)</w:t>
            </w:r>
          </w:p>
          <w:p w14:paraId="4512BC8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 xml:space="preserve">.index </w:t>
            </w:r>
            <w:r>
              <w:rPr>
                <w:rFonts w:hint="default" w:ascii="Menlo" w:hAnsi="Menlo" w:eastAsia="Menlo" w:cs="Menlo"/>
                <w:b w:val="0"/>
                <w:bCs w:val="0"/>
                <w:color w:val="795E26"/>
                <w:kern w:val="0"/>
                <w:sz w:val="21"/>
                <w:szCs w:val="21"/>
                <w:shd w:val="clear" w:fill="FFFFFF"/>
                <w:lang w:val="en-US" w:eastAsia="zh-CN" w:bidi="ar"/>
              </w:rPr>
              <w:t>&lt;=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end_dt</w:t>
            </w:r>
            <w:r>
              <w:rPr>
                <w:rFonts w:hint="default" w:ascii="Menlo" w:hAnsi="Menlo" w:eastAsia="Menlo" w:cs="Menlo"/>
                <w:b w:val="0"/>
                <w:bCs w:val="0"/>
                <w:color w:val="3B3B3B"/>
                <w:kern w:val="0"/>
                <w:sz w:val="21"/>
                <w:szCs w:val="21"/>
                <w:shd w:val="clear" w:fill="FFFFFF"/>
                <w:lang w:val="en-US" w:eastAsia="zh-CN" w:bidi="ar"/>
              </w:rPr>
              <w:t>]</w:t>
            </w:r>
          </w:p>
          <w:p w14:paraId="2AB2861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05E009C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w:t>
            </w:r>
          </w:p>
          <w:p w14:paraId="73F65D7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1AAD267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raise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ValueError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"指定的日期范围内无交易数据"</w:t>
            </w:r>
            <w:r>
              <w:rPr>
                <w:rFonts w:hint="default" w:ascii="Menlo" w:hAnsi="Menlo" w:eastAsia="Menlo" w:cs="Menlo"/>
                <w:b w:val="0"/>
                <w:bCs w:val="0"/>
                <w:color w:val="3B3B3B"/>
                <w:kern w:val="0"/>
                <w:sz w:val="21"/>
                <w:szCs w:val="21"/>
                <w:shd w:val="clear" w:fill="FFFFFF"/>
                <w:lang w:val="en-US" w:eastAsia="zh-CN" w:bidi="ar"/>
              </w:rPr>
              <w:t>)</w:t>
            </w:r>
          </w:p>
          <w:p w14:paraId="6844DC0E">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6D48B19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min_required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max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short_period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long_period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p>
          <w:p w14:paraId="56E967A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eastAsia"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&lt;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min_required</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p>
          <w:p w14:paraId="4485813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raise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ValueError</w:t>
            </w:r>
            <w:r>
              <w:rPr>
                <w:rFonts w:hint="default" w:ascii="Menlo" w:hAnsi="Menlo" w:eastAsia="Menlo" w:cs="Menlo"/>
                <w:b w:val="0"/>
                <w:bCs w:val="0"/>
                <w:color w:val="3B3B3B"/>
                <w:kern w:val="0"/>
                <w:sz w:val="21"/>
                <w:szCs w:val="21"/>
                <w:shd w:val="clear" w:fill="FFFFFF"/>
                <w:lang w:val="en-US" w:eastAsia="zh-CN" w:bidi="ar"/>
              </w:rPr>
              <w:t>(</w:t>
            </w:r>
          </w:p>
          <w:p w14:paraId="697AC7E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"数据不足：回测区间仅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个交易日，"</w:t>
            </w:r>
          </w:p>
          <w:p w14:paraId="7FBC029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"至少需要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min_required</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天（max(SMA周期) + 1）"</w:t>
            </w:r>
          </w:p>
          <w:p w14:paraId="7F843D7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40CF85AA">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12A4009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008000"/>
                <w:kern w:val="0"/>
                <w:sz w:val="21"/>
                <w:szCs w:val="21"/>
                <w:shd w:val="clear" w:fill="FFFFFF"/>
                <w:lang w:val="en-US" w:eastAsia="zh-CN" w:bidi="ar"/>
              </w:rPr>
            </w:pPr>
            <w:r>
              <w:rPr>
                <w:rFonts w:hint="default" w:ascii="Menlo" w:hAnsi="Menlo" w:eastAsia="Menlo" w:cs="Menlo"/>
                <w:b w:val="0"/>
                <w:bCs w:val="0"/>
                <w:color w:val="008000"/>
                <w:kern w:val="0"/>
                <w:sz w:val="21"/>
                <w:szCs w:val="21"/>
                <w:shd w:val="clear" w:fill="FFFFFF"/>
                <w:lang w:val="en-US" w:eastAsia="zh-CN" w:bidi="ar"/>
              </w:rPr>
              <w:t xml:space="preserve"># 计算信号 </w:t>
            </w:r>
          </w:p>
          <w:p w14:paraId="74466CE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sig_df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compute_signals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short_period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long_period</w:t>
            </w:r>
            <w:r>
              <w:rPr>
                <w:rFonts w:hint="default" w:ascii="Menlo" w:hAnsi="Menlo" w:eastAsia="Menlo" w:cs="Menlo"/>
                <w:b w:val="0"/>
                <w:bCs w:val="0"/>
                <w:color w:val="3B3B3B"/>
                <w:kern w:val="0"/>
                <w:sz w:val="21"/>
                <w:szCs w:val="21"/>
                <w:shd w:val="clear" w:fill="FFFFFF"/>
                <w:lang w:val="en-US" w:eastAsia="zh-CN" w:bidi="ar"/>
              </w:rPr>
              <w:t>)</w:t>
            </w:r>
          </w:p>
          <w:p w14:paraId="677E806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short_ma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sig_df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"short_ma"</w:t>
            </w:r>
            <w:r>
              <w:rPr>
                <w:rFonts w:hint="default" w:ascii="Menlo" w:hAnsi="Menlo" w:eastAsia="Menlo" w:cs="Menlo"/>
                <w:b w:val="0"/>
                <w:bCs w:val="0"/>
                <w:color w:val="3B3B3B"/>
                <w:kern w:val="0"/>
                <w:sz w:val="21"/>
                <w:szCs w:val="21"/>
                <w:shd w:val="clear" w:fill="FFFFFF"/>
                <w:lang w:val="en-US" w:eastAsia="zh-CN" w:bidi="ar"/>
              </w:rPr>
              <w:t>]</w:t>
            </w:r>
          </w:p>
          <w:p w14:paraId="156D034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long_ma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sig_df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"long_ma"</w:t>
            </w:r>
            <w:r>
              <w:rPr>
                <w:rFonts w:hint="default" w:ascii="Menlo" w:hAnsi="Menlo" w:eastAsia="Menlo" w:cs="Menlo"/>
                <w:b w:val="0"/>
                <w:bCs w:val="0"/>
                <w:color w:val="3B3B3B"/>
                <w:kern w:val="0"/>
                <w:sz w:val="21"/>
                <w:szCs w:val="21"/>
                <w:shd w:val="clear" w:fill="FFFFFF"/>
                <w:lang w:val="en-US" w:eastAsia="zh-CN" w:bidi="ar"/>
              </w:rPr>
              <w:t>]</w:t>
            </w:r>
          </w:p>
          <w:p w14:paraId="62A7F29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signals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sig_df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"signal"</w:t>
            </w:r>
            <w:r>
              <w:rPr>
                <w:rFonts w:hint="default" w:ascii="Menlo" w:hAnsi="Menlo" w:eastAsia="Menlo" w:cs="Menlo"/>
                <w:b w:val="0"/>
                <w:bCs w:val="0"/>
                <w:color w:val="3B3B3B"/>
                <w:kern w:val="0"/>
                <w:sz w:val="21"/>
                <w:szCs w:val="21"/>
                <w:shd w:val="clear" w:fill="FFFFFF"/>
                <w:lang w:val="en-US" w:eastAsia="zh-CN" w:bidi="ar"/>
              </w:rPr>
              <w:t>]</w:t>
            </w:r>
          </w:p>
          <w:p w14:paraId="5DB6767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120EC3B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xml:space="preserve"># 模拟交易 </w:t>
            </w:r>
          </w:p>
          <w:p w14:paraId="774700A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buy_cost_factor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commission_rate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8000"/>
                <w:kern w:val="0"/>
                <w:sz w:val="21"/>
                <w:szCs w:val="21"/>
                <w:shd w:val="clear" w:fill="FFFFFF"/>
                <w:lang w:val="en-US" w:eastAsia="zh-CN" w:bidi="ar"/>
              </w:rPr>
              <w:t># 买入成本系数</w:t>
            </w:r>
          </w:p>
          <w:p w14:paraId="5ADC917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sell_proceed_factor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commission_rate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8000"/>
                <w:kern w:val="0"/>
                <w:sz w:val="21"/>
                <w:szCs w:val="21"/>
                <w:shd w:val="clear" w:fill="FFFFFF"/>
                <w:lang w:val="en-US" w:eastAsia="zh-CN" w:bidi="ar"/>
              </w:rPr>
              <w:t># 卖出收入系数</w:t>
            </w:r>
          </w:p>
          <w:p w14:paraId="2BD3DF4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B8B6EF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cash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initial_capital</w:t>
            </w:r>
            <w:r>
              <w:rPr>
                <w:rFonts w:hint="default" w:ascii="Menlo" w:hAnsi="Menlo" w:eastAsia="Menlo" w:cs="Menlo"/>
                <w:b w:val="0"/>
                <w:bCs w:val="0"/>
                <w:color w:val="3B3B3B"/>
                <w:kern w:val="0"/>
                <w:sz w:val="21"/>
                <w:szCs w:val="21"/>
                <w:shd w:val="clear" w:fill="FFFFFF"/>
                <w:lang w:val="en-US" w:eastAsia="zh-CN" w:bidi="ar"/>
              </w:rPr>
              <w:t>)</w:t>
            </w:r>
          </w:p>
          <w:p w14:paraId="0CD049C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6AB60A9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portfolio_values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zeros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3B3B3B"/>
                <w:kern w:val="0"/>
                <w:sz w:val="21"/>
                <w:szCs w:val="21"/>
                <w:shd w:val="clear" w:fill="FFFFFF"/>
                <w:lang w:val="en-US" w:eastAsia="zh-CN" w:bidi="ar"/>
              </w:rPr>
              <w:t>)</w:t>
            </w:r>
          </w:p>
          <w:p w14:paraId="68CF6C8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trades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 </w:t>
            </w:r>
            <w:r>
              <w:rPr>
                <w:rFonts w:hint="default" w:ascii="Menlo" w:hAnsi="Menlo" w:eastAsia="Menlo" w:cs="Menlo"/>
                <w:b w:val="0"/>
                <w:bCs w:val="0"/>
                <w:color w:val="008000"/>
                <w:kern w:val="0"/>
                <w:sz w:val="21"/>
                <w:szCs w:val="21"/>
                <w:shd w:val="clear" w:fill="FFFFFF"/>
                <w:lang w:val="en-US" w:eastAsia="zh-CN" w:bidi="ar"/>
              </w:rPr>
              <w:t># 记录每笔完整交易</w:t>
            </w:r>
          </w:p>
          <w:p w14:paraId="63B97FC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62BE61E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5877354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1A52C44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8000"/>
                <w:kern w:val="0"/>
                <w:sz w:val="21"/>
                <w:szCs w:val="21"/>
                <w:shd w:val="clear" w:fill="FFFFFF"/>
                <w:lang w:val="en-US" w:eastAsia="zh-CN" w:bidi="ar"/>
              </w:rPr>
              <w:t># 本次买入总成本</w:t>
            </w:r>
          </w:p>
          <w:p w14:paraId="325D74C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2F7F209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range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3B3B3B"/>
                <w:kern w:val="0"/>
                <w:sz w:val="21"/>
                <w:szCs w:val="21"/>
                <w:shd w:val="clear" w:fill="FFFFFF"/>
                <w:lang w:val="en-US" w:eastAsia="zh-CN" w:bidi="ar"/>
              </w:rPr>
              <w:t>):</w:t>
            </w:r>
          </w:p>
          <w:p w14:paraId="5CE42B5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.iloc[</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w:t>
            </w:r>
          </w:p>
          <w:p w14:paraId="0C25952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sig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signals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w:t>
            </w:r>
          </w:p>
          <w:p w14:paraId="1D2F256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6F4B39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金叉买入</w:t>
            </w:r>
          </w:p>
          <w:p w14:paraId="2284D9A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cash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r>
              <w:rPr>
                <w:rFonts w:hint="default" w:ascii="Menlo" w:hAnsi="Menlo" w:eastAsia="Menlo" w:cs="Menlo"/>
                <w:b w:val="0"/>
                <w:bCs w:val="0"/>
                <w:color w:val="3B3B3B"/>
                <w:kern w:val="0"/>
                <w:sz w:val="21"/>
                <w:szCs w:val="21"/>
                <w:shd w:val="clear" w:fill="FFFFFF"/>
                <w:lang w:val="en-US" w:eastAsia="zh-CN" w:bidi="ar"/>
              </w:rPr>
              <w:t>:</w:t>
            </w:r>
          </w:p>
          <w:p w14:paraId="12F5C09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cost_per_share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buy_cost_factor</w:t>
            </w:r>
          </w:p>
          <w:p w14:paraId="3C66FEA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cost_per_share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7EA7AE5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cash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cost_per_share</w:t>
            </w:r>
          </w:p>
          <w:p w14:paraId="5BDD959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cash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2399AA0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w:t>
            </w:r>
          </w:p>
          <w:p w14:paraId="5E7F675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price</w:t>
            </w:r>
          </w:p>
          <w:p w14:paraId="4ED1463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cost_per_share</w:t>
            </w:r>
          </w:p>
          <w:p w14:paraId="07C52FC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6FC17B8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死叉卖出</w:t>
            </w:r>
          </w:p>
          <w:p w14:paraId="79939DD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r>
              <w:rPr>
                <w:rFonts w:hint="default" w:ascii="Menlo" w:hAnsi="Menlo" w:eastAsia="Menlo" w:cs="Menlo"/>
                <w:b w:val="0"/>
                <w:bCs w:val="0"/>
                <w:color w:val="3B3B3B"/>
                <w:kern w:val="0"/>
                <w:sz w:val="21"/>
                <w:szCs w:val="21"/>
                <w:shd w:val="clear" w:fill="FFFFFF"/>
                <w:lang w:val="en-US" w:eastAsia="zh-CN" w:bidi="ar"/>
              </w:rPr>
              <w:t>:</w:t>
            </w:r>
          </w:p>
          <w:p w14:paraId="654636A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proceeds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sell_proceed_factor</w:t>
            </w:r>
          </w:p>
          <w:p w14:paraId="05E5686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cash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proceeds</w:t>
            </w:r>
          </w:p>
          <w:p w14:paraId="6BC4E7F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4520DDE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trade_return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proceeds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current_buy_cost</w:t>
            </w:r>
          </w:p>
          <w:p w14:paraId="5716199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trades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append</w:t>
            </w:r>
            <w:r>
              <w:rPr>
                <w:rFonts w:hint="default" w:ascii="Menlo" w:hAnsi="Menlo" w:eastAsia="Menlo" w:cs="Menlo"/>
                <w:b w:val="0"/>
                <w:bCs w:val="0"/>
                <w:color w:val="3B3B3B"/>
                <w:kern w:val="0"/>
                <w:sz w:val="21"/>
                <w:szCs w:val="21"/>
                <w:shd w:val="clear" w:fill="FFFFFF"/>
                <w:lang w:val="en-US" w:eastAsia="zh-CN" w:bidi="ar"/>
              </w:rPr>
              <w:t>({</w:t>
            </w:r>
          </w:p>
          <w:p w14:paraId="2A5F99C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2100" w:firstLineChars="10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"buy_date"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current_buy_date</w:t>
            </w:r>
            <w:r>
              <w:rPr>
                <w:rFonts w:hint="default" w:ascii="Menlo" w:hAnsi="Menlo" w:eastAsia="Menlo" w:cs="Menlo"/>
                <w:b w:val="0"/>
                <w:bCs w:val="0"/>
                <w:color w:val="3B3B3B"/>
                <w:kern w:val="0"/>
                <w:sz w:val="21"/>
                <w:szCs w:val="21"/>
                <w:shd w:val="clear" w:fill="FFFFFF"/>
                <w:lang w:val="en-US" w:eastAsia="zh-CN" w:bidi="ar"/>
              </w:rPr>
              <w:t>.date()),</w:t>
            </w:r>
          </w:p>
          <w:p w14:paraId="530C011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2100" w:firstLineChars="10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"buy_price"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current_buy_price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2</w:t>
            </w:r>
            <w:r>
              <w:rPr>
                <w:rFonts w:hint="default" w:ascii="Menlo" w:hAnsi="Menlo" w:eastAsia="Menlo" w:cs="Menlo"/>
                <w:b w:val="0"/>
                <w:bCs w:val="0"/>
                <w:color w:val="3B3B3B"/>
                <w:kern w:val="0"/>
                <w:sz w:val="21"/>
                <w:szCs w:val="21"/>
                <w:shd w:val="clear" w:fill="FFFFFF"/>
                <w:lang w:val="en-US" w:eastAsia="zh-CN" w:bidi="ar"/>
              </w:rPr>
              <w:t>),</w:t>
            </w:r>
          </w:p>
          <w:p w14:paraId="5402A0D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2100" w:firstLineChars="10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"sell_date"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].date()),</w:t>
            </w:r>
          </w:p>
          <w:p w14:paraId="6E5F6CD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2100" w:firstLineChars="10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"sell_price"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2</w:t>
            </w:r>
            <w:r>
              <w:rPr>
                <w:rFonts w:hint="default" w:ascii="Menlo" w:hAnsi="Menlo" w:eastAsia="Menlo" w:cs="Menlo"/>
                <w:b w:val="0"/>
                <w:bCs w:val="0"/>
                <w:color w:val="3B3B3B"/>
                <w:kern w:val="0"/>
                <w:sz w:val="21"/>
                <w:szCs w:val="21"/>
                <w:shd w:val="clear" w:fill="FFFFFF"/>
                <w:lang w:val="en-US" w:eastAsia="zh-CN" w:bidi="ar"/>
              </w:rPr>
              <w:t>),</w:t>
            </w:r>
          </w:p>
          <w:p w14:paraId="5F53225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2100" w:firstLineChars="10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trade_return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6</w:t>
            </w:r>
            <w:r>
              <w:rPr>
                <w:rFonts w:hint="default" w:ascii="Menlo" w:hAnsi="Menlo" w:eastAsia="Menlo" w:cs="Menlo"/>
                <w:b w:val="0"/>
                <w:bCs w:val="0"/>
                <w:color w:val="3B3B3B"/>
                <w:kern w:val="0"/>
                <w:sz w:val="21"/>
                <w:szCs w:val="21"/>
                <w:shd w:val="clear" w:fill="FFFFFF"/>
                <w:lang w:val="en-US" w:eastAsia="zh-CN" w:bidi="ar"/>
              </w:rPr>
              <w:t>),</w:t>
            </w:r>
          </w:p>
          <w:p w14:paraId="7432E56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2100" w:firstLineChars="10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trade_return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22BB064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49FE6C6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4B6F15A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1835096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63F5F81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6484F53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1D1337B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当日组合净值</w:t>
            </w:r>
          </w:p>
          <w:p w14:paraId="3116BA3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portfolio_values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cash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price</w:t>
            </w:r>
          </w:p>
          <w:p w14:paraId="6B78554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4F7A2E6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回测结束时强制平仓</w:t>
            </w:r>
          </w:p>
          <w:p w14:paraId="739B3EB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r>
              <w:rPr>
                <w:rFonts w:hint="default" w:ascii="Menlo" w:hAnsi="Menlo" w:eastAsia="Menlo" w:cs="Menlo"/>
                <w:b w:val="0"/>
                <w:bCs w:val="0"/>
                <w:color w:val="3B3B3B"/>
                <w:kern w:val="0"/>
                <w:sz w:val="21"/>
                <w:szCs w:val="21"/>
                <w:shd w:val="clear" w:fill="FFFFFF"/>
                <w:lang w:val="en-US" w:eastAsia="zh-CN" w:bidi="ar"/>
              </w:rPr>
              <w:t>:</w:t>
            </w:r>
          </w:p>
          <w:p w14:paraId="615A6BF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last_price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.iloc[</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107B628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last_date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2D94D44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proceeds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last_price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sell_proceed_factor</w:t>
            </w:r>
          </w:p>
          <w:p w14:paraId="05D5EB4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cash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proceeds</w:t>
            </w:r>
          </w:p>
          <w:p w14:paraId="110D63B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4656CE2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trade_return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proceeds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current_buy_cost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current_buy_cost</w:t>
            </w:r>
          </w:p>
          <w:p w14:paraId="22EF711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trades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append</w:t>
            </w:r>
            <w:r>
              <w:rPr>
                <w:rFonts w:hint="default" w:ascii="Menlo" w:hAnsi="Menlo" w:eastAsia="Menlo" w:cs="Menlo"/>
                <w:b w:val="0"/>
                <w:bCs w:val="0"/>
                <w:color w:val="3B3B3B"/>
                <w:kern w:val="0"/>
                <w:sz w:val="21"/>
                <w:szCs w:val="21"/>
                <w:shd w:val="clear" w:fill="FFFFFF"/>
                <w:lang w:val="en-US" w:eastAsia="zh-CN" w:bidi="ar"/>
              </w:rPr>
              <w:t>({</w:t>
            </w:r>
          </w:p>
          <w:p w14:paraId="7FA72D5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"buy_date"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current_buy_date</w:t>
            </w:r>
            <w:r>
              <w:rPr>
                <w:rFonts w:hint="default" w:ascii="Menlo" w:hAnsi="Menlo" w:eastAsia="Menlo" w:cs="Menlo"/>
                <w:b w:val="0"/>
                <w:bCs w:val="0"/>
                <w:color w:val="3B3B3B"/>
                <w:kern w:val="0"/>
                <w:sz w:val="21"/>
                <w:szCs w:val="21"/>
                <w:shd w:val="clear" w:fill="FFFFFF"/>
                <w:lang w:val="en-US" w:eastAsia="zh-CN" w:bidi="ar"/>
              </w:rPr>
              <w:t>.date()),</w:t>
            </w:r>
          </w:p>
          <w:p w14:paraId="5B29E35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"buy_price"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current_buy_price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2</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current_buy_price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6606E21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"sell_date"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last_date</w:t>
            </w:r>
            <w:r>
              <w:rPr>
                <w:rFonts w:hint="default" w:ascii="Menlo" w:hAnsi="Menlo" w:eastAsia="Menlo" w:cs="Menlo"/>
                <w:b w:val="0"/>
                <w:bCs w:val="0"/>
                <w:color w:val="3B3B3B"/>
                <w:kern w:val="0"/>
                <w:sz w:val="21"/>
                <w:szCs w:val="21"/>
                <w:shd w:val="clear" w:fill="FFFFFF"/>
                <w:lang w:val="en-US" w:eastAsia="zh-CN" w:bidi="ar"/>
              </w:rPr>
              <w:t>.date()),</w:t>
            </w:r>
          </w:p>
          <w:p w14:paraId="3920F81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"sell_price"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last_price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2</w:t>
            </w:r>
            <w:r>
              <w:rPr>
                <w:rFonts w:hint="default" w:ascii="Menlo" w:hAnsi="Menlo" w:eastAsia="Menlo" w:cs="Menlo"/>
                <w:b w:val="0"/>
                <w:bCs w:val="0"/>
                <w:color w:val="3B3B3B"/>
                <w:kern w:val="0"/>
                <w:sz w:val="21"/>
                <w:szCs w:val="21"/>
                <w:shd w:val="clear" w:fill="FFFFFF"/>
                <w:lang w:val="en-US" w:eastAsia="zh-CN" w:bidi="ar"/>
              </w:rPr>
              <w:t>),</w:t>
            </w:r>
          </w:p>
          <w:p w14:paraId="30FDDFC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trade_return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6</w:t>
            </w:r>
            <w:r>
              <w:rPr>
                <w:rFonts w:hint="default" w:ascii="Menlo" w:hAnsi="Menlo" w:eastAsia="Menlo" w:cs="Menlo"/>
                <w:b w:val="0"/>
                <w:bCs w:val="0"/>
                <w:color w:val="3B3B3B"/>
                <w:kern w:val="0"/>
                <w:sz w:val="21"/>
                <w:szCs w:val="21"/>
                <w:shd w:val="clear" w:fill="FFFFFF"/>
                <w:lang w:val="en-US" w:eastAsia="zh-CN" w:bidi="ar"/>
              </w:rPr>
              <w:t>),</w:t>
            </w:r>
          </w:p>
          <w:p w14:paraId="20A1D37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trade_return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1504767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16C72EA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23681E1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portfolio_values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cash</w:t>
            </w:r>
          </w:p>
          <w:p w14:paraId="0BA0D14A">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718BEF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pv_series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Series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portfolio_values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p>
          <w:p w14:paraId="0455A8A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79EE3D7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基准（买入持有）</w:t>
            </w:r>
          </w:p>
          <w:p w14:paraId="4233E1F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benchmark_shares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initial_capital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.iloc[</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13505BB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benchmark_values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 xml:space="preserve">.values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benchmark_shares</w:t>
            </w:r>
          </w:p>
          <w:p w14:paraId="01BB2A3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1C3B7CE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回撤</w:t>
            </w:r>
          </w:p>
          <w:p w14:paraId="3FE1326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running_max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maximum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accumulate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portfolio_values</w:t>
            </w:r>
            <w:r>
              <w:rPr>
                <w:rFonts w:hint="default" w:ascii="Menlo" w:hAnsi="Menlo" w:eastAsia="Menlo" w:cs="Menlo"/>
                <w:b w:val="0"/>
                <w:bCs w:val="0"/>
                <w:color w:val="3B3B3B"/>
                <w:kern w:val="0"/>
                <w:sz w:val="21"/>
                <w:szCs w:val="21"/>
                <w:shd w:val="clear" w:fill="FFFFFF"/>
                <w:lang w:val="en-US" w:eastAsia="zh-CN" w:bidi="ar"/>
              </w:rPr>
              <w:t>)</w:t>
            </w:r>
          </w:p>
          <w:p w14:paraId="0ECEB50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drawdown_pct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portfolio_values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running_max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100.0</w:t>
            </w:r>
            <w:r>
              <w:rPr>
                <w:rFonts w:hint="default" w:ascii="Menlo" w:hAnsi="Menlo" w:eastAsia="Menlo" w:cs="Menlo"/>
                <w:b w:val="0"/>
                <w:bCs w:val="0"/>
                <w:color w:val="3B3B3B"/>
                <w:kern w:val="0"/>
                <w:sz w:val="21"/>
                <w:szCs w:val="21"/>
                <w:shd w:val="clear" w:fill="FFFFFF"/>
                <w:lang w:val="en-US" w:eastAsia="zh-CN" w:bidi="ar"/>
              </w:rPr>
              <w:t xml:space="preserve"> </w:t>
            </w:r>
          </w:p>
          <w:p w14:paraId="4FC0336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60B3533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每日收益率</w:t>
            </w:r>
          </w:p>
          <w:p w14:paraId="390BAEB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daily_returns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pv_series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pct_change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dropna</w:t>
            </w:r>
            <w:r>
              <w:rPr>
                <w:rFonts w:hint="default" w:ascii="Menlo" w:hAnsi="Menlo" w:eastAsia="Menlo" w:cs="Menlo"/>
                <w:b w:val="0"/>
                <w:bCs w:val="0"/>
                <w:color w:val="3B3B3B"/>
                <w:kern w:val="0"/>
                <w:sz w:val="21"/>
                <w:szCs w:val="21"/>
                <w:shd w:val="clear" w:fill="FFFFFF"/>
                <w:lang w:val="en-US" w:eastAsia="zh-CN" w:bidi="ar"/>
              </w:rPr>
              <w:t>()</w:t>
            </w:r>
          </w:p>
          <w:p w14:paraId="4120D23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7DA6F82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指标计算</w:t>
            </w:r>
          </w:p>
          <w:p w14:paraId="64FF7D4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total_days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]).days</w:t>
            </w:r>
          </w:p>
          <w:p w14:paraId="6CC2220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n_years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total_days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365.25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total_days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4E62029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222D8B1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final_value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portfolio_values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4020B11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total_return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final_value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initial_capital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100.0</w:t>
            </w:r>
            <w:r>
              <w:rPr>
                <w:rFonts w:hint="default" w:ascii="Menlo" w:hAnsi="Menlo" w:eastAsia="Menlo" w:cs="Menlo"/>
                <w:b w:val="0"/>
                <w:bCs w:val="0"/>
                <w:color w:val="3B3B3B"/>
                <w:kern w:val="0"/>
                <w:sz w:val="21"/>
                <w:szCs w:val="21"/>
                <w:shd w:val="clear" w:fill="FFFFFF"/>
                <w:lang w:val="en-US" w:eastAsia="zh-CN" w:bidi="ar"/>
              </w:rPr>
              <w:t xml:space="preserve"> </w:t>
            </w:r>
          </w:p>
          <w:p w14:paraId="620D55B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2A276F8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年化收益率</w:t>
            </w:r>
          </w:p>
          <w:p w14:paraId="0C93E9C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n_years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final_value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53DBFCB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annual_return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final_value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initial_capital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n_years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100.0</w:t>
            </w:r>
          </w:p>
          <w:p w14:paraId="6D515F1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annual_return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2891841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0622B0A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夏普比率（无风险利率设为 0）</w:t>
            </w:r>
          </w:p>
          <w:p w14:paraId="53845FC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daily_returns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23AAAB3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std_ret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daily_returns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std</w:t>
            </w:r>
            <w:r>
              <w:rPr>
                <w:rFonts w:hint="default" w:ascii="Menlo" w:hAnsi="Menlo" w:eastAsia="Menlo" w:cs="Menlo"/>
                <w:b w:val="0"/>
                <w:bCs w:val="0"/>
                <w:color w:val="3B3B3B"/>
                <w:kern w:val="0"/>
                <w:sz w:val="21"/>
                <w:szCs w:val="21"/>
                <w:shd w:val="clear" w:fill="FFFFFF"/>
                <w:lang w:val="en-US" w:eastAsia="zh-CN" w:bidi="ar"/>
              </w:rPr>
              <w:t>())</w:t>
            </w:r>
          </w:p>
          <w:p w14:paraId="1E3EAA2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std_ret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1e-12</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sharpe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daily_returns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std_ret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sqrt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252</w:t>
            </w:r>
            <w:r>
              <w:rPr>
                <w:rFonts w:hint="default" w:ascii="Menlo" w:hAnsi="Menlo" w:eastAsia="Menlo" w:cs="Menlo"/>
                <w:b w:val="0"/>
                <w:bCs w:val="0"/>
                <w:color w:val="3B3B3B"/>
                <w:kern w:val="0"/>
                <w:sz w:val="21"/>
                <w:szCs w:val="21"/>
                <w:shd w:val="clear" w:fill="FFFFFF"/>
                <w:lang w:val="en-US" w:eastAsia="zh-CN" w:bidi="ar"/>
              </w:rPr>
              <w:t>))</w:t>
            </w:r>
          </w:p>
          <w:p w14:paraId="31C1698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sharpe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4D1562D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sharpe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7FDB258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237BE27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最大回撤</w:t>
            </w:r>
          </w:p>
          <w:p w14:paraId="1E673B5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max_dd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min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drawdown_pct</w:t>
            </w:r>
            <w:r>
              <w:rPr>
                <w:rFonts w:hint="default" w:ascii="Menlo" w:hAnsi="Menlo" w:eastAsia="Menlo" w:cs="Menlo"/>
                <w:b w:val="0"/>
                <w:bCs w:val="0"/>
                <w:color w:val="3B3B3B"/>
                <w:kern w:val="0"/>
                <w:sz w:val="21"/>
                <w:szCs w:val="21"/>
                <w:shd w:val="clear" w:fill="FFFFFF"/>
                <w:lang w:val="en-US" w:eastAsia="zh-CN" w:bidi="ar"/>
              </w:rPr>
              <w:t>))</w:t>
            </w:r>
          </w:p>
          <w:p w14:paraId="4574DC9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max_dd_idx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argmin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drawdown_pct</w:t>
            </w:r>
            <w:r>
              <w:rPr>
                <w:rFonts w:hint="default" w:ascii="Menlo" w:hAnsi="Menlo" w:eastAsia="Menlo" w:cs="Menlo"/>
                <w:b w:val="0"/>
                <w:bCs w:val="0"/>
                <w:color w:val="3B3B3B"/>
                <w:kern w:val="0"/>
                <w:sz w:val="21"/>
                <w:szCs w:val="21"/>
                <w:shd w:val="clear" w:fill="FFFFFF"/>
                <w:lang w:val="en-US" w:eastAsia="zh-CN" w:bidi="ar"/>
              </w:rPr>
              <w:t>))</w:t>
            </w:r>
          </w:p>
          <w:p w14:paraId="4BEA3C9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max_dd_date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r>
              <w:rPr>
                <w:rFonts w:hint="default" w:ascii="Menlo" w:hAnsi="Menlo" w:eastAsia="Menlo" w:cs="Menlo"/>
                <w:b w:val="0"/>
                <w:bCs w:val="0"/>
                <w:color w:val="001080"/>
                <w:kern w:val="0"/>
                <w:sz w:val="21"/>
                <w:szCs w:val="21"/>
                <w:shd w:val="clear" w:fill="FFFFFF"/>
                <w:lang w:val="en-US" w:eastAsia="zh-CN" w:bidi="ar"/>
              </w:rPr>
              <w:t>max_dd_idx</w:t>
            </w:r>
            <w:r>
              <w:rPr>
                <w:rFonts w:hint="default" w:ascii="Menlo" w:hAnsi="Menlo" w:eastAsia="Menlo" w:cs="Menlo"/>
                <w:b w:val="0"/>
                <w:bCs w:val="0"/>
                <w:color w:val="3B3B3B"/>
                <w:kern w:val="0"/>
                <w:sz w:val="21"/>
                <w:szCs w:val="21"/>
                <w:shd w:val="clear" w:fill="FFFFFF"/>
                <w:lang w:val="en-US" w:eastAsia="zh-CN" w:bidi="ar"/>
              </w:rPr>
              <w:t>].date())</w:t>
            </w:r>
          </w:p>
          <w:p w14:paraId="7A344E8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297761C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胜率 &amp; 盈亏比</w:t>
            </w:r>
          </w:p>
          <w:p w14:paraId="01E7BD9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trades</w:t>
            </w:r>
            <w:r>
              <w:rPr>
                <w:rFonts w:hint="default" w:ascii="Menlo" w:hAnsi="Menlo" w:eastAsia="Menlo" w:cs="Menlo"/>
                <w:b w:val="0"/>
                <w:bCs w:val="0"/>
                <w:color w:val="3B3B3B"/>
                <w:kern w:val="0"/>
                <w:sz w:val="21"/>
                <w:szCs w:val="21"/>
                <w:shd w:val="clear" w:fill="FFFFFF"/>
                <w:lang w:val="en-US" w:eastAsia="zh-CN" w:bidi="ar"/>
              </w:rPr>
              <w:t>:</w:t>
            </w:r>
          </w:p>
          <w:p w14:paraId="4587535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wins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trades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"win"</w:t>
            </w:r>
            <w:r>
              <w:rPr>
                <w:rFonts w:hint="default" w:ascii="Menlo" w:hAnsi="Menlo" w:eastAsia="Menlo" w:cs="Menlo"/>
                <w:b w:val="0"/>
                <w:bCs w:val="0"/>
                <w:color w:val="3B3B3B"/>
                <w:kern w:val="0"/>
                <w:sz w:val="21"/>
                <w:szCs w:val="21"/>
                <w:shd w:val="clear" w:fill="FFFFFF"/>
                <w:lang w:val="en-US" w:eastAsia="zh-CN" w:bidi="ar"/>
              </w:rPr>
              <w:t>]]</w:t>
            </w:r>
          </w:p>
          <w:p w14:paraId="73C49B5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losses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trades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"win"</w:t>
            </w:r>
            <w:r>
              <w:rPr>
                <w:rFonts w:hint="default" w:ascii="Menlo" w:hAnsi="Menlo" w:eastAsia="Menlo" w:cs="Menlo"/>
                <w:b w:val="0"/>
                <w:bCs w:val="0"/>
                <w:color w:val="3B3B3B"/>
                <w:kern w:val="0"/>
                <w:sz w:val="21"/>
                <w:szCs w:val="21"/>
                <w:shd w:val="clear" w:fill="FFFFFF"/>
                <w:lang w:val="en-US" w:eastAsia="zh-CN" w:bidi="ar"/>
              </w:rPr>
              <w:t>]]</w:t>
            </w:r>
          </w:p>
          <w:p w14:paraId="5B05A2C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win_rate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wins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trades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100.0</w:t>
            </w:r>
          </w:p>
          <w:p w14:paraId="67ECF74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avg_win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wins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wins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2BDFBA9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avg_loss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abs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losses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losses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2DD4011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pl_ratio</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avg_win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avg_loss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avg_loss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1e-12</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5847E00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w:t>
            </w:r>
          </w:p>
          <w:p w14:paraId="2F74FEE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win_rate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0.0</w:t>
            </w:r>
          </w:p>
          <w:p w14:paraId="44DB0BF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pl_ratio</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13B7062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F81F26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基准最终收益</w:t>
            </w:r>
          </w:p>
          <w:p w14:paraId="2191FA7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benchmark_final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benchmark_values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56FFC7C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benchmark_return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benchmark_final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initial_capital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100.0</w:t>
            </w:r>
          </w:p>
          <w:p w14:paraId="3B7F976A">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7989ADD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收集买卖信号点</w:t>
            </w:r>
          </w:p>
          <w:p w14:paraId="5396F88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buy_signals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p>
          <w:p w14:paraId="16690C8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sell_signals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p>
          <w:p w14:paraId="75C755B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range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3B3B3B"/>
                <w:kern w:val="0"/>
                <w:sz w:val="21"/>
                <w:szCs w:val="21"/>
                <w:shd w:val="clear" w:fill="FFFFFF"/>
                <w:lang w:val="en-US" w:eastAsia="zh-CN" w:bidi="ar"/>
              </w:rPr>
              <w:t>):</w:t>
            </w:r>
          </w:p>
          <w:p w14:paraId="718F6BB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sig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signals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w:t>
            </w:r>
          </w:p>
          <w:p w14:paraId="078F86C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6D9D244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buy_signals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append</w:t>
            </w:r>
            <w:r>
              <w:rPr>
                <w:rFonts w:hint="default" w:ascii="Menlo" w:hAnsi="Menlo" w:eastAsia="Menlo" w:cs="Menlo"/>
                <w:b w:val="0"/>
                <w:bCs w:val="0"/>
                <w:color w:val="3B3B3B"/>
                <w:kern w:val="0"/>
                <w:sz w:val="21"/>
                <w:szCs w:val="21"/>
                <w:shd w:val="clear" w:fill="FFFFFF"/>
                <w:lang w:val="en-US" w:eastAsia="zh-CN" w:bidi="ar"/>
              </w:rPr>
              <w:t>({</w:t>
            </w:r>
          </w:p>
          <w:p w14:paraId="5CE0AC0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].date()),</w:t>
            </w:r>
          </w:p>
          <w:p w14:paraId="3170530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.iloc[</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2</w:t>
            </w:r>
            <w:r>
              <w:rPr>
                <w:rFonts w:hint="default" w:ascii="Menlo" w:hAnsi="Menlo" w:eastAsia="Menlo" w:cs="Menlo"/>
                <w:b w:val="0"/>
                <w:bCs w:val="0"/>
                <w:color w:val="3B3B3B"/>
                <w:kern w:val="0"/>
                <w:sz w:val="21"/>
                <w:szCs w:val="21"/>
                <w:shd w:val="clear" w:fill="FFFFFF"/>
                <w:lang w:val="en-US" w:eastAsia="zh-CN" w:bidi="ar"/>
              </w:rPr>
              <w:t>),</w:t>
            </w:r>
          </w:p>
          <w:p w14:paraId="5432FB1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522A8D8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sig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196E0C3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sell_signals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append</w:t>
            </w:r>
            <w:r>
              <w:rPr>
                <w:rFonts w:hint="default" w:ascii="Menlo" w:hAnsi="Menlo" w:eastAsia="Menlo" w:cs="Menlo"/>
                <w:b w:val="0"/>
                <w:bCs w:val="0"/>
                <w:color w:val="3B3B3B"/>
                <w:kern w:val="0"/>
                <w:sz w:val="21"/>
                <w:szCs w:val="21"/>
                <w:shd w:val="clear" w:fill="FFFFFF"/>
                <w:lang w:val="en-US" w:eastAsia="zh-CN" w:bidi="ar"/>
              </w:rPr>
              <w:t>({</w:t>
            </w:r>
          </w:p>
          <w:p w14:paraId="022CD18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"date"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.index[</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].date()),</w:t>
            </w:r>
          </w:p>
          <w:p w14:paraId="00971D3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close_series</w:t>
            </w:r>
            <w:r>
              <w:rPr>
                <w:rFonts w:hint="default" w:ascii="Menlo" w:hAnsi="Menlo" w:eastAsia="Menlo" w:cs="Menlo"/>
                <w:b w:val="0"/>
                <w:bCs w:val="0"/>
                <w:color w:val="3B3B3B"/>
                <w:kern w:val="0"/>
                <w:sz w:val="21"/>
                <w:szCs w:val="21"/>
                <w:shd w:val="clear" w:fill="FFFFFF"/>
                <w:lang w:val="en-US" w:eastAsia="zh-CN" w:bidi="ar"/>
              </w:rPr>
              <w:t>.iloc[</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2</w:t>
            </w:r>
            <w:r>
              <w:rPr>
                <w:rFonts w:hint="default" w:ascii="Menlo" w:hAnsi="Menlo" w:eastAsia="Menlo" w:cs="Menlo"/>
                <w:b w:val="0"/>
                <w:bCs w:val="0"/>
                <w:color w:val="3B3B3B"/>
                <w:kern w:val="0"/>
                <w:sz w:val="21"/>
                <w:szCs w:val="21"/>
                <w:shd w:val="clear" w:fill="FFFFFF"/>
                <w:lang w:val="en-US" w:eastAsia="zh-CN" w:bidi="ar"/>
              </w:rPr>
              <w:t>),</w:t>
            </w:r>
          </w:p>
          <w:p w14:paraId="22FE850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eastAsia"/>
                <w:sz w:val="21"/>
                <w:szCs w:val="21"/>
                <w:vertAlign w:val="baseline"/>
                <w:lang w:val="en-US" w:eastAsia="zh-CN"/>
              </w:rPr>
            </w:pPr>
            <w:r>
              <w:rPr>
                <w:rFonts w:hint="default" w:ascii="Menlo" w:hAnsi="Menlo" w:eastAsia="Menlo" w:cs="Menlo"/>
                <w:b w:val="0"/>
                <w:bCs w:val="0"/>
                <w:color w:val="3B3B3B"/>
                <w:kern w:val="0"/>
                <w:sz w:val="21"/>
                <w:szCs w:val="21"/>
                <w:shd w:val="clear" w:fill="FFFFFF"/>
                <w:lang w:val="en-US" w:eastAsia="zh-CN" w:bidi="ar"/>
              </w:rPr>
              <w:t>})</w:t>
            </w:r>
          </w:p>
        </w:tc>
      </w:tr>
    </w:tbl>
    <w:p w14:paraId="57531CB0">
      <w:pPr>
        <w:numPr>
          <w:numId w:val="0"/>
        </w:numPr>
        <w:spacing w:beforeAutospacing="0" w:afterAutospacing="0"/>
        <w:rPr>
          <w:rFonts w:hint="eastAsia"/>
          <w:sz w:val="21"/>
          <w:szCs w:val="21"/>
          <w:lang w:val="en-US" w:eastAsia="zh-CN"/>
        </w:rPr>
      </w:pPr>
    </w:p>
    <w:p w14:paraId="1BCE5DE8">
      <w:pPr>
        <w:numPr>
          <w:numId w:val="0"/>
        </w:numPr>
        <w:spacing w:beforeAutospacing="0" w:afterAutospacing="0"/>
        <w:rPr>
          <w:rFonts w:hint="eastAsia"/>
          <w:sz w:val="21"/>
          <w:szCs w:val="21"/>
          <w:lang w:val="en-US" w:eastAsia="zh-CN"/>
        </w:rPr>
      </w:pPr>
      <w:r>
        <w:rPr>
          <w:rFonts w:hint="eastAsia"/>
          <w:sz w:val="21"/>
          <w:szCs w:val="21"/>
          <w:lang w:val="en-US" w:eastAsia="zh-CN"/>
        </w:rPr>
        <w:t>回测结果（看板）：</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7F81A12">
        <w:tc>
          <w:tcPr>
            <w:tcW w:w="8522" w:type="dxa"/>
            <w:tcBorders>
              <w:top w:val="nil"/>
              <w:left w:val="nil"/>
              <w:bottom w:val="nil"/>
              <w:right w:val="nil"/>
              <w:tl2br w:val="nil"/>
            </w:tcBorders>
            <w:shd w:val="clear" w:color="auto" w:fill="FFFFFF"/>
            <w:vAlign w:val="center"/>
          </w:tcPr>
          <w:p w14:paraId="0D2CE735">
            <w:pPr>
              <w:numPr>
                <w:numId w:val="0"/>
              </w:numPr>
              <w:spacing w:beforeAutospacing="0" w:afterAutospacing="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drawing>
                <wp:inline distT="0" distB="0" distL="114300" distR="114300">
                  <wp:extent cx="5253355" cy="2917190"/>
                  <wp:effectExtent l="0" t="0" r="4445" b="3810"/>
                  <wp:docPr id="3" name="图片 3" descr="截屏2026-07-11 20.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7-11 20.50.30"/>
                          <pic:cNvPicPr>
                            <a:picLocks noChangeAspect="1"/>
                          </pic:cNvPicPr>
                        </pic:nvPicPr>
                        <pic:blipFill>
                          <a:blip r:embed="rId6"/>
                          <a:stretch>
                            <a:fillRect/>
                          </a:stretch>
                        </pic:blipFill>
                        <pic:spPr>
                          <a:xfrm>
                            <a:off x="0" y="0"/>
                            <a:ext cx="5253355" cy="2917190"/>
                          </a:xfrm>
                          <a:prstGeom prst="rect">
                            <a:avLst/>
                          </a:prstGeom>
                        </pic:spPr>
                      </pic:pic>
                    </a:graphicData>
                  </a:graphic>
                </wp:inline>
              </w:drawing>
            </w:r>
          </w:p>
          <w:p w14:paraId="0202967E">
            <w:pPr>
              <w:numPr>
                <w:numId w:val="0"/>
              </w:numPr>
              <w:spacing w:beforeAutospacing="0" w:afterAutospacing="0"/>
              <w:jc w:val="center"/>
              <w:rPr>
                <w:rFonts w:hint="default"/>
                <w:b w:val="0"/>
                <w:color w:val="000000"/>
                <w:sz w:val="21"/>
                <w:szCs w:val="21"/>
                <w:vertAlign w:val="baseline"/>
                <w:lang w:val="en-US" w:eastAsia="zh-CN"/>
              </w:rPr>
            </w:pPr>
            <w:r>
              <w:rPr>
                <w:rFonts w:hint="eastAsia"/>
                <w:b w:val="0"/>
                <w:color w:val="000000"/>
                <w:sz w:val="20"/>
                <w:szCs w:val="20"/>
                <w:vertAlign w:val="baseline"/>
                <w:lang w:val="en-US" w:eastAsia="zh-CN"/>
              </w:rPr>
              <w:t>图1  双均线策略回测看板</w:t>
            </w:r>
          </w:p>
        </w:tc>
      </w:tr>
    </w:tbl>
    <w:p w14:paraId="2B6269C0">
      <w:pPr>
        <w:numPr>
          <w:numId w:val="0"/>
        </w:numPr>
        <w:spacing w:beforeAutospacing="0" w:afterAutospacing="0"/>
        <w:rPr>
          <w:rFonts w:hint="default"/>
          <w:sz w:val="21"/>
          <w:szCs w:val="21"/>
          <w:lang w:val="en-US" w:eastAsia="zh-CN"/>
        </w:rPr>
      </w:pPr>
    </w:p>
    <w:p w14:paraId="728E8A5F">
      <w:pPr>
        <w:numPr>
          <w:numId w:val="0"/>
        </w:numPr>
        <w:spacing w:before="162" w:beforeLines="51" w:beforeAutospacing="0" w:after="159" w:afterLines="51" w:afterAutospacing="0"/>
        <w:rPr>
          <w:rFonts w:hint="default"/>
          <w:color w:val="2E54A1" w:themeColor="accent1" w:themeShade="BF"/>
          <w:sz w:val="21"/>
          <w:szCs w:val="21"/>
          <w:lang w:val="en-US" w:eastAsia="zh-CN"/>
        </w:rPr>
      </w:pPr>
      <w:r>
        <w:rPr>
          <w:rFonts w:hint="eastAsia"/>
          <w:color w:val="2E54A1" w:themeColor="accent1" w:themeShade="BF"/>
          <w:sz w:val="21"/>
          <w:szCs w:val="21"/>
          <w:lang w:val="en-US" w:eastAsia="zh-CN"/>
        </w:rPr>
        <w:t xml:space="preserve">任务4. </w:t>
      </w:r>
      <w:r>
        <w:rPr>
          <w:rFonts w:hint="default"/>
          <w:color w:val="2E54A1" w:themeColor="accent1" w:themeShade="BF"/>
          <w:sz w:val="21"/>
          <w:szCs w:val="21"/>
          <w:lang w:val="en-US" w:eastAsia="zh-CN"/>
        </w:rPr>
        <w:t>尝试不同股票，均线周期，观察收益情况变化，总结双均线策略</w:t>
      </w:r>
      <w:r>
        <w:rPr>
          <w:rFonts w:hint="eastAsia"/>
          <w:color w:val="2E54A1" w:themeColor="accent1" w:themeShade="BF"/>
          <w:sz w:val="21"/>
          <w:szCs w:val="21"/>
          <w:lang w:val="en-US" w:eastAsia="zh-CN"/>
        </w:rPr>
        <w:t>适用</w:t>
      </w:r>
      <w:r>
        <w:rPr>
          <w:rFonts w:hint="default"/>
          <w:color w:val="2E54A1" w:themeColor="accent1" w:themeShade="BF"/>
          <w:sz w:val="21"/>
          <w:szCs w:val="21"/>
          <w:lang w:val="en-US" w:eastAsia="zh-CN"/>
        </w:rPr>
        <w:t>场景和心得</w:t>
      </w:r>
    </w:p>
    <w:p w14:paraId="2781877A">
      <w:pPr>
        <w:numPr>
          <w:ilvl w:val="0"/>
          <w:numId w:val="3"/>
        </w:numPr>
        <w:spacing w:beforeAutospacing="0" w:afterAutospacing="0"/>
        <w:rPr>
          <w:rFonts w:hint="default"/>
          <w:sz w:val="21"/>
          <w:szCs w:val="21"/>
          <w:lang w:val="en-US" w:eastAsia="zh-CN"/>
        </w:rPr>
      </w:pPr>
      <w:r>
        <w:rPr>
          <w:rFonts w:hint="eastAsia"/>
          <w:color w:val="2E54A1" w:themeColor="accent1" w:themeShade="BF"/>
          <w:sz w:val="21"/>
          <w:szCs w:val="21"/>
          <w:lang w:val="en-US" w:eastAsia="zh-CN"/>
        </w:rPr>
        <w:t>同一标的，不同均线周期</w:t>
      </w:r>
    </w:p>
    <w:p w14:paraId="183C83D5">
      <w:pPr>
        <w:numPr>
          <w:numId w:val="0"/>
        </w:numPr>
        <w:spacing w:beforeAutospacing="0"/>
        <w:ind w:firstLine="420" w:firstLineChars="0"/>
        <w:rPr>
          <w:rFonts w:hint="default"/>
          <w:sz w:val="21"/>
          <w:szCs w:val="21"/>
          <w:lang w:val="en-US" w:eastAsia="zh-CN"/>
        </w:rPr>
      </w:pPr>
      <w:r>
        <w:rPr>
          <w:rFonts w:hint="eastAsia"/>
          <w:sz w:val="21"/>
          <w:szCs w:val="21"/>
          <w:lang w:val="en-US" w:eastAsia="zh-CN"/>
        </w:rPr>
        <w:t>针对寒武纪标的，分别使用均线周期</w:t>
      </w:r>
      <w:r>
        <w:rPr>
          <w:rFonts w:hint="default"/>
          <w:sz w:val="21"/>
          <w:szCs w:val="21"/>
          <w:lang w:val="en-US" w:eastAsia="zh-CN"/>
        </w:rPr>
        <w:t>(5,20)</w:t>
      </w:r>
      <w:r>
        <w:rPr>
          <w:rFonts w:hint="eastAsia"/>
          <w:sz w:val="21"/>
          <w:szCs w:val="21"/>
          <w:lang w:val="en-US" w:eastAsia="zh-CN"/>
        </w:rPr>
        <w:t>和</w:t>
      </w:r>
      <w:r>
        <w:rPr>
          <w:rFonts w:hint="default"/>
          <w:sz w:val="21"/>
          <w:szCs w:val="21"/>
          <w:lang w:val="en-US" w:eastAsia="zh-CN"/>
        </w:rPr>
        <w:t>(20,60)</w:t>
      </w:r>
      <w:r>
        <w:rPr>
          <w:rFonts w:hint="eastAsia"/>
          <w:sz w:val="21"/>
          <w:szCs w:val="21"/>
          <w:lang w:val="en-US" w:eastAsia="zh-CN"/>
        </w:rPr>
        <w:t>两种组合回测22-23及24-25数据。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9770A88">
        <w:trPr>
          <w:trHeight w:val="936" w:hRule="atLeast"/>
        </w:trPr>
        <w:tc>
          <w:tcPr>
            <w:tcW w:w="8522" w:type="dxa"/>
            <w:tcBorders>
              <w:top w:val="nil"/>
              <w:left w:val="nil"/>
              <w:bottom w:val="nil"/>
              <w:right w:val="nil"/>
              <w:tl2br w:val="nil"/>
            </w:tcBorders>
            <w:shd w:val="clear" w:color="auto" w:fill="FFFFFF"/>
            <w:vAlign w:val="center"/>
          </w:tcPr>
          <w:p w14:paraId="105B39F4">
            <w:pPr>
              <w:numPr>
                <w:numId w:val="0"/>
              </w:numPr>
              <w:spacing w:beforeAutospacing="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drawing>
                <wp:inline distT="0" distB="0" distL="114300" distR="114300">
                  <wp:extent cx="5039995" cy="2018030"/>
                  <wp:effectExtent l="0" t="0" r="14605" b="13970"/>
                  <wp:docPr id="4" name="图片 4" descr="quant_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uant_chart(1)"/>
                          <pic:cNvPicPr>
                            <a:picLocks noChangeAspect="1"/>
                          </pic:cNvPicPr>
                        </pic:nvPicPr>
                        <pic:blipFill>
                          <a:blip r:embed="rId7"/>
                          <a:stretch>
                            <a:fillRect/>
                          </a:stretch>
                        </pic:blipFill>
                        <pic:spPr>
                          <a:xfrm>
                            <a:off x="0" y="0"/>
                            <a:ext cx="5039995" cy="2018030"/>
                          </a:xfrm>
                          <a:prstGeom prst="rect">
                            <a:avLst/>
                          </a:prstGeom>
                        </pic:spPr>
                      </pic:pic>
                    </a:graphicData>
                  </a:graphic>
                </wp:inline>
              </w:drawing>
            </w:r>
          </w:p>
        </w:tc>
      </w:tr>
      <w:tr w14:paraId="53B30699">
        <w:trPr>
          <w:trHeight w:val="936" w:hRule="atLeast"/>
        </w:trPr>
        <w:tc>
          <w:tcPr>
            <w:tcW w:w="8522" w:type="dxa"/>
            <w:tcBorders>
              <w:top w:val="nil"/>
              <w:left w:val="nil"/>
              <w:bottom w:val="nil"/>
              <w:right w:val="nil"/>
              <w:tl2br w:val="nil"/>
            </w:tcBorders>
            <w:shd w:val="clear" w:color="auto" w:fill="FFFFFF"/>
            <w:vAlign w:val="center"/>
          </w:tcPr>
          <w:p w14:paraId="25976ABB">
            <w:pPr>
              <w:numPr>
                <w:numId w:val="0"/>
              </w:numPr>
              <w:spacing w:beforeAutospacing="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drawing>
                <wp:inline distT="0" distB="0" distL="114300" distR="114300">
                  <wp:extent cx="5039995" cy="2018030"/>
                  <wp:effectExtent l="0" t="0" r="14605" b="13970"/>
                  <wp:docPr id="5" name="图片 5" descr="quant_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uant_chart(2)"/>
                          <pic:cNvPicPr>
                            <a:picLocks noChangeAspect="1"/>
                          </pic:cNvPicPr>
                        </pic:nvPicPr>
                        <pic:blipFill>
                          <a:blip r:embed="rId8"/>
                          <a:stretch>
                            <a:fillRect/>
                          </a:stretch>
                        </pic:blipFill>
                        <pic:spPr>
                          <a:xfrm>
                            <a:off x="0" y="0"/>
                            <a:ext cx="5039995" cy="2018030"/>
                          </a:xfrm>
                          <a:prstGeom prst="rect">
                            <a:avLst/>
                          </a:prstGeom>
                        </pic:spPr>
                      </pic:pic>
                    </a:graphicData>
                  </a:graphic>
                </wp:inline>
              </w:drawing>
            </w:r>
          </w:p>
        </w:tc>
      </w:tr>
      <w:tr w14:paraId="2522921F">
        <w:tc>
          <w:tcPr>
            <w:tcW w:w="8522" w:type="dxa"/>
            <w:tcBorders>
              <w:top w:val="nil"/>
              <w:left w:val="nil"/>
              <w:bottom w:val="nil"/>
              <w:right w:val="nil"/>
            </w:tcBorders>
            <w:shd w:val="clear" w:color="auto" w:fill="FFFFFF"/>
            <w:vAlign w:val="center"/>
          </w:tcPr>
          <w:p w14:paraId="74FB7F6A">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0"/>
                <w:szCs w:val="20"/>
                <w:vertAlign w:val="baseline"/>
                <w:lang w:val="en-US" w:eastAsia="zh-CN"/>
              </w:rPr>
              <w:t>图2  220701至230701</w:t>
            </w:r>
            <w:r>
              <w:rPr>
                <w:rFonts w:hint="default"/>
                <w:b w:val="0"/>
                <w:color w:val="000000"/>
                <w:sz w:val="20"/>
                <w:szCs w:val="20"/>
                <w:vertAlign w:val="baseline"/>
                <w:lang w:val="en-US" w:eastAsia="zh-CN"/>
              </w:rPr>
              <w:t xml:space="preserve"> </w:t>
            </w:r>
            <w:r>
              <w:rPr>
                <w:rFonts w:hint="eastAsia"/>
                <w:b w:val="0"/>
                <w:color w:val="000000"/>
                <w:sz w:val="20"/>
                <w:szCs w:val="20"/>
                <w:vertAlign w:val="baseline"/>
                <w:lang w:val="en-US" w:eastAsia="zh-CN"/>
              </w:rPr>
              <w:t>寒武纪均线周期</w:t>
            </w:r>
            <w:r>
              <w:rPr>
                <w:rFonts w:hint="default"/>
                <w:b w:val="0"/>
                <w:color w:val="000000"/>
                <w:sz w:val="20"/>
                <w:szCs w:val="20"/>
                <w:vertAlign w:val="baseline"/>
                <w:lang w:val="en-US" w:eastAsia="zh-CN"/>
              </w:rPr>
              <w:t>(5,20)</w:t>
            </w:r>
            <w:r>
              <w:rPr>
                <w:rFonts w:hint="eastAsia"/>
                <w:b w:val="0"/>
                <w:color w:val="000000"/>
                <w:sz w:val="20"/>
                <w:szCs w:val="20"/>
                <w:vertAlign w:val="baseline"/>
                <w:lang w:val="en-US" w:eastAsia="zh-CN"/>
              </w:rPr>
              <w:t>与</w:t>
            </w:r>
            <w:r>
              <w:rPr>
                <w:rFonts w:hint="default"/>
                <w:b w:val="0"/>
                <w:color w:val="000000"/>
                <w:sz w:val="20"/>
                <w:szCs w:val="20"/>
                <w:vertAlign w:val="baseline"/>
                <w:lang w:val="en-US" w:eastAsia="zh-CN"/>
              </w:rPr>
              <w:t>(20,60)</w:t>
            </w:r>
            <w:r>
              <w:rPr>
                <w:rFonts w:hint="eastAsia"/>
                <w:b w:val="0"/>
                <w:color w:val="000000"/>
                <w:sz w:val="20"/>
                <w:szCs w:val="20"/>
                <w:vertAlign w:val="baseline"/>
                <w:lang w:val="en-US" w:eastAsia="zh-CN"/>
              </w:rPr>
              <w:t>对比</w:t>
            </w:r>
          </w:p>
        </w:tc>
      </w:tr>
      <w:tr w14:paraId="04916941">
        <w:trPr>
          <w:trHeight w:val="1872" w:hRule="atLeast"/>
        </w:trPr>
        <w:tc>
          <w:tcPr>
            <w:tcW w:w="8522" w:type="dxa"/>
            <w:tcBorders>
              <w:top w:val="nil"/>
              <w:left w:val="nil"/>
              <w:bottom w:val="nil"/>
              <w:right w:val="nil"/>
            </w:tcBorders>
            <w:shd w:val="clear" w:color="auto" w:fill="FFFFFF"/>
            <w:vAlign w:val="center"/>
          </w:tcPr>
          <w:p w14:paraId="40AD1065">
            <w:pPr>
              <w:numPr>
                <w:numId w:val="0"/>
              </w:numPr>
              <w:spacing w:beforeAutospacing="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drawing>
                <wp:inline distT="0" distB="0" distL="114300" distR="114300">
                  <wp:extent cx="5039995" cy="2018030"/>
                  <wp:effectExtent l="0" t="0" r="14605" b="13970"/>
                  <wp:docPr id="7" name="图片 7" descr="quant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uant_chart"/>
                          <pic:cNvPicPr>
                            <a:picLocks noChangeAspect="1"/>
                          </pic:cNvPicPr>
                        </pic:nvPicPr>
                        <pic:blipFill>
                          <a:blip r:embed="rId9"/>
                          <a:stretch>
                            <a:fillRect/>
                          </a:stretch>
                        </pic:blipFill>
                        <pic:spPr>
                          <a:xfrm>
                            <a:off x="0" y="0"/>
                            <a:ext cx="5039995" cy="2018030"/>
                          </a:xfrm>
                          <a:prstGeom prst="rect">
                            <a:avLst/>
                          </a:prstGeom>
                        </pic:spPr>
                      </pic:pic>
                    </a:graphicData>
                  </a:graphic>
                </wp:inline>
              </w:drawing>
            </w:r>
          </w:p>
        </w:tc>
      </w:tr>
      <w:tr w14:paraId="25F21858">
        <w:trPr>
          <w:trHeight w:val="1872" w:hRule="atLeast"/>
        </w:trPr>
        <w:tc>
          <w:tcPr>
            <w:tcW w:w="8522" w:type="dxa"/>
            <w:tcBorders>
              <w:top w:val="nil"/>
              <w:left w:val="nil"/>
              <w:bottom w:val="nil"/>
              <w:right w:val="nil"/>
            </w:tcBorders>
            <w:shd w:val="clear" w:color="auto" w:fill="FFFFFF"/>
            <w:vAlign w:val="center"/>
          </w:tcPr>
          <w:p w14:paraId="646E656A">
            <w:pPr>
              <w:numPr>
                <w:numId w:val="0"/>
              </w:numPr>
              <w:spacing w:beforeAutospacing="0"/>
              <w:jc w:val="center"/>
              <w:rPr>
                <w:rFonts w:hint="eastAsia"/>
                <w:b w:val="0"/>
                <w:color w:val="000000"/>
                <w:sz w:val="21"/>
                <w:szCs w:val="21"/>
                <w:vertAlign w:val="baseline"/>
                <w:lang w:val="en-US" w:eastAsia="zh-CN"/>
              </w:rPr>
            </w:pPr>
            <w:r>
              <w:rPr>
                <w:rFonts w:hint="eastAsia"/>
                <w:b w:val="0"/>
                <w:color w:val="000000"/>
                <w:sz w:val="21"/>
                <w:szCs w:val="21"/>
                <w:vertAlign w:val="baseline"/>
                <w:lang w:val="en-US" w:eastAsia="zh-CN"/>
              </w:rPr>
              <w:drawing>
                <wp:inline distT="0" distB="0" distL="114300" distR="114300">
                  <wp:extent cx="5039995" cy="2018030"/>
                  <wp:effectExtent l="0" t="0" r="14605" b="13970"/>
                  <wp:docPr id="6" name="图片 6" descr="quant_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uant_chart(3)"/>
                          <pic:cNvPicPr>
                            <a:picLocks noChangeAspect="1"/>
                          </pic:cNvPicPr>
                        </pic:nvPicPr>
                        <pic:blipFill>
                          <a:blip r:embed="rId10"/>
                          <a:stretch>
                            <a:fillRect/>
                          </a:stretch>
                        </pic:blipFill>
                        <pic:spPr>
                          <a:xfrm>
                            <a:off x="0" y="0"/>
                            <a:ext cx="5039995" cy="2018030"/>
                          </a:xfrm>
                          <a:prstGeom prst="rect">
                            <a:avLst/>
                          </a:prstGeom>
                        </pic:spPr>
                      </pic:pic>
                    </a:graphicData>
                  </a:graphic>
                </wp:inline>
              </w:drawing>
            </w:r>
          </w:p>
        </w:tc>
      </w:tr>
      <w:tr w14:paraId="545301E2">
        <w:tc>
          <w:tcPr>
            <w:tcW w:w="8522" w:type="dxa"/>
            <w:tcBorders>
              <w:top w:val="nil"/>
              <w:left w:val="nil"/>
              <w:bottom w:val="nil"/>
              <w:right w:val="nil"/>
            </w:tcBorders>
            <w:shd w:val="clear" w:color="auto" w:fill="FFFFFF"/>
            <w:vAlign w:val="center"/>
          </w:tcPr>
          <w:p w14:paraId="69FE7FF2">
            <w:pPr>
              <w:numPr>
                <w:numId w:val="0"/>
              </w:numPr>
              <w:spacing w:beforeAutospacing="0"/>
              <w:jc w:val="center"/>
              <w:rPr>
                <w:rFonts w:hint="eastAsia"/>
                <w:b w:val="0"/>
                <w:color w:val="000000"/>
                <w:sz w:val="21"/>
                <w:szCs w:val="21"/>
                <w:vertAlign w:val="baseline"/>
                <w:lang w:val="en-US" w:eastAsia="zh-CN"/>
              </w:rPr>
            </w:pPr>
            <w:r>
              <w:rPr>
                <w:rFonts w:hint="eastAsia"/>
                <w:b w:val="0"/>
                <w:color w:val="000000"/>
                <w:sz w:val="20"/>
                <w:szCs w:val="20"/>
                <w:vertAlign w:val="baseline"/>
                <w:lang w:val="en-US" w:eastAsia="zh-CN"/>
              </w:rPr>
              <w:t>图3  240701至250701</w:t>
            </w:r>
            <w:r>
              <w:rPr>
                <w:rFonts w:hint="default"/>
                <w:b w:val="0"/>
                <w:color w:val="000000"/>
                <w:sz w:val="20"/>
                <w:szCs w:val="20"/>
                <w:vertAlign w:val="baseline"/>
                <w:lang w:val="en-US" w:eastAsia="zh-CN"/>
              </w:rPr>
              <w:t xml:space="preserve"> </w:t>
            </w:r>
            <w:r>
              <w:rPr>
                <w:rFonts w:hint="eastAsia"/>
                <w:b w:val="0"/>
                <w:color w:val="000000"/>
                <w:sz w:val="20"/>
                <w:szCs w:val="20"/>
                <w:vertAlign w:val="baseline"/>
                <w:lang w:val="en-US" w:eastAsia="zh-CN"/>
              </w:rPr>
              <w:t>寒武纪均线周期</w:t>
            </w:r>
            <w:r>
              <w:rPr>
                <w:rFonts w:hint="default"/>
                <w:b w:val="0"/>
                <w:color w:val="000000"/>
                <w:sz w:val="20"/>
                <w:szCs w:val="20"/>
                <w:vertAlign w:val="baseline"/>
                <w:lang w:val="en-US" w:eastAsia="zh-CN"/>
              </w:rPr>
              <w:t>(5,20)</w:t>
            </w:r>
            <w:r>
              <w:rPr>
                <w:rFonts w:hint="eastAsia"/>
                <w:b w:val="0"/>
                <w:color w:val="000000"/>
                <w:sz w:val="20"/>
                <w:szCs w:val="20"/>
                <w:vertAlign w:val="baseline"/>
                <w:lang w:val="en-US" w:eastAsia="zh-CN"/>
              </w:rPr>
              <w:t>与</w:t>
            </w:r>
            <w:r>
              <w:rPr>
                <w:rFonts w:hint="default"/>
                <w:b w:val="0"/>
                <w:color w:val="000000"/>
                <w:sz w:val="20"/>
                <w:szCs w:val="20"/>
                <w:vertAlign w:val="baseline"/>
                <w:lang w:val="en-US" w:eastAsia="zh-CN"/>
              </w:rPr>
              <w:t>(20,60)</w:t>
            </w:r>
            <w:r>
              <w:rPr>
                <w:rFonts w:hint="eastAsia"/>
                <w:b w:val="0"/>
                <w:color w:val="000000"/>
                <w:sz w:val="20"/>
                <w:szCs w:val="20"/>
                <w:vertAlign w:val="baseline"/>
                <w:lang w:val="en-US" w:eastAsia="zh-CN"/>
              </w:rPr>
              <w:t>对比</w:t>
            </w:r>
          </w:p>
        </w:tc>
      </w:tr>
    </w:tbl>
    <w:p w14:paraId="14F04069">
      <w:pPr>
        <w:numPr>
          <w:numId w:val="0"/>
        </w:numPr>
        <w:spacing w:beforeAutospacing="0"/>
        <w:ind w:firstLine="420" w:firstLineChars="200"/>
        <w:rPr>
          <w:rFonts w:hint="eastAsia"/>
          <w:sz w:val="21"/>
          <w:szCs w:val="21"/>
          <w:lang w:val="en-US" w:eastAsia="zh-CN"/>
        </w:rPr>
      </w:pPr>
      <w:r>
        <w:rPr>
          <w:rFonts w:hint="eastAsia"/>
          <w:sz w:val="21"/>
          <w:szCs w:val="21"/>
          <w:lang w:val="en-US" w:eastAsia="zh-CN"/>
        </w:rPr>
        <w:t>总体来看，较短周期的均线组合能够更快地响应价格变化，当股价出现上涨趋势时，短周期均线会更早向上突破长周期均线，从而提前发出买入信号；当趋势结束时，也能够更早地产生卖出信号。本次回测中，短周期均线组合的累计收益率整体高于长周期均线组合，也验证了这一特点。</w:t>
      </w:r>
    </w:p>
    <w:p w14:paraId="6A5A6351">
      <w:pPr>
        <w:numPr>
          <w:numId w:val="0"/>
        </w:numPr>
        <w:spacing w:beforeAutospacing="0"/>
        <w:ind w:firstLine="420" w:firstLineChars="200"/>
        <w:rPr>
          <w:rFonts w:hint="default"/>
          <w:sz w:val="21"/>
          <w:szCs w:val="21"/>
          <w:lang w:val="en-US" w:eastAsia="zh-CN"/>
        </w:rPr>
      </w:pPr>
      <w:r>
        <w:rPr>
          <w:rFonts w:hint="eastAsia"/>
          <w:sz w:val="21"/>
          <w:szCs w:val="21"/>
          <w:lang w:val="en-US" w:eastAsia="zh-CN"/>
        </w:rPr>
        <w:t>然而，均线周期的缩短也带来了更多的无效交易，在震荡行情中容易出现频繁的“金叉—死叉”切换，从而提高交易成本并降低策略稳定性。相比之下，较长周期均线能够对价格进行更充分的平滑处理，过滤掉部分短期波动，虽然买卖信号存在一定滞后，但能够减少频繁交易，使策略更加稳健。从图上也能够看到很多笔交易其实并没有带来收益。</w:t>
      </w:r>
    </w:p>
    <w:p w14:paraId="6FA6AB92">
      <w:pPr>
        <w:numPr>
          <w:numId w:val="0"/>
        </w:numPr>
        <w:spacing w:beforeAutospacing="0"/>
        <w:ind w:firstLine="420" w:firstLineChars="200"/>
        <w:rPr>
          <w:rFonts w:hint="default"/>
          <w:sz w:val="21"/>
          <w:szCs w:val="21"/>
          <w:lang w:val="en-US" w:eastAsia="zh-CN"/>
        </w:rPr>
      </w:pPr>
      <w:r>
        <w:rPr>
          <w:rFonts w:hint="eastAsia"/>
          <w:sz w:val="21"/>
          <w:szCs w:val="21"/>
          <w:lang w:val="en-US" w:eastAsia="zh-CN"/>
        </w:rPr>
        <w:t>总结来说，均线周期的选择本质上是在信号灵敏度与稳定性之间进行权衡。对于趋势较为明显、波动连续的市场环境，可以适当采用较短的均线周期以提高收益；而对于震荡较多或交易成本较高的市场，则应适当延长均线周期，以降低无效交易带来的影响。</w:t>
      </w:r>
    </w:p>
    <w:p w14:paraId="30DFB315">
      <w:pPr>
        <w:numPr>
          <w:ilvl w:val="0"/>
          <w:numId w:val="3"/>
        </w:numPr>
        <w:spacing w:beforeAutospacing="0" w:afterAutospacing="0"/>
        <w:rPr>
          <w:rFonts w:hint="default"/>
          <w:sz w:val="21"/>
          <w:szCs w:val="21"/>
          <w:lang w:val="en-US" w:eastAsia="zh-CN"/>
        </w:rPr>
      </w:pPr>
      <w:r>
        <w:rPr>
          <w:rFonts w:hint="eastAsia"/>
          <w:color w:val="2E54A1" w:themeColor="accent1" w:themeShade="BF"/>
          <w:sz w:val="21"/>
          <w:szCs w:val="21"/>
          <w:lang w:val="en-US" w:eastAsia="zh-CN"/>
        </w:rPr>
        <w:t>不同标的，相同策略</w:t>
      </w:r>
    </w:p>
    <w:p w14:paraId="69A001BC">
      <w:pPr>
        <w:numPr>
          <w:numId w:val="0"/>
        </w:numPr>
        <w:spacing w:beforeAutospacing="0"/>
        <w:ind w:firstLine="420" w:firstLineChars="200"/>
        <w:rPr>
          <w:rFonts w:hint="default"/>
          <w:sz w:val="21"/>
          <w:szCs w:val="21"/>
          <w:lang w:val="en-US" w:eastAsia="zh-CN"/>
        </w:rPr>
      </w:pPr>
      <w:r>
        <w:rPr>
          <w:rFonts w:hint="eastAsia"/>
          <w:sz w:val="21"/>
          <w:szCs w:val="21"/>
          <w:lang w:val="en-US" w:eastAsia="zh-CN"/>
        </w:rPr>
        <w:t>针对寒武纪和贵州茅台，使用均线周期(5,20)策略回测21-26数据。图4上半部分为寒武纪数据，下半部分为贵州茅台数据。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1E2E563">
        <w:tc>
          <w:tcPr>
            <w:tcW w:w="8522" w:type="dxa"/>
            <w:tcBorders>
              <w:top w:val="nil"/>
              <w:left w:val="nil"/>
              <w:bottom w:val="nil"/>
              <w:right w:val="nil"/>
              <w:tl2br w:val="nil"/>
            </w:tcBorders>
            <w:shd w:val="clear" w:color="auto" w:fill="FFFFFF"/>
            <w:vAlign w:val="center"/>
          </w:tcPr>
          <w:p w14:paraId="75FACE5C">
            <w:pPr>
              <w:numPr>
                <w:numId w:val="0"/>
              </w:numPr>
              <w:spacing w:beforeAutospacing="0"/>
              <w:jc w:val="center"/>
              <w:rPr>
                <w:rFonts w:hint="eastAsia"/>
                <w:b w:val="0"/>
                <w:color w:val="000000"/>
                <w:sz w:val="20"/>
                <w:szCs w:val="20"/>
                <w:vertAlign w:val="baseline"/>
                <w:lang w:val="en-US" w:eastAsia="zh-CN"/>
              </w:rPr>
            </w:pPr>
            <w:r>
              <w:rPr>
                <w:rFonts w:hint="eastAsia"/>
                <w:b w:val="0"/>
                <w:color w:val="000000"/>
                <w:sz w:val="20"/>
                <w:szCs w:val="20"/>
                <w:vertAlign w:val="baseline"/>
                <w:lang w:val="en-US" w:eastAsia="zh-CN"/>
              </w:rPr>
              <w:drawing>
                <wp:inline distT="0" distB="0" distL="114300" distR="114300">
                  <wp:extent cx="5248910" cy="2101215"/>
                  <wp:effectExtent l="0" t="0" r="8890" b="6985"/>
                  <wp:docPr id="8" name="图片 8" descr="quant_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uant_chart(1)"/>
                          <pic:cNvPicPr>
                            <a:picLocks noChangeAspect="1"/>
                          </pic:cNvPicPr>
                        </pic:nvPicPr>
                        <pic:blipFill>
                          <a:blip r:embed="rId11"/>
                          <a:stretch>
                            <a:fillRect/>
                          </a:stretch>
                        </pic:blipFill>
                        <pic:spPr>
                          <a:xfrm>
                            <a:off x="0" y="0"/>
                            <a:ext cx="5248910" cy="2101215"/>
                          </a:xfrm>
                          <a:prstGeom prst="rect">
                            <a:avLst/>
                          </a:prstGeom>
                        </pic:spPr>
                      </pic:pic>
                    </a:graphicData>
                  </a:graphic>
                </wp:inline>
              </w:drawing>
            </w:r>
          </w:p>
        </w:tc>
      </w:tr>
      <w:tr w14:paraId="340CBE9D">
        <w:tc>
          <w:tcPr>
            <w:tcW w:w="8522" w:type="dxa"/>
            <w:tcBorders>
              <w:top w:val="nil"/>
              <w:left w:val="nil"/>
              <w:bottom w:val="nil"/>
              <w:right w:val="nil"/>
            </w:tcBorders>
            <w:shd w:val="clear" w:color="auto" w:fill="FFFFFF"/>
            <w:vAlign w:val="center"/>
          </w:tcPr>
          <w:p w14:paraId="66F09544">
            <w:pPr>
              <w:numPr>
                <w:numId w:val="0"/>
              </w:numPr>
              <w:spacing w:beforeAutospacing="0"/>
              <w:jc w:val="center"/>
              <w:rPr>
                <w:rFonts w:hint="eastAsia"/>
                <w:b w:val="0"/>
                <w:color w:val="000000"/>
                <w:sz w:val="20"/>
                <w:szCs w:val="20"/>
                <w:vertAlign w:val="baseline"/>
                <w:lang w:val="en-US" w:eastAsia="zh-CN"/>
              </w:rPr>
            </w:pPr>
            <w:r>
              <w:rPr>
                <w:rFonts w:hint="eastAsia"/>
                <w:b w:val="0"/>
                <w:color w:val="000000"/>
                <w:sz w:val="20"/>
                <w:szCs w:val="20"/>
                <w:vertAlign w:val="baseline"/>
                <w:lang w:val="en-US" w:eastAsia="zh-CN"/>
              </w:rPr>
              <w:drawing>
                <wp:inline distT="0" distB="0" distL="114300" distR="114300">
                  <wp:extent cx="5248910" cy="2101215"/>
                  <wp:effectExtent l="0" t="0" r="8890" b="6985"/>
                  <wp:docPr id="9" name="图片 9" descr="quant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uant_chart"/>
                          <pic:cNvPicPr>
                            <a:picLocks noChangeAspect="1"/>
                          </pic:cNvPicPr>
                        </pic:nvPicPr>
                        <pic:blipFill>
                          <a:blip r:embed="rId12"/>
                          <a:stretch>
                            <a:fillRect/>
                          </a:stretch>
                        </pic:blipFill>
                        <pic:spPr>
                          <a:xfrm>
                            <a:off x="0" y="0"/>
                            <a:ext cx="5248910" cy="2101215"/>
                          </a:xfrm>
                          <a:prstGeom prst="rect">
                            <a:avLst/>
                          </a:prstGeom>
                        </pic:spPr>
                      </pic:pic>
                    </a:graphicData>
                  </a:graphic>
                </wp:inline>
              </w:drawing>
            </w:r>
          </w:p>
        </w:tc>
      </w:tr>
      <w:tr w14:paraId="36238301">
        <w:tc>
          <w:tcPr>
            <w:tcW w:w="8522" w:type="dxa"/>
            <w:tcBorders>
              <w:top w:val="nil"/>
              <w:left w:val="nil"/>
              <w:bottom w:val="nil"/>
              <w:right w:val="nil"/>
            </w:tcBorders>
            <w:shd w:val="clear" w:color="auto" w:fill="FFFFFF"/>
            <w:vAlign w:val="center"/>
          </w:tcPr>
          <w:p w14:paraId="27BF679E">
            <w:pPr>
              <w:numPr>
                <w:numId w:val="0"/>
              </w:numPr>
              <w:spacing w:beforeAutospacing="0"/>
              <w:jc w:val="center"/>
              <w:rPr>
                <w:rFonts w:hint="eastAsia"/>
                <w:b w:val="0"/>
                <w:color w:val="000000"/>
                <w:sz w:val="20"/>
                <w:szCs w:val="20"/>
                <w:vertAlign w:val="baseline"/>
                <w:lang w:val="en-US" w:eastAsia="zh-CN"/>
              </w:rPr>
            </w:pPr>
            <w:r>
              <w:rPr>
                <w:rFonts w:hint="eastAsia"/>
                <w:b w:val="0"/>
                <w:color w:val="000000"/>
                <w:sz w:val="20"/>
                <w:szCs w:val="20"/>
                <w:vertAlign w:val="baseline"/>
                <w:lang w:val="en-US" w:eastAsia="zh-CN"/>
              </w:rPr>
              <w:t>图4  20210701至20260701 不同类型标的收益对比</w:t>
            </w:r>
          </w:p>
        </w:tc>
      </w:tr>
    </w:tbl>
    <w:p w14:paraId="708D7CBA">
      <w:pPr>
        <w:numPr>
          <w:numId w:val="0"/>
        </w:numPr>
        <w:spacing w:beforeAutospacing="0"/>
        <w:rPr>
          <w:rFonts w:hint="eastAsia"/>
          <w:sz w:val="21"/>
          <w:szCs w:val="21"/>
          <w:lang w:val="en-US" w:eastAsia="zh-CN"/>
        </w:rPr>
      </w:pPr>
    </w:p>
    <w:p w14:paraId="750B544C">
      <w:pPr>
        <w:numPr>
          <w:numId w:val="0"/>
        </w:numPr>
        <w:spacing w:beforeAutospacing="0"/>
        <w:jc w:val="center"/>
        <w:rPr>
          <w:rFonts w:hint="default" w:ascii="黑体" w:hAnsi="黑体" w:eastAsia="黑体" w:cs="黑体"/>
          <w:sz w:val="20"/>
          <w:szCs w:val="20"/>
          <w:lang w:val="en-US" w:eastAsia="zh-CN"/>
        </w:rPr>
      </w:pPr>
      <w:r>
        <w:rPr>
          <w:rFonts w:hint="eastAsia" w:ascii="黑体" w:hAnsi="黑体" w:eastAsia="黑体" w:cs="黑体"/>
          <w:sz w:val="20"/>
          <w:szCs w:val="20"/>
          <w:lang w:val="en-US" w:eastAsia="zh-CN"/>
        </w:rPr>
        <w:t>表1  20210701至20260701 不同标的主要指标对比</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57"/>
        <w:gridCol w:w="1791"/>
        <w:gridCol w:w="1791"/>
        <w:gridCol w:w="1791"/>
        <w:gridCol w:w="1792"/>
      </w:tblGrid>
      <w:tr w14:paraId="59078140">
        <w:tc>
          <w:tcPr>
            <w:tcW w:w="1357" w:type="dxa"/>
            <w:tcBorders>
              <w:top w:val="single" w:color="000000" w:sz="12" w:space="0"/>
              <w:left w:val="nil"/>
              <w:bottom w:val="single" w:color="000000" w:sz="4" w:space="0"/>
              <w:right w:val="nil"/>
              <w:tl2br w:val="nil"/>
            </w:tcBorders>
            <w:shd w:val="clear" w:color="auto" w:fill="FFFFFF"/>
            <w:vAlign w:val="center"/>
          </w:tcPr>
          <w:p w14:paraId="09B5F581">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标的</w:t>
            </w:r>
          </w:p>
        </w:tc>
        <w:tc>
          <w:tcPr>
            <w:tcW w:w="1791" w:type="dxa"/>
            <w:tcBorders>
              <w:top w:val="single" w:color="000000" w:sz="12" w:space="0"/>
              <w:left w:val="nil"/>
              <w:bottom w:val="single" w:color="000000" w:sz="4" w:space="0"/>
              <w:right w:val="nil"/>
            </w:tcBorders>
            <w:shd w:val="clear" w:color="auto" w:fill="FFFFFF"/>
            <w:vAlign w:val="center"/>
          </w:tcPr>
          <w:p w14:paraId="6E079CB5">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年化收益率</w:t>
            </w:r>
            <w:r>
              <w:rPr>
                <w:rFonts w:hint="default"/>
                <w:b w:val="0"/>
                <w:color w:val="000000"/>
                <w:sz w:val="21"/>
                <w:szCs w:val="21"/>
                <w:vertAlign w:val="baseline"/>
                <w:lang w:val="en-US" w:eastAsia="zh-CN"/>
              </w:rPr>
              <w:t xml:space="preserve"> (%)</w:t>
            </w:r>
          </w:p>
        </w:tc>
        <w:tc>
          <w:tcPr>
            <w:tcW w:w="1791" w:type="dxa"/>
            <w:tcBorders>
              <w:top w:val="single" w:color="000000" w:sz="12" w:space="0"/>
              <w:left w:val="nil"/>
              <w:bottom w:val="single" w:color="000000" w:sz="4" w:space="0"/>
              <w:right w:val="nil"/>
            </w:tcBorders>
            <w:shd w:val="clear" w:color="auto" w:fill="FFFFFF"/>
            <w:vAlign w:val="center"/>
          </w:tcPr>
          <w:p w14:paraId="25DC9E10">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夏普比率</w:t>
            </w:r>
          </w:p>
        </w:tc>
        <w:tc>
          <w:tcPr>
            <w:tcW w:w="1791" w:type="dxa"/>
            <w:tcBorders>
              <w:top w:val="single" w:color="000000" w:sz="12" w:space="0"/>
              <w:left w:val="nil"/>
              <w:bottom w:val="single" w:color="000000" w:sz="4" w:space="0"/>
              <w:right w:val="nil"/>
            </w:tcBorders>
            <w:shd w:val="clear" w:color="auto" w:fill="FFFFFF"/>
            <w:vAlign w:val="center"/>
          </w:tcPr>
          <w:p w14:paraId="03B53561">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最大回撤</w:t>
            </w:r>
            <w:r>
              <w:rPr>
                <w:rFonts w:hint="default"/>
                <w:b w:val="0"/>
                <w:color w:val="000000"/>
                <w:sz w:val="21"/>
                <w:szCs w:val="21"/>
                <w:vertAlign w:val="baseline"/>
                <w:lang w:val="en-US" w:eastAsia="zh-CN"/>
              </w:rPr>
              <w:t xml:space="preserve"> (%)</w:t>
            </w:r>
          </w:p>
        </w:tc>
        <w:tc>
          <w:tcPr>
            <w:tcW w:w="1792" w:type="dxa"/>
            <w:tcBorders>
              <w:top w:val="single" w:color="000000" w:sz="12" w:space="0"/>
              <w:left w:val="nil"/>
              <w:bottom w:val="single" w:color="000000" w:sz="4" w:space="0"/>
              <w:right w:val="nil"/>
            </w:tcBorders>
            <w:shd w:val="clear" w:color="auto" w:fill="FFFFFF"/>
            <w:vAlign w:val="center"/>
          </w:tcPr>
          <w:p w14:paraId="69B5717E">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胜率</w:t>
            </w:r>
            <w:r>
              <w:rPr>
                <w:rFonts w:hint="default"/>
                <w:b w:val="0"/>
                <w:color w:val="000000"/>
                <w:sz w:val="21"/>
                <w:szCs w:val="21"/>
                <w:vertAlign w:val="baseline"/>
                <w:lang w:val="en-US" w:eastAsia="zh-CN"/>
              </w:rPr>
              <w:t xml:space="preserve"> (%)</w:t>
            </w:r>
          </w:p>
        </w:tc>
      </w:tr>
      <w:tr w14:paraId="1616D24B">
        <w:tc>
          <w:tcPr>
            <w:tcW w:w="1357" w:type="dxa"/>
            <w:tcBorders>
              <w:top w:val="single" w:color="000000" w:sz="4" w:space="0"/>
              <w:left w:val="nil"/>
              <w:bottom w:val="nil"/>
              <w:right w:val="nil"/>
            </w:tcBorders>
            <w:shd w:val="clear" w:color="auto" w:fill="FFFFFF"/>
            <w:vAlign w:val="center"/>
          </w:tcPr>
          <w:p w14:paraId="30251E20">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寒武纪</w:t>
            </w:r>
          </w:p>
        </w:tc>
        <w:tc>
          <w:tcPr>
            <w:tcW w:w="1791" w:type="dxa"/>
            <w:tcBorders>
              <w:top w:val="single" w:color="000000" w:sz="4" w:space="0"/>
              <w:left w:val="nil"/>
              <w:bottom w:val="nil"/>
              <w:right w:val="nil"/>
            </w:tcBorders>
            <w:shd w:val="clear" w:color="auto" w:fill="FFFFFF"/>
            <w:vAlign w:val="center"/>
          </w:tcPr>
          <w:p w14:paraId="5D31CF9E">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57.38</w:t>
            </w:r>
          </w:p>
        </w:tc>
        <w:tc>
          <w:tcPr>
            <w:tcW w:w="1791" w:type="dxa"/>
            <w:tcBorders>
              <w:top w:val="single" w:color="000000" w:sz="4" w:space="0"/>
              <w:left w:val="nil"/>
              <w:bottom w:val="nil"/>
              <w:right w:val="nil"/>
            </w:tcBorders>
            <w:shd w:val="clear" w:color="auto" w:fill="FFFFFF"/>
            <w:vAlign w:val="center"/>
          </w:tcPr>
          <w:p w14:paraId="09F35C3C">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1.09</w:t>
            </w:r>
          </w:p>
        </w:tc>
        <w:tc>
          <w:tcPr>
            <w:tcW w:w="1791" w:type="dxa"/>
            <w:tcBorders>
              <w:top w:val="single" w:color="000000" w:sz="4" w:space="0"/>
              <w:left w:val="nil"/>
              <w:bottom w:val="nil"/>
              <w:right w:val="nil"/>
            </w:tcBorders>
            <w:shd w:val="clear" w:color="auto" w:fill="FFFFFF"/>
            <w:vAlign w:val="center"/>
          </w:tcPr>
          <w:p w14:paraId="0316D6A3">
            <w:pPr>
              <w:numPr>
                <w:numId w:val="0"/>
              </w:numPr>
              <w:spacing w:beforeAutospacing="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-56.70</w:t>
            </w:r>
          </w:p>
        </w:tc>
        <w:tc>
          <w:tcPr>
            <w:tcW w:w="1792" w:type="dxa"/>
            <w:tcBorders>
              <w:top w:val="single" w:color="000000" w:sz="4" w:space="0"/>
              <w:left w:val="nil"/>
              <w:bottom w:val="nil"/>
              <w:right w:val="nil"/>
            </w:tcBorders>
            <w:shd w:val="clear" w:color="auto" w:fill="FFFFFF"/>
            <w:vAlign w:val="center"/>
          </w:tcPr>
          <w:p w14:paraId="1BC6F4E0">
            <w:pPr>
              <w:numPr>
                <w:numId w:val="0"/>
              </w:numPr>
              <w:spacing w:beforeAutospacing="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36.40</w:t>
            </w:r>
          </w:p>
        </w:tc>
      </w:tr>
      <w:tr w14:paraId="4EECB6B4">
        <w:tc>
          <w:tcPr>
            <w:tcW w:w="1357" w:type="dxa"/>
            <w:tcBorders>
              <w:top w:val="nil"/>
              <w:left w:val="nil"/>
              <w:bottom w:val="single" w:color="000000" w:sz="12" w:space="0"/>
              <w:right w:val="nil"/>
            </w:tcBorders>
            <w:shd w:val="clear" w:color="auto" w:fill="FFFFFF"/>
            <w:vAlign w:val="center"/>
          </w:tcPr>
          <w:p w14:paraId="02AE9886">
            <w:pPr>
              <w:numPr>
                <w:numId w:val="0"/>
              </w:numPr>
              <w:spacing w:beforeAutospacing="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贵州茅台</w:t>
            </w:r>
          </w:p>
        </w:tc>
        <w:tc>
          <w:tcPr>
            <w:tcW w:w="1791" w:type="dxa"/>
            <w:tcBorders>
              <w:top w:val="nil"/>
              <w:left w:val="nil"/>
              <w:bottom w:val="single" w:color="000000" w:sz="12" w:space="0"/>
              <w:right w:val="nil"/>
            </w:tcBorders>
            <w:shd w:val="clear" w:color="auto" w:fill="FFFFFF"/>
            <w:vAlign w:val="center"/>
          </w:tcPr>
          <w:p w14:paraId="76306763">
            <w:pPr>
              <w:numPr>
                <w:numId w:val="0"/>
              </w:numPr>
              <w:spacing w:beforeAutospacing="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-6.41</w:t>
            </w:r>
          </w:p>
        </w:tc>
        <w:tc>
          <w:tcPr>
            <w:tcW w:w="1791" w:type="dxa"/>
            <w:tcBorders>
              <w:top w:val="nil"/>
              <w:left w:val="nil"/>
              <w:bottom w:val="single" w:color="000000" w:sz="12" w:space="0"/>
              <w:right w:val="nil"/>
            </w:tcBorders>
            <w:shd w:val="clear" w:color="auto" w:fill="FFFFFF"/>
            <w:vAlign w:val="center"/>
          </w:tcPr>
          <w:p w14:paraId="1C6419B7">
            <w:pPr>
              <w:numPr>
                <w:numId w:val="0"/>
              </w:numPr>
              <w:spacing w:beforeAutospacing="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-0.35</w:t>
            </w:r>
          </w:p>
        </w:tc>
        <w:tc>
          <w:tcPr>
            <w:tcW w:w="1791" w:type="dxa"/>
            <w:tcBorders>
              <w:top w:val="nil"/>
              <w:left w:val="nil"/>
              <w:bottom w:val="single" w:color="000000" w:sz="12" w:space="0"/>
              <w:right w:val="nil"/>
            </w:tcBorders>
            <w:shd w:val="clear" w:color="auto" w:fill="FFFFFF"/>
            <w:vAlign w:val="center"/>
          </w:tcPr>
          <w:p w14:paraId="1A9A5B53">
            <w:pPr>
              <w:numPr>
                <w:numId w:val="0"/>
              </w:numPr>
              <w:spacing w:beforeAutospacing="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-45.33</w:t>
            </w:r>
          </w:p>
        </w:tc>
        <w:tc>
          <w:tcPr>
            <w:tcW w:w="1792" w:type="dxa"/>
            <w:tcBorders>
              <w:top w:val="nil"/>
              <w:left w:val="nil"/>
              <w:bottom w:val="single" w:color="000000" w:sz="12" w:space="0"/>
              <w:right w:val="nil"/>
            </w:tcBorders>
            <w:shd w:val="clear" w:color="auto" w:fill="FFFFFF"/>
            <w:vAlign w:val="center"/>
          </w:tcPr>
          <w:p w14:paraId="04317C28">
            <w:pPr>
              <w:numPr>
                <w:numId w:val="0"/>
              </w:numPr>
              <w:spacing w:beforeAutospacing="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25.00</w:t>
            </w:r>
          </w:p>
        </w:tc>
      </w:tr>
    </w:tbl>
    <w:p w14:paraId="7CCF7395">
      <w:pPr>
        <w:numPr>
          <w:numId w:val="0"/>
        </w:numPr>
        <w:spacing w:beforeAutospacing="0"/>
        <w:rPr>
          <w:rFonts w:hint="eastAsia"/>
          <w:sz w:val="21"/>
          <w:szCs w:val="21"/>
          <w:lang w:val="en-US" w:eastAsia="zh-CN"/>
        </w:rPr>
      </w:pPr>
    </w:p>
    <w:p w14:paraId="0CD03279">
      <w:pPr>
        <w:numPr>
          <w:numId w:val="0"/>
        </w:numPr>
        <w:spacing w:beforeAutospacing="0"/>
        <w:ind w:firstLine="420" w:firstLineChars="200"/>
        <w:rPr>
          <w:rFonts w:hint="eastAsia"/>
          <w:sz w:val="21"/>
          <w:szCs w:val="21"/>
          <w:lang w:val="en-US" w:eastAsia="zh-CN"/>
        </w:rPr>
      </w:pPr>
      <w:r>
        <w:rPr>
          <w:rFonts w:hint="eastAsia"/>
          <w:sz w:val="21"/>
          <w:szCs w:val="21"/>
          <w:lang w:val="en-US" w:eastAsia="zh-CN"/>
        </w:rPr>
        <w:t>在保持双均线参数完全一致的情况下，不同股票标的的策略表现存在明显差异。本次实验分别对寒武纪和贵州茅台进行了回测，结果表明，双均线策略在寒武纪上的收益明显优于贵州茅台。结合价格走势可以发现，寒武纪在回测期间整体呈现出较为明显的单边上涨趋势，股价上涨阶段持续时间较长，趋势特征清晰。当短期均线向上突破长期均线时，策略能够较早建立仓位，并在上涨趋势持续期间一直持有；当趋势结束、均线形成死叉时，再及时退出市场。从回测图中可以直观地观察到，策略基本能够在每一轮主要上涨行情的初期完成买入，在上涨结束后完成卖出，因此获得了较好的累计收益。</w:t>
      </w:r>
    </w:p>
    <w:p w14:paraId="21559FF2">
      <w:pPr>
        <w:numPr>
          <w:numId w:val="0"/>
        </w:numPr>
        <w:spacing w:beforeAutospacing="0"/>
        <w:ind w:firstLine="420" w:firstLineChars="200"/>
        <w:rPr>
          <w:rFonts w:hint="default"/>
          <w:sz w:val="21"/>
          <w:szCs w:val="21"/>
          <w:lang w:val="en-US" w:eastAsia="zh-CN"/>
        </w:rPr>
      </w:pPr>
      <w:r>
        <w:rPr>
          <w:rFonts w:hint="eastAsia"/>
          <w:sz w:val="21"/>
          <w:szCs w:val="21"/>
          <w:lang w:val="en-US" w:eastAsia="zh-CN"/>
        </w:rPr>
        <w:t>相比之下，贵州茅台在回测区间内的价格走势相对更加平稳，阶段性震荡较多，缺乏持续且显著的单边趋势。在这种市场环境下，均线交叉更多反映的是价格的短期波动，而非真正的趋势转换，容易产生较多滞后的交易信号，导致策略难以获得持续收益。这印证了</w:t>
      </w:r>
      <w:bookmarkStart w:id="0" w:name="_GoBack"/>
      <w:bookmarkEnd w:id="0"/>
      <w:r>
        <w:rPr>
          <w:rFonts w:hint="eastAsia"/>
          <w:sz w:val="21"/>
          <w:szCs w:val="21"/>
          <w:lang w:val="en-US" w:eastAsia="zh-CN"/>
        </w:rPr>
        <w:t>双均线策略本质上属于一种趋势跟踪策略，其盈利能力高度依赖于标的是否具有持续的趋势行情。当股票处于明显的上涨或下跌趋势时，策略能够充分发挥“让利润奔跑”的优势；而在横盘震荡市场中，则容易受到频繁交叉信号的影响，出现收益下降甚至连续亏损。因此，在实际应用中，应优先选择趋势性较强、方向明确的股票或市场环境来使用双均线策略，并结合趋势强度指标或波动率指标对震荡行情进行过滤，以进一步提升策略的稳定性和收益表现。</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Times New Roman Italic">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Arial">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 w:name="儷宋 Pro">
    <w:panose1 w:val="02020300000000000000"/>
    <w:charset w:val="88"/>
    <w:family w:val="auto"/>
    <w:pitch w:val="default"/>
    <w:sig w:usb0="80000001" w:usb1="28091800" w:usb2="00000016" w:usb3="00000000" w:csb0="0010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DCA61C"/>
    <w:multiLevelType w:val="singleLevel"/>
    <w:tmpl w:val="D1DCA61C"/>
    <w:lvl w:ilvl="0" w:tentative="0">
      <w:start w:val="1"/>
      <w:numFmt w:val="decimal"/>
      <w:suff w:val="space"/>
      <w:lvlText w:val="%1）"/>
      <w:lvlJc w:val="left"/>
      <w:rPr>
        <w:rFonts w:hint="default"/>
        <w:color w:val="2E54A1" w:themeColor="accent1" w:themeShade="BF"/>
      </w:rPr>
    </w:lvl>
  </w:abstractNum>
  <w:abstractNum w:abstractNumId="1">
    <w:nsid w:val="F6DF4859"/>
    <w:multiLevelType w:val="singleLevel"/>
    <w:tmpl w:val="F6DF4859"/>
    <w:lvl w:ilvl="0" w:tentative="0">
      <w:start w:val="1"/>
      <w:numFmt w:val="decimal"/>
      <w:suff w:val="space"/>
      <w:lvlText w:val="%1."/>
      <w:lvlJc w:val="left"/>
    </w:lvl>
  </w:abstractNum>
  <w:abstractNum w:abstractNumId="2">
    <w:nsid w:val="53F4C467"/>
    <w:multiLevelType w:val="singleLevel"/>
    <w:tmpl w:val="53F4C467"/>
    <w:lvl w:ilvl="0" w:tentative="0">
      <w:start w:val="1"/>
      <w:numFmt w:val="decimal"/>
      <w:suff w:val="space"/>
      <w:lvlText w:val="%1）"/>
      <w:lvlJc w:val="left"/>
      <w:rPr>
        <w:rFonts w:hint="default"/>
        <w:color w:val="2E54A1" w:themeColor="accent1" w:themeShade="BF"/>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E259F"/>
    <w:rsid w:val="0CEBE92B"/>
    <w:rsid w:val="1BAEA4CF"/>
    <w:rsid w:val="1BFF1276"/>
    <w:rsid w:val="1F3F4309"/>
    <w:rsid w:val="1F7F78A3"/>
    <w:rsid w:val="237DFF2A"/>
    <w:rsid w:val="2F7B7B61"/>
    <w:rsid w:val="31F77052"/>
    <w:rsid w:val="33CF7C6E"/>
    <w:rsid w:val="37BF2AAE"/>
    <w:rsid w:val="37F73F08"/>
    <w:rsid w:val="3AE5EBE1"/>
    <w:rsid w:val="3B6FEE2E"/>
    <w:rsid w:val="3BBFB033"/>
    <w:rsid w:val="3D6F7E98"/>
    <w:rsid w:val="3DFED86E"/>
    <w:rsid w:val="3ECF5133"/>
    <w:rsid w:val="3EF1241A"/>
    <w:rsid w:val="3F3F9E8C"/>
    <w:rsid w:val="3F9AA8BD"/>
    <w:rsid w:val="3FA304CC"/>
    <w:rsid w:val="3FDF7FF3"/>
    <w:rsid w:val="3FEE85FB"/>
    <w:rsid w:val="3FFED556"/>
    <w:rsid w:val="3FFEFD94"/>
    <w:rsid w:val="45771370"/>
    <w:rsid w:val="4A6FB66A"/>
    <w:rsid w:val="51FEEF6A"/>
    <w:rsid w:val="5268D37B"/>
    <w:rsid w:val="54FCDF22"/>
    <w:rsid w:val="5576C641"/>
    <w:rsid w:val="5AFFF83F"/>
    <w:rsid w:val="5BBF761F"/>
    <w:rsid w:val="5DD056DF"/>
    <w:rsid w:val="5DFF1AEF"/>
    <w:rsid w:val="5DFFCEE2"/>
    <w:rsid w:val="5E3D2520"/>
    <w:rsid w:val="5E3F5782"/>
    <w:rsid w:val="5EBFD6FC"/>
    <w:rsid w:val="5EFD9ACE"/>
    <w:rsid w:val="5EFDC5DD"/>
    <w:rsid w:val="5F18E9E2"/>
    <w:rsid w:val="5F4DC241"/>
    <w:rsid w:val="5F571097"/>
    <w:rsid w:val="5F5E84EA"/>
    <w:rsid w:val="5F7DD0C5"/>
    <w:rsid w:val="5FAFD6E7"/>
    <w:rsid w:val="5FDFCD5C"/>
    <w:rsid w:val="5FDFD06F"/>
    <w:rsid w:val="5FE7E51F"/>
    <w:rsid w:val="5FEAD911"/>
    <w:rsid w:val="64F9932C"/>
    <w:rsid w:val="67595F80"/>
    <w:rsid w:val="67BF27C9"/>
    <w:rsid w:val="67CEB851"/>
    <w:rsid w:val="6BAC12F8"/>
    <w:rsid w:val="6BFFF0E4"/>
    <w:rsid w:val="6CFDF133"/>
    <w:rsid w:val="6DBF624C"/>
    <w:rsid w:val="6DF03171"/>
    <w:rsid w:val="6F76843B"/>
    <w:rsid w:val="6F7BF35C"/>
    <w:rsid w:val="6FA4B68F"/>
    <w:rsid w:val="6FDFF21D"/>
    <w:rsid w:val="6FF78BC9"/>
    <w:rsid w:val="6FFF96B1"/>
    <w:rsid w:val="719F7852"/>
    <w:rsid w:val="73BF0FAE"/>
    <w:rsid w:val="73FBE71D"/>
    <w:rsid w:val="744D54D3"/>
    <w:rsid w:val="75CD9EEA"/>
    <w:rsid w:val="76AF7767"/>
    <w:rsid w:val="76FD42CB"/>
    <w:rsid w:val="772B4B1C"/>
    <w:rsid w:val="77BE259F"/>
    <w:rsid w:val="77D54C03"/>
    <w:rsid w:val="77F78576"/>
    <w:rsid w:val="77FF486A"/>
    <w:rsid w:val="77FF70F6"/>
    <w:rsid w:val="77FFC3F1"/>
    <w:rsid w:val="797D58E5"/>
    <w:rsid w:val="79FF9348"/>
    <w:rsid w:val="7B674E06"/>
    <w:rsid w:val="7BDB0D84"/>
    <w:rsid w:val="7BDFCCB8"/>
    <w:rsid w:val="7BFFD899"/>
    <w:rsid w:val="7C79F6D2"/>
    <w:rsid w:val="7CAFF1C3"/>
    <w:rsid w:val="7CFE9FC9"/>
    <w:rsid w:val="7D2E99B5"/>
    <w:rsid w:val="7D76A2C4"/>
    <w:rsid w:val="7DA64C93"/>
    <w:rsid w:val="7DFEBC15"/>
    <w:rsid w:val="7E735EE1"/>
    <w:rsid w:val="7E7F0C57"/>
    <w:rsid w:val="7E8F4936"/>
    <w:rsid w:val="7EB54AB7"/>
    <w:rsid w:val="7EBD6660"/>
    <w:rsid w:val="7EC7B41E"/>
    <w:rsid w:val="7ED6962D"/>
    <w:rsid w:val="7EEF3FCB"/>
    <w:rsid w:val="7EEFD026"/>
    <w:rsid w:val="7EFFB4A4"/>
    <w:rsid w:val="7F2ED5FB"/>
    <w:rsid w:val="7F2F0DAF"/>
    <w:rsid w:val="7F2FC624"/>
    <w:rsid w:val="7F6999AA"/>
    <w:rsid w:val="7FBFFED1"/>
    <w:rsid w:val="7FC72B9D"/>
    <w:rsid w:val="7FD39940"/>
    <w:rsid w:val="7FF7DF0B"/>
    <w:rsid w:val="7FFA9556"/>
    <w:rsid w:val="7FFB3153"/>
    <w:rsid w:val="7FFD1654"/>
    <w:rsid w:val="7FFF2A3A"/>
    <w:rsid w:val="7FFFB157"/>
    <w:rsid w:val="8E7E9C26"/>
    <w:rsid w:val="96FF640D"/>
    <w:rsid w:val="9A8DB02A"/>
    <w:rsid w:val="9CAF24E2"/>
    <w:rsid w:val="9FBB75C0"/>
    <w:rsid w:val="9FF7AD70"/>
    <w:rsid w:val="A1FAF77E"/>
    <w:rsid w:val="A5FDECAE"/>
    <w:rsid w:val="A7F68109"/>
    <w:rsid w:val="A9FFBB60"/>
    <w:rsid w:val="AF5F0FF1"/>
    <w:rsid w:val="AF7E33A5"/>
    <w:rsid w:val="AFCFA4B6"/>
    <w:rsid w:val="AFFF000A"/>
    <w:rsid w:val="B36F7E20"/>
    <w:rsid w:val="B7E38A9A"/>
    <w:rsid w:val="B7FF3F02"/>
    <w:rsid w:val="B98F6E51"/>
    <w:rsid w:val="B997E07E"/>
    <w:rsid w:val="B9FFED75"/>
    <w:rsid w:val="BAB729BF"/>
    <w:rsid w:val="BABB9A6D"/>
    <w:rsid w:val="BBFB8196"/>
    <w:rsid w:val="BBFEFFF3"/>
    <w:rsid w:val="BBFFE941"/>
    <w:rsid w:val="BDEE16CF"/>
    <w:rsid w:val="BF2B963D"/>
    <w:rsid w:val="BF9E2002"/>
    <w:rsid w:val="BFDFADED"/>
    <w:rsid w:val="C08F9F3E"/>
    <w:rsid w:val="CFA7543A"/>
    <w:rsid w:val="CFBF98F8"/>
    <w:rsid w:val="CFDFE377"/>
    <w:rsid w:val="CFF79592"/>
    <w:rsid w:val="D7BF7B58"/>
    <w:rsid w:val="DBCFE823"/>
    <w:rsid w:val="DBFB5A41"/>
    <w:rsid w:val="DBFD910C"/>
    <w:rsid w:val="DCF911D0"/>
    <w:rsid w:val="DD83C2B3"/>
    <w:rsid w:val="DDFB1451"/>
    <w:rsid w:val="DDFC0CCE"/>
    <w:rsid w:val="DDFE23BB"/>
    <w:rsid w:val="DEFB3FE5"/>
    <w:rsid w:val="DF9C7175"/>
    <w:rsid w:val="DFA86BB3"/>
    <w:rsid w:val="DFF78105"/>
    <w:rsid w:val="DFFE13F7"/>
    <w:rsid w:val="E39D6617"/>
    <w:rsid w:val="E3BFC0CC"/>
    <w:rsid w:val="E3E319CD"/>
    <w:rsid w:val="E767200B"/>
    <w:rsid w:val="E8CEC30E"/>
    <w:rsid w:val="EADC0BE5"/>
    <w:rsid w:val="EBC536AD"/>
    <w:rsid w:val="EBF70659"/>
    <w:rsid w:val="EBFE4CCF"/>
    <w:rsid w:val="EC4BAB62"/>
    <w:rsid w:val="ECD3C184"/>
    <w:rsid w:val="ED3FE726"/>
    <w:rsid w:val="EDF9A115"/>
    <w:rsid w:val="EDFF1E4A"/>
    <w:rsid w:val="EE3E10CF"/>
    <w:rsid w:val="EE4F8E7D"/>
    <w:rsid w:val="EEFD9A5A"/>
    <w:rsid w:val="EF775582"/>
    <w:rsid w:val="EFB69B1C"/>
    <w:rsid w:val="EFE8DD2D"/>
    <w:rsid w:val="EFEF9A2F"/>
    <w:rsid w:val="EFF0FD36"/>
    <w:rsid w:val="EFF502C3"/>
    <w:rsid w:val="EFF7F6F3"/>
    <w:rsid w:val="EFFF5984"/>
    <w:rsid w:val="F2AE2B84"/>
    <w:rsid w:val="F2ED6F99"/>
    <w:rsid w:val="F33DA8DB"/>
    <w:rsid w:val="F3B7E29E"/>
    <w:rsid w:val="F3BF649E"/>
    <w:rsid w:val="F4DA4688"/>
    <w:rsid w:val="F4FB1B69"/>
    <w:rsid w:val="F5F7E47C"/>
    <w:rsid w:val="F5FF94F3"/>
    <w:rsid w:val="F6EB0D2F"/>
    <w:rsid w:val="F6F7B6D2"/>
    <w:rsid w:val="F74F19DB"/>
    <w:rsid w:val="F776B2B2"/>
    <w:rsid w:val="F7FB723F"/>
    <w:rsid w:val="F971A6D9"/>
    <w:rsid w:val="F97B2E06"/>
    <w:rsid w:val="FABF7C67"/>
    <w:rsid w:val="FBBBABA7"/>
    <w:rsid w:val="FBFF7AE2"/>
    <w:rsid w:val="FCF93E89"/>
    <w:rsid w:val="FDBF258B"/>
    <w:rsid w:val="FDCFB29D"/>
    <w:rsid w:val="FDDF195C"/>
    <w:rsid w:val="FDDFF4D9"/>
    <w:rsid w:val="FDEFCB53"/>
    <w:rsid w:val="FDFD45FB"/>
    <w:rsid w:val="FDFF48A3"/>
    <w:rsid w:val="FDFF7D52"/>
    <w:rsid w:val="FDFFD36A"/>
    <w:rsid w:val="FE357EA2"/>
    <w:rsid w:val="FEB458CC"/>
    <w:rsid w:val="FECDE4DE"/>
    <w:rsid w:val="FEF1A5A1"/>
    <w:rsid w:val="FEFF0AA0"/>
    <w:rsid w:val="FEFF4278"/>
    <w:rsid w:val="FF1A0235"/>
    <w:rsid w:val="FF9DE9D9"/>
    <w:rsid w:val="FFBD7F17"/>
    <w:rsid w:val="FFBDE282"/>
    <w:rsid w:val="FFC56BA0"/>
    <w:rsid w:val="FFCFA752"/>
    <w:rsid w:val="FFEFBE65"/>
    <w:rsid w:val="FFF3DDBD"/>
    <w:rsid w:val="FFFDACB6"/>
    <w:rsid w:val="FFFDF8A3"/>
    <w:rsid w:val="FFFF2373"/>
    <w:rsid w:val="FFFF2AE0"/>
    <w:rsid w:val="FFFF9680"/>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18"/>
      <w:lang w:val="en-US" w:eastAsia="zh-CN" w:bidi="ar-SA"/>
    </w:rPr>
  </w:style>
  <w:style w:type="paragraph" w:styleId="2">
    <w:name w:val="heading 1"/>
    <w:basedOn w:val="1"/>
    <w:next w:val="3"/>
    <w:link w:val="19"/>
    <w:qFormat/>
    <w:uiPriority w:val="0"/>
    <w:pPr>
      <w:keepNext/>
      <w:keepLines/>
      <w:widowControl/>
      <w:spacing w:before="50" w:beforeLines="50" w:after="50" w:afterLines="50" w:line="360" w:lineRule="atLeast"/>
      <w:jc w:val="center"/>
      <w:outlineLvl w:val="0"/>
    </w:pPr>
    <w:rPr>
      <w:rFonts w:eastAsia="黑体"/>
      <w:kern w:val="44"/>
      <w:sz w:val="32"/>
    </w:rPr>
  </w:style>
  <w:style w:type="paragraph" w:styleId="3">
    <w:name w:val="heading 2"/>
    <w:basedOn w:val="1"/>
    <w:next w:val="1"/>
    <w:semiHidden/>
    <w:unhideWhenUsed/>
    <w:qFormat/>
    <w:uiPriority w:val="0"/>
    <w:pPr>
      <w:keepNext/>
      <w:keepLines/>
      <w:spacing w:before="50" w:beforeLines="50" w:after="50" w:afterLines="50" w:line="360" w:lineRule="atLeast"/>
      <w:ind w:left="0"/>
      <w:jc w:val="both"/>
      <w:outlineLvl w:val="1"/>
    </w:pPr>
    <w:rPr>
      <w:rFonts w:eastAsia="黑体"/>
    </w:rPr>
  </w:style>
  <w:style w:type="paragraph" w:styleId="4">
    <w:name w:val="heading 3"/>
    <w:basedOn w:val="1"/>
    <w:next w:val="5"/>
    <w:semiHidden/>
    <w:unhideWhenUsed/>
    <w:qFormat/>
    <w:uiPriority w:val="0"/>
    <w:pPr>
      <w:keepNext/>
      <w:keepLines/>
      <w:spacing w:before="50" w:beforeLines="50" w:after="50" w:afterLines="50" w:line="360" w:lineRule="auto"/>
      <w:jc w:val="both"/>
      <w:outlineLvl w:val="2"/>
    </w:pPr>
    <w:rPr>
      <w:rFonts w:ascii="Times New Roman" w:hAnsi="Times New Roman" w:eastAsia="黑体" w:cs="Times New Roman"/>
      <w:sz w:val="24"/>
      <w:szCs w:val="18"/>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5">
    <w:name w:val="Normal Indent"/>
    <w:basedOn w:val="1"/>
    <w:uiPriority w:val="0"/>
    <w:pPr>
      <w:ind w:firstLine="420" w:firstLineChars="200"/>
    </w:p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uiPriority w:val="0"/>
    <w:pPr>
      <w:spacing w:line="360" w:lineRule="auto"/>
      <w:ind w:left="840" w:leftChars="400"/>
    </w:pPr>
    <w:rPr>
      <w:rFonts w:ascii="Times New Roman" w:hAnsi="Times New Roman" w:eastAsia="宋体" w:cs="Times New Roman"/>
      <w:sz w:val="24"/>
      <w:szCs w:val="18"/>
    </w:rPr>
  </w:style>
  <w:style w:type="paragraph" w:styleId="9">
    <w:name w:val="header"/>
    <w:basedOn w:val="1"/>
    <w:uiPriority w:val="0"/>
    <w:pPr>
      <w:pBdr>
        <w:bottom w:val="single" w:color="auto" w:sz="6" w:space="1"/>
      </w:pBdr>
      <w:tabs>
        <w:tab w:val="center" w:pos="4153"/>
        <w:tab w:val="right" w:pos="8306"/>
      </w:tabs>
      <w:snapToGrid w:val="0"/>
      <w:jc w:val="center"/>
    </w:pPr>
    <w:rPr>
      <w:rFonts w:eastAsia="楷体_GB2312"/>
    </w:rPr>
  </w:style>
  <w:style w:type="paragraph" w:styleId="10">
    <w:name w:val="toc 1"/>
    <w:basedOn w:val="1"/>
    <w:next w:val="1"/>
    <w:uiPriority w:val="0"/>
    <w:pPr>
      <w:tabs>
        <w:tab w:val="right" w:leader="dot" w:pos="9061"/>
      </w:tabs>
      <w:spacing w:line="360" w:lineRule="auto"/>
      <w:jc w:val="left"/>
    </w:pPr>
    <w:rPr>
      <w:rFonts w:ascii="Times New Roman" w:hAnsi="Times New Roman" w:eastAsia="黑体" w:cs="Times New Roman"/>
      <w:color w:val="222222"/>
      <w:sz w:val="24"/>
      <w:szCs w:val="32"/>
      <w:shd w:val="clear" w:color="auto" w:fill="FFFFFF"/>
      <w14:ligatures w14:val="standardContextual"/>
    </w:rPr>
  </w:style>
  <w:style w:type="paragraph" w:styleId="11">
    <w:name w:val="toc 2"/>
    <w:basedOn w:val="1"/>
    <w:next w:val="1"/>
    <w:uiPriority w:val="0"/>
    <w:pPr>
      <w:spacing w:line="360" w:lineRule="auto"/>
      <w:ind w:left="420" w:leftChars="200"/>
    </w:pPr>
    <w:rPr>
      <w:rFonts w:ascii="Times New Roman" w:hAnsi="Times New Roman" w:eastAsia="宋体" w:cs="Times New Roman"/>
      <w:sz w:val="24"/>
      <w:szCs w:val="18"/>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表头"/>
    <w:basedOn w:val="7"/>
    <w:next w:val="1"/>
    <w:uiPriority w:val="0"/>
    <w:pPr>
      <w:spacing w:before="120"/>
      <w:outlineLvl w:val="3"/>
    </w:pPr>
    <w:rPr>
      <w:rFonts w:ascii="Times New Roman" w:hAnsi="Times New Roman" w:eastAsia="黑体"/>
      <w:b/>
      <w:sz w:val="21"/>
    </w:rPr>
  </w:style>
  <w:style w:type="paragraph" w:customStyle="1" w:styleId="18">
    <w:name w:val="算法"/>
    <w:basedOn w:val="1"/>
    <w:next w:val="1"/>
    <w:uiPriority w:val="0"/>
    <w:pPr>
      <w:jc w:val="center"/>
    </w:pPr>
    <w:rPr>
      <w:rFonts w:hint="default" w:ascii="Times New Roman" w:hAnsi="Times New Roman" w:eastAsia="宋体"/>
      <w:sz w:val="21"/>
    </w:rPr>
  </w:style>
  <w:style w:type="character" w:customStyle="1" w:styleId="19">
    <w:name w:val="标题 1 Char"/>
    <w:link w:val="2"/>
    <w:uiPriority w:val="9"/>
    <w:rPr>
      <w:rFonts w:eastAsia="黑体"/>
      <w:kern w:val="44"/>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2026-07-06T18:30:00Z</dcterms:created>
  <dc:creator>王羿珧</dc:creator>
  <cp:lastModifiedBy>王羿珧</cp:lastModifiedBy>
  <dcterms:modified xsi:type="dcterms:W3CDTF">2026-07-11T21:21:38Z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2AFDAFC9759F3516BA834B6AEF6FD025_41</vt:lpwstr>
  </property>
</Properties>
</file>