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95FA6" w:rsidRPr="004537B3" w:rsidRDefault="00000000" w:rsidP="00814A5F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b/>
          <w:bCs/>
          <w:color w:val="C46C12"/>
          <w:sz w:val="24"/>
          <w:szCs w:val="24"/>
        </w:rPr>
        <w:t>FT. GROUP</w:t>
      </w:r>
    </w:p>
    <w:p w:rsidR="00B95FA6" w:rsidRPr="004537B3" w:rsidRDefault="00000000" w:rsidP="00814A5F">
      <w:pPr>
        <w:spacing w:after="4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b/>
          <w:bCs/>
          <w:sz w:val="24"/>
          <w:szCs w:val="24"/>
        </w:rPr>
        <w:t>Esquema de Base de Datos y Documentación Técnica</w:t>
      </w:r>
    </w:p>
    <w:p w:rsidR="00B95FA6" w:rsidRPr="004537B3" w:rsidRDefault="00000000" w:rsidP="00814A5F">
      <w:pPr>
        <w:spacing w:after="40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i/>
          <w:iCs/>
          <w:color w:val="555555"/>
          <w:sz w:val="24"/>
          <w:szCs w:val="24"/>
        </w:rPr>
        <w:t>Sistema Web de Gestión y División de Gastos Compartidos</w:t>
      </w:r>
    </w:p>
    <w:p w:rsidR="00B95FA6" w:rsidRPr="004537B3" w:rsidRDefault="00000000" w:rsidP="00814A5F">
      <w:pPr>
        <w:spacing w:before="120" w:after="20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Documento derivado de la propuesta "FT. GROUP (Sistema Web de Gestión y División de Gastos Compartidos)" </w:t>
      </w:r>
      <w:r w:rsidR="00B216CB">
        <w:rPr>
          <w:rFonts w:ascii="Times New Roman" w:hAnsi="Times New Roman" w:cs="Times New Roman"/>
          <w:i/>
          <w:iCs/>
          <w:color w:val="555555"/>
          <w:sz w:val="24"/>
          <w:szCs w:val="24"/>
        </w:rPr>
        <w:t>-</w:t>
      </w:r>
      <w:r w:rsidRPr="004537B3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 Universidad de San Buenaventura, </w:t>
      </w:r>
      <w:proofErr w:type="gramStart"/>
      <w:r w:rsidRPr="004537B3">
        <w:rPr>
          <w:rFonts w:ascii="Times New Roman" w:hAnsi="Times New Roman" w:cs="Times New Roman"/>
          <w:i/>
          <w:iCs/>
          <w:color w:val="555555"/>
          <w:sz w:val="24"/>
          <w:szCs w:val="24"/>
        </w:rPr>
        <w:t>Agosto</w:t>
      </w:r>
      <w:proofErr w:type="gramEnd"/>
      <w:r w:rsidRPr="004537B3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 de 2026. Las entidades, atributos y relaciones aquí presentadas son una propuesta de diseño técnico inferida a partir de los objetivos, módulos y arquitectura descritos en el documento original (autenticación JWT, gestión de grupos, motor de cálculo, historial, panel de usuario, escaneo de recibos por Deep </w:t>
      </w:r>
      <w:proofErr w:type="spellStart"/>
      <w:r w:rsidRPr="004537B3">
        <w:rPr>
          <w:rFonts w:ascii="Times New Roman" w:hAnsi="Times New Roman" w:cs="Times New Roman"/>
          <w:i/>
          <w:iCs/>
          <w:color w:val="555555"/>
          <w:sz w:val="24"/>
          <w:szCs w:val="24"/>
        </w:rPr>
        <w:t>Learning</w:t>
      </w:r>
      <w:proofErr w:type="spellEnd"/>
      <w:r w:rsidRPr="004537B3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 y reportes).</w:t>
      </w:r>
    </w:p>
    <w:p w:rsidR="00B95FA6" w:rsidRPr="00814A5F" w:rsidRDefault="00000000" w:rsidP="00814A5F">
      <w:pPr>
        <w:pStyle w:val="Ttulo1"/>
        <w:spacing w:before="360" w:after="1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14A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Alcance del diseño</w:t>
      </w:r>
    </w:p>
    <w:p w:rsidR="00B95FA6" w:rsidRPr="004537B3" w:rsidRDefault="00000000" w:rsidP="00814A5F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El diseño cubre los 7 módulos funcionales descritos en la propuesta: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B95FA6" w:rsidRPr="004537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Módulo</w:t>
            </w:r>
          </w:p>
        </w:tc>
        <w:tc>
          <w:tcPr>
            <w:tcW w:w="615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Entidades de datos asociadas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Autenticación</w:t>
            </w:r>
          </w:p>
        </w:tc>
        <w:tc>
          <w:tcPr>
            <w:tcW w:w="6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USUARIO, REFRESH_TOKEN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Gestión de grupos</w:t>
            </w:r>
          </w:p>
        </w:tc>
        <w:tc>
          <w:tcPr>
            <w:tcW w:w="6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GRUPO, MIEMBRO_GRUPO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Registro de gastos</w:t>
            </w:r>
          </w:p>
        </w:tc>
        <w:tc>
          <w:tcPr>
            <w:tcW w:w="6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GASTO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Motor de cálculo</w:t>
            </w:r>
          </w:p>
        </w:tc>
        <w:tc>
          <w:tcPr>
            <w:tcW w:w="6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DIVISION_GASTO, BALANCE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Historial financiero</w:t>
            </w:r>
          </w:p>
        </w:tc>
        <w:tc>
          <w:tcPr>
            <w:tcW w:w="6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HISTORIAL_MOVIMIENTO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Panel de usuario</w:t>
            </w:r>
          </w:p>
        </w:tc>
        <w:tc>
          <w:tcPr>
            <w:tcW w:w="6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NOTIFICACION (+ vistas sobre BALANCE/GASTO)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Escaneo inteligente de recibos (Deep </w:t>
            </w: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Learning</w:t>
            </w:r>
            <w:proofErr w:type="spell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RECIBO_ESCANEADO</w:t>
            </w:r>
          </w:p>
        </w:tc>
      </w:tr>
    </w:tbl>
    <w:p w:rsidR="004537B3" w:rsidRDefault="004537B3" w:rsidP="00814A5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5FA6" w:rsidRPr="004537B3" w:rsidRDefault="00000000" w:rsidP="00814A5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37B3">
        <w:rPr>
          <w:rFonts w:ascii="Times New Roman" w:hAnsi="Times New Roman" w:cs="Times New Roman"/>
          <w:b/>
          <w:bCs/>
          <w:sz w:val="24"/>
          <w:szCs w:val="24"/>
        </w:rPr>
        <w:t>2. Modelo entidad-relación (resumen)</w:t>
      </w:r>
    </w:p>
    <w:p w:rsidR="00B95FA6" w:rsidRPr="004537B3" w:rsidRDefault="00000000" w:rsidP="00814A5F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Relaciones principales entre entidades: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Un USUARIO puede crear varios GRUPO (</w:t>
      </w:r>
      <w:proofErr w:type="gramStart"/>
      <w:r w:rsidRPr="004537B3">
        <w:rPr>
          <w:rFonts w:ascii="Times New Roman" w:hAnsi="Times New Roman" w:cs="Times New Roman"/>
          <w:sz w:val="24"/>
          <w:szCs w:val="24"/>
        </w:rPr>
        <w:t>1:N</w:t>
      </w:r>
      <w:proofErr w:type="gramEnd"/>
      <w:r w:rsidRPr="004537B3">
        <w:rPr>
          <w:rFonts w:ascii="Times New Roman" w:hAnsi="Times New Roman" w:cs="Times New Roman"/>
          <w:sz w:val="24"/>
          <w:szCs w:val="24"/>
        </w:rPr>
        <w:t>).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Un USUARIO participa en varios GRUPO a través de MIEMBRO_GRUPO (relación N:M resuelta con tabla intermedia, incluye rol: administrador/miembro).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Un GRUPO contiene varios GASTO; cada GASTO tiene un único usuario pagador.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Cada GASTO se descompone en varias filas de DIVISION_GASTO (una por cada usuario que debe pagar su parte) — aquí vive el "cálculo de participaciones".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BALANCE almacena el saldo neto consolidado entre pares de usuarios dentro de un grupo (quién le debe a quién), recalculado por el motor de cálculo cada vez que cambia un gasto o un pago.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HISTORIAL_MOVIMIENTO es un log de trazabilidad (auditoría) de toda acción financiera relevante, ligada opcionalmente a un gasto.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 xml:space="preserve">RECIBO_ESCANEADO guarda el resultado crudo del pipeline de OCR/Deep </w:t>
      </w:r>
      <w:proofErr w:type="spellStart"/>
      <w:r w:rsidRPr="004537B3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 xml:space="preserve"> antes/después de la confirmación del usuario, y se enlaza 1:1 (opcional) con el GASTO que finalmente se registra.</w:t>
      </w:r>
    </w:p>
    <w:p w:rsidR="00B95FA6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NOTIFICACION y REFRESH_TOKEN son tablas de soporte para el panel de usuario y la autenticación, respectivamente.</w:t>
      </w:r>
    </w:p>
    <w:p w:rsidR="00814A5F" w:rsidRPr="00814A5F" w:rsidRDefault="00814A5F" w:rsidP="00814A5F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</w:p>
    <w:p w:rsidR="00B95FA6" w:rsidRPr="004537B3" w:rsidRDefault="00000000" w:rsidP="00814A5F">
      <w:pPr>
        <w:spacing w:before="200" w:after="1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Diagrama:</w:t>
      </w:r>
    </w:p>
    <w:p w:rsidR="00B95FA6" w:rsidRPr="004537B3" w:rsidRDefault="00000000" w:rsidP="00814A5F">
      <w:pPr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05500" cy="23145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7B3" w:rsidRPr="004537B3" w:rsidRDefault="004537B3" w:rsidP="00814A5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95FA6" w:rsidRPr="004537B3" w:rsidRDefault="00000000" w:rsidP="00814A5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37B3">
        <w:rPr>
          <w:rFonts w:ascii="Times New Roman" w:hAnsi="Times New Roman" w:cs="Times New Roman"/>
          <w:b/>
          <w:bCs/>
          <w:sz w:val="24"/>
          <w:szCs w:val="24"/>
        </w:rPr>
        <w:t>3. Diccionario de datos (DDL lógico)</w:t>
      </w:r>
    </w:p>
    <w:p w:rsidR="00B95FA6" w:rsidRPr="004537B3" w:rsidRDefault="00000000" w:rsidP="00814A5F">
      <w:pPr>
        <w:pStyle w:val="Ttulo3"/>
        <w:spacing w:before="200" w:after="100"/>
        <w:jc w:val="both"/>
        <w:rPr>
          <w:rFonts w:ascii="Times New Roman" w:hAnsi="Times New Roman" w:cs="Times New Roman"/>
          <w:color w:val="000000" w:themeColor="text1"/>
        </w:rPr>
      </w:pPr>
      <w:r w:rsidRPr="004537B3">
        <w:rPr>
          <w:rFonts w:ascii="Times New Roman" w:hAnsi="Times New Roman" w:cs="Times New Roman"/>
          <w:color w:val="000000" w:themeColor="text1"/>
        </w:rPr>
        <w:t>3.1 USUARIO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3806"/>
        <w:gridCol w:w="3409"/>
      </w:tblGrid>
      <w:tr w:rsidR="00B95FA6" w:rsidRPr="004537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260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35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Restricciones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PK, </w:t>
            </w: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autoincremental</w:t>
            </w:r>
            <w:proofErr w:type="spellEnd"/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120)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150)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NOT NULL, UNIQUE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NOT NULL (hash </w:t>
            </w: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telefono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fecha_registro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NOT NULL, DEFAULT </w:t>
            </w:r>
            <w:proofErr w:type="spellStart"/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now</w:t>
            </w:r>
            <w:proofErr w:type="spell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ENUM('</w:t>
            </w: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activo','inactivo','bloqueado</w:t>
            </w:r>
            <w:proofErr w:type="spell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NOT NULL, DEFAULT 'activo'</w:t>
            </w:r>
          </w:p>
        </w:tc>
      </w:tr>
    </w:tbl>
    <w:p w:rsidR="00B95FA6" w:rsidRPr="004537B3" w:rsidRDefault="00B95FA6" w:rsidP="00814A5F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:rsidR="00B95FA6" w:rsidRPr="004537B3" w:rsidRDefault="00000000" w:rsidP="00814A5F">
      <w:pPr>
        <w:pStyle w:val="Ttulo3"/>
        <w:spacing w:before="200" w:after="100"/>
        <w:jc w:val="both"/>
        <w:rPr>
          <w:rFonts w:ascii="Times New Roman" w:hAnsi="Times New Roman" w:cs="Times New Roman"/>
          <w:color w:val="000000" w:themeColor="text1"/>
        </w:rPr>
      </w:pPr>
      <w:r w:rsidRPr="004537B3">
        <w:rPr>
          <w:rFonts w:ascii="Times New Roman" w:hAnsi="Times New Roman" w:cs="Times New Roman"/>
          <w:color w:val="000000" w:themeColor="text1"/>
        </w:rPr>
        <w:t>3.2 REFRESH_TOKEN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350"/>
      </w:tblGrid>
      <w:tr w:rsidR="00B95FA6" w:rsidRPr="004537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260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35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Restricciones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usuario_id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USUARIO(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id), NOT 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500)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NOT NULL, UNIQUE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fecha_creacion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fecha_expiracion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revocado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NOT NULL, DEFAULT false</w:t>
            </w:r>
          </w:p>
        </w:tc>
      </w:tr>
    </w:tbl>
    <w:p w:rsidR="00B95FA6" w:rsidRPr="004537B3" w:rsidRDefault="00B95FA6" w:rsidP="00814A5F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:rsidR="004537B3" w:rsidRDefault="004537B3" w:rsidP="00814A5F">
      <w:pPr>
        <w:pStyle w:val="Ttulo3"/>
        <w:spacing w:before="200" w:after="100"/>
        <w:jc w:val="both"/>
        <w:rPr>
          <w:rFonts w:ascii="Times New Roman" w:hAnsi="Times New Roman" w:cs="Times New Roman"/>
          <w:color w:val="000000" w:themeColor="text1"/>
        </w:rPr>
      </w:pPr>
    </w:p>
    <w:p w:rsidR="004537B3" w:rsidRDefault="004537B3" w:rsidP="00814A5F">
      <w:pPr>
        <w:pStyle w:val="Ttulo3"/>
        <w:spacing w:before="200" w:after="100"/>
        <w:jc w:val="both"/>
        <w:rPr>
          <w:rFonts w:ascii="Times New Roman" w:hAnsi="Times New Roman" w:cs="Times New Roman"/>
          <w:color w:val="000000" w:themeColor="text1"/>
        </w:rPr>
      </w:pPr>
    </w:p>
    <w:p w:rsidR="00B95FA6" w:rsidRPr="004537B3" w:rsidRDefault="00000000" w:rsidP="00814A5F">
      <w:pPr>
        <w:pStyle w:val="Ttulo3"/>
        <w:spacing w:before="200" w:after="100"/>
        <w:jc w:val="both"/>
        <w:rPr>
          <w:rFonts w:ascii="Times New Roman" w:hAnsi="Times New Roman" w:cs="Times New Roman"/>
          <w:color w:val="000000" w:themeColor="text1"/>
        </w:rPr>
      </w:pPr>
      <w:r w:rsidRPr="004537B3">
        <w:rPr>
          <w:rFonts w:ascii="Times New Roman" w:hAnsi="Times New Roman" w:cs="Times New Roman"/>
          <w:color w:val="000000" w:themeColor="text1"/>
        </w:rPr>
        <w:lastRenderedPageBreak/>
        <w:t>3.3 GRUPO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9"/>
        <w:gridCol w:w="2833"/>
        <w:gridCol w:w="4168"/>
      </w:tblGrid>
      <w:tr w:rsidR="00B95FA6" w:rsidRPr="004537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260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35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Restricciones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120)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descripcion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creado_por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USUARIO(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id), NOT 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fecha_creacion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NOT NULL, DEFAULT </w:t>
            </w:r>
            <w:proofErr w:type="spellStart"/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now</w:t>
            </w:r>
            <w:proofErr w:type="spell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ENUM('</w:t>
            </w: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activo','archivado</w:t>
            </w:r>
            <w:proofErr w:type="spell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NOT NULL, DEFAULT 'activo'</w:t>
            </w:r>
          </w:p>
        </w:tc>
      </w:tr>
    </w:tbl>
    <w:p w:rsidR="00B95FA6" w:rsidRPr="004537B3" w:rsidRDefault="00B95FA6" w:rsidP="00814A5F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:rsidR="00B95FA6" w:rsidRPr="004537B3" w:rsidRDefault="00000000" w:rsidP="00814A5F">
      <w:pPr>
        <w:pStyle w:val="Ttulo3"/>
        <w:spacing w:before="200" w:after="100"/>
        <w:jc w:val="both"/>
        <w:rPr>
          <w:rFonts w:ascii="Times New Roman" w:hAnsi="Times New Roman" w:cs="Times New Roman"/>
          <w:color w:val="000000" w:themeColor="text1"/>
        </w:rPr>
      </w:pPr>
      <w:r w:rsidRPr="004537B3">
        <w:rPr>
          <w:rFonts w:ascii="Times New Roman" w:hAnsi="Times New Roman" w:cs="Times New Roman"/>
          <w:color w:val="000000" w:themeColor="text1"/>
        </w:rPr>
        <w:t>3.4 MIEMBRO_GRUPO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4"/>
        <w:gridCol w:w="3579"/>
        <w:gridCol w:w="3677"/>
      </w:tblGrid>
      <w:tr w:rsidR="00B95FA6" w:rsidRPr="004537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260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35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Restricciones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grupo_id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GRUPO(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id), NOT 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usuario_id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USUARIO(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id), NOT 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rol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ENUM('</w:t>
            </w: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administrador','miembro</w:t>
            </w:r>
            <w:proofErr w:type="spell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NOT NULL, DEFAULT 'miembro'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fecha_union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NOT NULL, DEFAULT </w:t>
            </w:r>
            <w:proofErr w:type="spellStart"/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now</w:t>
            </w:r>
            <w:proofErr w:type="spell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ENUM('</w:t>
            </w: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activo','expulsado','salido</w:t>
            </w:r>
            <w:proofErr w:type="spell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NOT NULL, DEFAULT 'activo'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UNIQUE(</w:t>
            </w:r>
            <w:proofErr w:type="spellStart"/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grupo_id</w:t>
            </w:r>
            <w:proofErr w:type="spell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usuario_id</w:t>
            </w:r>
            <w:proofErr w:type="spell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B95FA6" w:rsidRPr="004537B3" w:rsidRDefault="00B95FA6" w:rsidP="00814A5F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:rsidR="00B95FA6" w:rsidRPr="004537B3" w:rsidRDefault="00000000" w:rsidP="00814A5F">
      <w:pPr>
        <w:pStyle w:val="Ttulo3"/>
        <w:spacing w:before="200" w:after="100"/>
        <w:jc w:val="both"/>
        <w:rPr>
          <w:rFonts w:ascii="Times New Roman" w:hAnsi="Times New Roman" w:cs="Times New Roman"/>
          <w:color w:val="000000" w:themeColor="text1"/>
        </w:rPr>
      </w:pPr>
      <w:r w:rsidRPr="004537B3">
        <w:rPr>
          <w:rFonts w:ascii="Times New Roman" w:hAnsi="Times New Roman" w:cs="Times New Roman"/>
          <w:color w:val="000000" w:themeColor="text1"/>
        </w:rPr>
        <w:t>3.5 GASTO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3"/>
        <w:gridCol w:w="3566"/>
        <w:gridCol w:w="3551"/>
      </w:tblGrid>
      <w:tr w:rsidR="00B95FA6" w:rsidRPr="004537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260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35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Restricciones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grupo_id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GRUPO(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id), NOT 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pagador_id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USUARIO(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id), NOT 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descripcion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monto_total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12,2)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NOT NULL, CHECK (</w:t>
            </w: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monto_total</w:t>
            </w:r>
            <w:proofErr w:type="spell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 &gt; 0)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fecha_gasto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categoria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60)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tipo_division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ENUM('</w:t>
            </w: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equitativa','personalizada</w:t>
            </w:r>
            <w:proofErr w:type="spell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comprobante_url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500)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origen_registro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ENUM('manual','</w:t>
            </w: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ocr</w:t>
            </w:r>
            <w:proofErr w:type="spell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NOT NULL, DEFAULT 'manual'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fecha_registro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NOT NULL, DEFAULT </w:t>
            </w:r>
            <w:proofErr w:type="spellStart"/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now</w:t>
            </w:r>
            <w:proofErr w:type="spell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B95FA6" w:rsidRPr="004537B3" w:rsidRDefault="00B95FA6" w:rsidP="00814A5F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:rsidR="00B95FA6" w:rsidRPr="004537B3" w:rsidRDefault="00000000" w:rsidP="00814A5F">
      <w:pPr>
        <w:pStyle w:val="Ttulo3"/>
        <w:spacing w:before="200" w:after="100"/>
        <w:jc w:val="both"/>
        <w:rPr>
          <w:rFonts w:ascii="Times New Roman" w:hAnsi="Times New Roman" w:cs="Times New Roman"/>
        </w:rPr>
      </w:pPr>
      <w:r w:rsidRPr="004537B3">
        <w:rPr>
          <w:rFonts w:ascii="Times New Roman" w:hAnsi="Times New Roman" w:cs="Times New Roman"/>
          <w:color w:val="000000" w:themeColor="text1"/>
        </w:rPr>
        <w:lastRenderedPageBreak/>
        <w:t>3.6 DIVISION_GASTO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1"/>
        <w:gridCol w:w="2926"/>
        <w:gridCol w:w="4093"/>
      </w:tblGrid>
      <w:tr w:rsidR="00B95FA6" w:rsidRPr="004537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260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35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Restricciones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gasto_id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GASTO(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id), NOT NULL, ON DELETE CASCADE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usuario_id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USUARIO(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id), NOT 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monto_asignado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12,2)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NOT NULL, CHECK (</w:t>
            </w: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monto_asignado</w:t>
            </w:r>
            <w:proofErr w:type="spell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 &gt;= 0)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estado_pago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ENUM('</w:t>
            </w: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pendiente','pagado</w:t>
            </w:r>
            <w:proofErr w:type="spell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NOT NULL, DEFAULT 'pendiente'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fecha_pago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UNIQUE(</w:t>
            </w:r>
            <w:proofErr w:type="spellStart"/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gasto_id</w:t>
            </w:r>
            <w:proofErr w:type="spell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usuario_id</w:t>
            </w:r>
            <w:proofErr w:type="spell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B95FA6" w:rsidRPr="004537B3" w:rsidRDefault="00000000" w:rsidP="00814A5F">
      <w:pPr>
        <w:spacing w:before="120" w:after="20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Regla de integridad de aplicación: </w:t>
      </w:r>
      <w:proofErr w:type="gramStart"/>
      <w:r w:rsidRPr="004537B3">
        <w:rPr>
          <w:rFonts w:ascii="Times New Roman" w:hAnsi="Times New Roman" w:cs="Times New Roman"/>
          <w:i/>
          <w:iCs/>
          <w:color w:val="555555"/>
          <w:sz w:val="24"/>
          <w:szCs w:val="24"/>
        </w:rPr>
        <w:t>SUM(</w:t>
      </w:r>
      <w:proofErr w:type="spellStart"/>
      <w:proofErr w:type="gramEnd"/>
      <w:r w:rsidRPr="004537B3">
        <w:rPr>
          <w:rFonts w:ascii="Times New Roman" w:hAnsi="Times New Roman" w:cs="Times New Roman"/>
          <w:i/>
          <w:iCs/>
          <w:color w:val="555555"/>
          <w:sz w:val="24"/>
          <w:szCs w:val="24"/>
        </w:rPr>
        <w:t>monto_asignado</w:t>
      </w:r>
      <w:proofErr w:type="spellEnd"/>
      <w:r w:rsidRPr="004537B3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) de todas las filas de un </w:t>
      </w:r>
      <w:proofErr w:type="spellStart"/>
      <w:r w:rsidRPr="004537B3">
        <w:rPr>
          <w:rFonts w:ascii="Times New Roman" w:hAnsi="Times New Roman" w:cs="Times New Roman"/>
          <w:i/>
          <w:iCs/>
          <w:color w:val="555555"/>
          <w:sz w:val="24"/>
          <w:szCs w:val="24"/>
        </w:rPr>
        <w:t>gasto_id</w:t>
      </w:r>
      <w:proofErr w:type="spellEnd"/>
      <w:r w:rsidRPr="004537B3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 debe ser igual a </w:t>
      </w:r>
      <w:proofErr w:type="spellStart"/>
      <w:r w:rsidRPr="004537B3">
        <w:rPr>
          <w:rFonts w:ascii="Times New Roman" w:hAnsi="Times New Roman" w:cs="Times New Roman"/>
          <w:i/>
          <w:iCs/>
          <w:color w:val="555555"/>
          <w:sz w:val="24"/>
          <w:szCs w:val="24"/>
        </w:rPr>
        <w:t>GASTO.monto_total</w:t>
      </w:r>
      <w:proofErr w:type="spellEnd"/>
      <w:r w:rsidRPr="004537B3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 (validado en el motor de cálculo, dentro de una transacción ACID).</w:t>
      </w:r>
    </w:p>
    <w:p w:rsidR="00B95FA6" w:rsidRPr="004537B3" w:rsidRDefault="00000000" w:rsidP="00814A5F">
      <w:pPr>
        <w:pStyle w:val="Ttulo3"/>
        <w:spacing w:before="200" w:after="100"/>
        <w:jc w:val="both"/>
        <w:rPr>
          <w:rFonts w:ascii="Times New Roman" w:hAnsi="Times New Roman" w:cs="Times New Roman"/>
          <w:color w:val="000000" w:themeColor="text1"/>
        </w:rPr>
      </w:pPr>
      <w:r w:rsidRPr="004537B3">
        <w:rPr>
          <w:rFonts w:ascii="Times New Roman" w:hAnsi="Times New Roman" w:cs="Times New Roman"/>
          <w:color w:val="000000" w:themeColor="text1"/>
        </w:rPr>
        <w:t>3.7 BALANCE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350"/>
      </w:tblGrid>
      <w:tr w:rsidR="00B95FA6" w:rsidRPr="004537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260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35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Restricciones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grupo_id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GRUPO(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id), NOT 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deudor_id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USUARIO(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id), NOT 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acreedor_id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USUARIO(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id), NOT 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monto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12,2)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NOT NULL, CHECK (monto &gt;= 0)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fecha_actualizacion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NOT NULL, DEFAULT </w:t>
            </w:r>
            <w:proofErr w:type="spellStart"/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now</w:t>
            </w:r>
            <w:proofErr w:type="spell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UNIQUE(</w:t>
            </w:r>
            <w:proofErr w:type="spellStart"/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grupo_id</w:t>
            </w:r>
            <w:proofErr w:type="spell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deudor_id</w:t>
            </w:r>
            <w:proofErr w:type="spell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acreedor_id</w:t>
            </w:r>
            <w:proofErr w:type="spell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B95FA6" w:rsidRPr="004537B3" w:rsidRDefault="00B95FA6" w:rsidP="00814A5F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:rsidR="00B95FA6" w:rsidRPr="004537B3" w:rsidRDefault="00000000" w:rsidP="00814A5F">
      <w:pPr>
        <w:pStyle w:val="Ttulo3"/>
        <w:spacing w:before="200" w:after="100"/>
        <w:jc w:val="both"/>
        <w:rPr>
          <w:rFonts w:ascii="Times New Roman" w:hAnsi="Times New Roman" w:cs="Times New Roman"/>
          <w:color w:val="000000" w:themeColor="text1"/>
        </w:rPr>
      </w:pPr>
      <w:r w:rsidRPr="004537B3">
        <w:rPr>
          <w:rFonts w:ascii="Times New Roman" w:hAnsi="Times New Roman" w:cs="Times New Roman"/>
          <w:color w:val="000000" w:themeColor="text1"/>
        </w:rPr>
        <w:t>3.8 HISTORIAL_MOVIMIENTO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9"/>
        <w:gridCol w:w="7326"/>
        <w:gridCol w:w="1305"/>
      </w:tblGrid>
      <w:tr w:rsidR="00B95FA6" w:rsidRPr="004537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260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35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Restricciones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usuario_id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USUARIO(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id), NOT 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grupo_id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GRUPO(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id), NOT 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gasto_id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GASTO(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id), 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tipo_movimiento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ENUM('gasto_creado','gasto_editado','pago_registrado','miembro_agregado','miembro_expulsado')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descripcion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NOT NULL, DEFAULT </w:t>
            </w:r>
            <w:proofErr w:type="spellStart"/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now</w:t>
            </w:r>
            <w:proofErr w:type="spell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B95FA6" w:rsidRPr="004537B3" w:rsidRDefault="00B95FA6" w:rsidP="00814A5F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:rsidR="00B95FA6" w:rsidRPr="004537B3" w:rsidRDefault="00000000" w:rsidP="00814A5F">
      <w:pPr>
        <w:pStyle w:val="Ttulo3"/>
        <w:spacing w:before="200" w:after="100"/>
        <w:jc w:val="both"/>
        <w:rPr>
          <w:rFonts w:ascii="Times New Roman" w:hAnsi="Times New Roman" w:cs="Times New Roman"/>
          <w:color w:val="000000" w:themeColor="text1"/>
        </w:rPr>
      </w:pPr>
      <w:r w:rsidRPr="004537B3">
        <w:rPr>
          <w:rFonts w:ascii="Times New Roman" w:hAnsi="Times New Roman" w:cs="Times New Roman"/>
          <w:color w:val="000000" w:themeColor="text1"/>
        </w:rPr>
        <w:t>3.9 RECIBO_ESCANEADO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9"/>
        <w:gridCol w:w="4458"/>
        <w:gridCol w:w="2593"/>
      </w:tblGrid>
      <w:tr w:rsidR="00B95FA6" w:rsidRPr="004537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260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35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Restricciones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gasto_id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GASTO(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id), NULL (nulo hasta confirmación)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imagen_url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500)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monto_extraido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12,2)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fecha_extraida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comercio_extraido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150)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categoria_sugerida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60)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confianza_ocr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5,2)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NULL (% de confianza del modelo)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estado_validacion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ENUM('</w:t>
            </w: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pendiente','confirmado','rechazado</w:t>
            </w:r>
            <w:proofErr w:type="spell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NOT NULL, DEFAULT 'pendiente'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fecha_procesamiento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NOT NULL, DEFAULT </w:t>
            </w:r>
            <w:proofErr w:type="spellStart"/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now</w:t>
            </w:r>
            <w:proofErr w:type="spell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B95FA6" w:rsidRPr="004537B3" w:rsidRDefault="00B95FA6" w:rsidP="00814A5F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:rsidR="00B95FA6" w:rsidRPr="004537B3" w:rsidRDefault="00000000" w:rsidP="00814A5F">
      <w:pPr>
        <w:pStyle w:val="Ttulo3"/>
        <w:spacing w:before="200" w:after="100"/>
        <w:jc w:val="both"/>
        <w:rPr>
          <w:rFonts w:ascii="Times New Roman" w:hAnsi="Times New Roman" w:cs="Times New Roman"/>
          <w:color w:val="000000" w:themeColor="text1"/>
        </w:rPr>
      </w:pPr>
      <w:r w:rsidRPr="004537B3">
        <w:rPr>
          <w:rFonts w:ascii="Times New Roman" w:hAnsi="Times New Roman" w:cs="Times New Roman"/>
          <w:color w:val="000000" w:themeColor="text1"/>
        </w:rPr>
        <w:t>3.10 NOTIFICACION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6"/>
        <w:gridCol w:w="6818"/>
        <w:gridCol w:w="1636"/>
      </w:tblGrid>
      <w:tr w:rsidR="00B95FA6" w:rsidRPr="004537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260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35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Restricciones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usuario_id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FK → </w:t>
            </w:r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USUARIO(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id), NOT 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tipo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ENUM('nuevo_gasto','pago_recibido','recordatorio','invitacion_grupo')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mensaje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leido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4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NOT NULL, DEFAULT false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fecha_creacion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4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NOT NULL, DEFAULT </w:t>
            </w:r>
            <w:proofErr w:type="spellStart"/>
            <w:proofErr w:type="gram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now</w:t>
            </w:r>
            <w:proofErr w:type="spell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B95FA6" w:rsidRPr="004537B3" w:rsidRDefault="00B95FA6" w:rsidP="00814A5F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:rsidR="00B95FA6" w:rsidRPr="004537B3" w:rsidRDefault="00000000" w:rsidP="00814A5F">
      <w:pPr>
        <w:pStyle w:val="Ttulo1"/>
        <w:spacing w:before="360" w:after="1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537B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Índices recomendados (eficiencia</w:t>
      </w:r>
      <w:r w:rsidR="004537B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-</w:t>
      </w:r>
      <w:r w:rsidRPr="004537B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ISO/IEC 25010)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537B3">
        <w:rPr>
          <w:rFonts w:ascii="Times New Roman" w:hAnsi="Times New Roman" w:cs="Times New Roman"/>
          <w:sz w:val="24"/>
          <w:szCs w:val="24"/>
        </w:rPr>
        <w:t>USUARIO(</w:t>
      </w:r>
      <w:proofErr w:type="gramEnd"/>
      <w:r w:rsidRPr="004537B3">
        <w:rPr>
          <w:rFonts w:ascii="Times New Roman" w:hAnsi="Times New Roman" w:cs="Times New Roman"/>
          <w:sz w:val="24"/>
          <w:szCs w:val="24"/>
        </w:rPr>
        <w:t xml:space="preserve">email) — único, usado en </w:t>
      </w:r>
      <w:proofErr w:type="spellStart"/>
      <w:r w:rsidRPr="004537B3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>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MIEMBRO_</w:t>
      </w:r>
      <w:proofErr w:type="gramStart"/>
      <w:r w:rsidRPr="004537B3">
        <w:rPr>
          <w:rFonts w:ascii="Times New Roman" w:hAnsi="Times New Roman" w:cs="Times New Roman"/>
          <w:sz w:val="24"/>
          <w:szCs w:val="24"/>
        </w:rPr>
        <w:t>GRUPO(</w:t>
      </w:r>
      <w:proofErr w:type="spellStart"/>
      <w:proofErr w:type="gramEnd"/>
      <w:r w:rsidRPr="004537B3">
        <w:rPr>
          <w:rFonts w:ascii="Times New Roman" w:hAnsi="Times New Roman" w:cs="Times New Roman"/>
          <w:sz w:val="24"/>
          <w:szCs w:val="24"/>
        </w:rPr>
        <w:t>grupo_id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37B3">
        <w:rPr>
          <w:rFonts w:ascii="Times New Roman" w:hAnsi="Times New Roman" w:cs="Times New Roman"/>
          <w:sz w:val="24"/>
          <w:szCs w:val="24"/>
        </w:rPr>
        <w:t>usuario_id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>) — único, consultas de membresía.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537B3">
        <w:rPr>
          <w:rFonts w:ascii="Times New Roman" w:hAnsi="Times New Roman" w:cs="Times New Roman"/>
          <w:sz w:val="24"/>
          <w:szCs w:val="24"/>
        </w:rPr>
        <w:t>GASTO(</w:t>
      </w:r>
      <w:proofErr w:type="spellStart"/>
      <w:proofErr w:type="gramEnd"/>
      <w:r w:rsidRPr="004537B3">
        <w:rPr>
          <w:rFonts w:ascii="Times New Roman" w:hAnsi="Times New Roman" w:cs="Times New Roman"/>
          <w:sz w:val="24"/>
          <w:szCs w:val="24"/>
        </w:rPr>
        <w:t>grupo_id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37B3">
        <w:rPr>
          <w:rFonts w:ascii="Times New Roman" w:hAnsi="Times New Roman" w:cs="Times New Roman"/>
          <w:sz w:val="24"/>
          <w:szCs w:val="24"/>
        </w:rPr>
        <w:t>fecha_gasto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>) — filtros de historial por grupo y fecha.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DIVISION_</w:t>
      </w:r>
      <w:proofErr w:type="gramStart"/>
      <w:r w:rsidRPr="004537B3">
        <w:rPr>
          <w:rFonts w:ascii="Times New Roman" w:hAnsi="Times New Roman" w:cs="Times New Roman"/>
          <w:sz w:val="24"/>
          <w:szCs w:val="24"/>
        </w:rPr>
        <w:t>GASTO(</w:t>
      </w:r>
      <w:proofErr w:type="spellStart"/>
      <w:proofErr w:type="gramEnd"/>
      <w:r w:rsidRPr="004537B3">
        <w:rPr>
          <w:rFonts w:ascii="Times New Roman" w:hAnsi="Times New Roman" w:cs="Times New Roman"/>
          <w:sz w:val="24"/>
          <w:szCs w:val="24"/>
        </w:rPr>
        <w:t>usuario_id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37B3">
        <w:rPr>
          <w:rFonts w:ascii="Times New Roman" w:hAnsi="Times New Roman" w:cs="Times New Roman"/>
          <w:sz w:val="24"/>
          <w:szCs w:val="24"/>
        </w:rPr>
        <w:t>estado_pago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>) — cálculo rápido de deudas pendientes por usuario.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537B3">
        <w:rPr>
          <w:rFonts w:ascii="Times New Roman" w:hAnsi="Times New Roman" w:cs="Times New Roman"/>
          <w:sz w:val="24"/>
          <w:szCs w:val="24"/>
        </w:rPr>
        <w:t>BALANCE(</w:t>
      </w:r>
      <w:proofErr w:type="spellStart"/>
      <w:proofErr w:type="gramEnd"/>
      <w:r w:rsidRPr="004537B3">
        <w:rPr>
          <w:rFonts w:ascii="Times New Roman" w:hAnsi="Times New Roman" w:cs="Times New Roman"/>
          <w:sz w:val="24"/>
          <w:szCs w:val="24"/>
        </w:rPr>
        <w:t>grupo_id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>) — carga del panel de usuario/</w:t>
      </w:r>
      <w:proofErr w:type="spellStart"/>
      <w:r w:rsidRPr="004537B3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>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HISTORIAL_</w:t>
      </w:r>
      <w:proofErr w:type="gramStart"/>
      <w:r w:rsidRPr="004537B3">
        <w:rPr>
          <w:rFonts w:ascii="Times New Roman" w:hAnsi="Times New Roman" w:cs="Times New Roman"/>
          <w:sz w:val="24"/>
          <w:szCs w:val="24"/>
        </w:rPr>
        <w:t>MOVIMIENTO(</w:t>
      </w:r>
      <w:proofErr w:type="spellStart"/>
      <w:proofErr w:type="gramEnd"/>
      <w:r w:rsidRPr="004537B3">
        <w:rPr>
          <w:rFonts w:ascii="Times New Roman" w:hAnsi="Times New Roman" w:cs="Times New Roman"/>
          <w:sz w:val="24"/>
          <w:szCs w:val="24"/>
        </w:rPr>
        <w:t>grupo_id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>, fecha) — reportes e historial paginado.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RECIBO_</w:t>
      </w:r>
      <w:proofErr w:type="gramStart"/>
      <w:r w:rsidRPr="004537B3">
        <w:rPr>
          <w:rFonts w:ascii="Times New Roman" w:hAnsi="Times New Roman" w:cs="Times New Roman"/>
          <w:sz w:val="24"/>
          <w:szCs w:val="24"/>
        </w:rPr>
        <w:t>ESCANEADO(</w:t>
      </w:r>
      <w:proofErr w:type="spellStart"/>
      <w:proofErr w:type="gramEnd"/>
      <w:r w:rsidRPr="004537B3">
        <w:rPr>
          <w:rFonts w:ascii="Times New Roman" w:hAnsi="Times New Roman" w:cs="Times New Roman"/>
          <w:sz w:val="24"/>
          <w:szCs w:val="24"/>
        </w:rPr>
        <w:t>estado_validacion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>) — cola de recibos pendientes de confirmar.</w:t>
      </w:r>
    </w:p>
    <w:p w:rsidR="004537B3" w:rsidRDefault="004537B3" w:rsidP="00814A5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5FA6" w:rsidRPr="004537B3" w:rsidRDefault="00000000" w:rsidP="00814A5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37B3">
        <w:rPr>
          <w:rFonts w:ascii="Times New Roman" w:hAnsi="Times New Roman" w:cs="Times New Roman"/>
          <w:b/>
          <w:bCs/>
          <w:sz w:val="24"/>
          <w:szCs w:val="24"/>
        </w:rPr>
        <w:t>5. Documentación técnica de arquitectura</w:t>
      </w:r>
    </w:p>
    <w:p w:rsidR="00B95FA6" w:rsidRPr="004537B3" w:rsidRDefault="00000000" w:rsidP="00814A5F">
      <w:pPr>
        <w:spacing w:before="120" w:after="20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i/>
          <w:iCs/>
          <w:color w:val="555555"/>
          <w:sz w:val="24"/>
          <w:szCs w:val="24"/>
        </w:rPr>
        <w:t>Esta sección se actualiza con base en el documento oficial "Definición de Arquitectura del Sistema" (Grupo 2, Universidad de San Buenaventura), que establece la Arquitectura Hexagonal (</w:t>
      </w:r>
      <w:proofErr w:type="spellStart"/>
      <w:r w:rsidRPr="004537B3">
        <w:rPr>
          <w:rFonts w:ascii="Times New Roman" w:hAnsi="Times New Roman" w:cs="Times New Roman"/>
          <w:i/>
          <w:iCs/>
          <w:color w:val="555555"/>
          <w:sz w:val="24"/>
          <w:szCs w:val="24"/>
        </w:rPr>
        <w:t>Ports</w:t>
      </w:r>
      <w:proofErr w:type="spellEnd"/>
      <w:r w:rsidRPr="004537B3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 &amp; </w:t>
      </w:r>
      <w:proofErr w:type="spellStart"/>
      <w:r w:rsidRPr="004537B3">
        <w:rPr>
          <w:rFonts w:ascii="Times New Roman" w:hAnsi="Times New Roman" w:cs="Times New Roman"/>
          <w:i/>
          <w:iCs/>
          <w:color w:val="555555"/>
          <w:sz w:val="24"/>
          <w:szCs w:val="24"/>
        </w:rPr>
        <w:t>Adapters</w:t>
      </w:r>
      <w:proofErr w:type="spellEnd"/>
      <w:r w:rsidRPr="004537B3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) como estilo arquitectónico de FT. GROUP, en reemplazo de la arquitectura </w:t>
      </w:r>
      <w:proofErr w:type="spellStart"/>
      <w:r w:rsidRPr="004537B3">
        <w:rPr>
          <w:rFonts w:ascii="Times New Roman" w:hAnsi="Times New Roman" w:cs="Times New Roman"/>
          <w:i/>
          <w:iCs/>
          <w:color w:val="555555"/>
          <w:sz w:val="24"/>
          <w:szCs w:val="24"/>
        </w:rPr>
        <w:t>Microkernel</w:t>
      </w:r>
      <w:proofErr w:type="spellEnd"/>
      <w:r w:rsidRPr="004537B3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 considerada preliminarmente.</w:t>
      </w:r>
    </w:p>
    <w:p w:rsidR="00B95FA6" w:rsidRPr="004537B3" w:rsidRDefault="00000000" w:rsidP="00814A5F">
      <w:pPr>
        <w:pStyle w:val="Ttulo2"/>
        <w:spacing w:before="260"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37B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5.1 Estilo arquitectónico</w:t>
      </w:r>
    </w:p>
    <w:p w:rsidR="00B95FA6" w:rsidRPr="004537B3" w:rsidRDefault="00000000" w:rsidP="00814A5F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FT. GROUP adopta la Arquitectura Hexagonal (</w:t>
      </w:r>
      <w:proofErr w:type="spellStart"/>
      <w:r w:rsidRPr="004537B3">
        <w:rPr>
          <w:rFonts w:ascii="Times New Roman" w:hAnsi="Times New Roman" w:cs="Times New Roman"/>
          <w:sz w:val="24"/>
          <w:szCs w:val="24"/>
        </w:rPr>
        <w:t>Ports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4537B3">
        <w:rPr>
          <w:rFonts w:ascii="Times New Roman" w:hAnsi="Times New Roman" w:cs="Times New Roman"/>
          <w:sz w:val="24"/>
          <w:szCs w:val="24"/>
        </w:rPr>
        <w:t>Adapters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>). Su principio fundamental consiste en ubicar las reglas de negocio en el centro del sistema (el núcleo) y establecer mecanismos de comunicación con el exterior mediante puertos, con los que interactúan los componentes externos a través de adaptadores. De esta manera, el núcleo no depende directamente de una interfaz gráfica, una base de datos o un servicio externo específico.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Puertos de entrada: permiten que elementos externos soliciten la ejecución de funcionalidades de la aplicación.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Puertos de salida: definen las operaciones que el núcleo necesita realizar sobre componentes externos.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Adaptadores de entrada: traducen las solicitudes externas al formato que comprende la aplicación (p. ej. la API REST).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Adaptadores de salida: implementan las interfaces necesarias para comunicarse con infraestructura externa (persistencia, servicios externos).</w:t>
      </w:r>
    </w:p>
    <w:p w:rsidR="00B95FA6" w:rsidRPr="004537B3" w:rsidRDefault="00000000" w:rsidP="00814A5F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lastRenderedPageBreak/>
        <w:t>Objetivos de la arquitectura: separar las reglas de negocio de la interfaz de usuario; mantener el dominio independiente de la tecnología de almacenamiento; permitir incorporar o sustituir adaptadores externos sin modificar el núcleo; facilitar las pruebas de las reglas de negocio; mejorar la mantenibilidad y evolución del sistema.</w:t>
      </w:r>
    </w:p>
    <w:p w:rsidR="00B95FA6" w:rsidRPr="004537B3" w:rsidRDefault="00000000" w:rsidP="00814A5F">
      <w:pPr>
        <w:pStyle w:val="Ttulo2"/>
        <w:spacing w:before="260" w:after="12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537B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5.2 Estructura general</w:t>
      </w:r>
    </w:p>
    <w:p w:rsidR="00B95FA6" w:rsidRPr="004537B3" w:rsidRDefault="00000000" w:rsidP="00814A5F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 xml:space="preserve">El núcleo está compuesto por la capa de aplicación (casos de uso) y el dominio (entidades y reglas de negocio). La interfaz web se comunica con un adaptador de entrada —una API REST— que recibe las solicitudes del </w:t>
      </w:r>
      <w:proofErr w:type="spellStart"/>
      <w:r w:rsidRPr="004537B3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 xml:space="preserve"> y las dirige hacia los casos de uso correspondientes. Para las operaciones que requieren comunicación externa, el núcleo utiliza puertos de salida, implementados por adaptadores concretos como el adaptador de persistencia y el adaptador de servicios </w:t>
      </w:r>
      <w:proofErr w:type="spellStart"/>
      <w:r w:rsidRPr="004537B3">
        <w:rPr>
          <w:rFonts w:ascii="Times New Roman" w:hAnsi="Times New Roman" w:cs="Times New Roman"/>
          <w:sz w:val="24"/>
          <w:szCs w:val="24"/>
        </w:rPr>
        <w:t>ext</w:t>
      </w:r>
      <w:proofErr w:type="spellEnd"/>
      <w:r w:rsidRPr="004537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24500" cy="2255520"/>
            <wp:effectExtent l="0" t="0" r="0" b="0"/>
            <wp:docPr id="411283073" name="Imagen 411283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b="34039"/>
                    <a:stretch/>
                  </pic:blipFill>
                  <pic:spPr bwMode="auto">
                    <a:xfrm>
                      <a:off x="0" y="0"/>
                      <a:ext cx="5524500" cy="2255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5FA6" w:rsidRPr="004537B3" w:rsidRDefault="00000000" w:rsidP="00814A5F">
      <w:pPr>
        <w:pStyle w:val="Ttulo2"/>
        <w:spacing w:before="260" w:after="12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537B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5.3 Dominio</w:t>
      </w:r>
    </w:p>
    <w:p w:rsidR="00B95FA6" w:rsidRPr="004537B3" w:rsidRDefault="00000000" w:rsidP="00814A5F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El dominio constituye el núcleo conceptual del sistema; contiene las entidades y reglas relacionadas directamente con la gestión de gastos compartidos: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B95FA6" w:rsidRPr="004537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Entidad</w:t>
            </w:r>
          </w:p>
        </w:tc>
        <w:tc>
          <w:tcPr>
            <w:tcW w:w="695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</w:p>
        </w:tc>
        <w:tc>
          <w:tcPr>
            <w:tcW w:w="6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Representa a una persona que utiliza el sistema y participa en uno o varios grupos.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Grupo</w:t>
            </w:r>
          </w:p>
        </w:tc>
        <w:tc>
          <w:tcPr>
            <w:tcW w:w="6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Representa un espacio compartido en el que varios usuarios gestionan gastos.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Gasto</w:t>
            </w:r>
          </w:p>
        </w:tc>
        <w:tc>
          <w:tcPr>
            <w:tcW w:w="6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Representa una obligación económica registrada dentro de un grupo.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Participación</w:t>
            </w:r>
          </w:p>
        </w:tc>
        <w:tc>
          <w:tcPr>
            <w:tcW w:w="6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Representa la parte del gasto que corresponde a un integrante.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6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Representa el estado de las obligaciones económicas entre los integrantes de un grupo.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Movimiento</w:t>
            </w:r>
          </w:p>
        </w:tc>
        <w:tc>
          <w:tcPr>
            <w:tcW w:w="6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Permite registrar las operaciones relevantes realizadas sobre los gastos y balances.</w:t>
            </w:r>
          </w:p>
        </w:tc>
      </w:tr>
    </w:tbl>
    <w:p w:rsidR="00B95FA6" w:rsidRPr="004537B3" w:rsidRDefault="00000000" w:rsidP="00814A5F">
      <w:pPr>
        <w:spacing w:before="120" w:after="20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i/>
          <w:iCs/>
          <w:color w:val="555555"/>
          <w:sz w:val="24"/>
          <w:szCs w:val="24"/>
        </w:rPr>
        <w:t>Nota de consistencia: estas entidades del dominio se materializan en persistencia como USUARIO, GRUPO, MIEMBRO_GRUPO, GASTO, PARTICIPACION_GASTO, BALANCE y MOVIMIENTO, equivalentes a DIVISION_GASTO e HISTORIAL_MOVIMIENTO del diccionario de datos de la sección 3 de este documento.</w:t>
      </w:r>
    </w:p>
    <w:p w:rsidR="00B95FA6" w:rsidRPr="004537B3" w:rsidRDefault="00000000" w:rsidP="00814A5F">
      <w:pPr>
        <w:pStyle w:val="Ttulo2"/>
        <w:spacing w:before="260" w:after="12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537B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5.4 Capa de aplicación</w:t>
      </w:r>
      <w:r w:rsidR="004F0E3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-</w:t>
      </w:r>
      <w:r w:rsidRPr="004537B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casos de uso</w:t>
      </w:r>
    </w:p>
    <w:p w:rsidR="00B95FA6" w:rsidRPr="004537B3" w:rsidRDefault="00000000" w:rsidP="00814A5F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La capa de aplicación coordina las operaciones necesarias para ejecutar las funcionalidades solicitadas por los usuarios, sin contener detalles de infraestructura. Los principales casos de uso identificados son: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Registrar usuario.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Iniciar sesión.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Crear un grupo.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Administrar integrantes de un grupo.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Registrar un gasto.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Dividir un gasto entre integrantes.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Consultar balances.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Consultar historial de movimientos.</w:t>
      </w:r>
    </w:p>
    <w:p w:rsidR="00B95FA6" w:rsidRPr="004537B3" w:rsidRDefault="00000000" w:rsidP="00814A5F">
      <w:pPr>
        <w:pStyle w:val="Ttulo2"/>
        <w:spacing w:before="260" w:after="12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537B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5.5 Puertos</w:t>
      </w:r>
    </w:p>
    <w:p w:rsidR="00B95FA6" w:rsidRPr="004537B3" w:rsidRDefault="00000000" w:rsidP="00814A5F">
      <w:pPr>
        <w:pStyle w:val="Ttulo3"/>
        <w:spacing w:before="200" w:after="10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4537B3">
        <w:rPr>
          <w:rFonts w:ascii="Times New Roman" w:hAnsi="Times New Roman" w:cs="Times New Roman"/>
          <w:b/>
          <w:bCs/>
          <w:color w:val="000000" w:themeColor="text1"/>
        </w:rPr>
        <w:t>5.5.1 Puertos de entrada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Puerto de autenticación.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Puerto de gestión de usuarios.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Puerto de gestión de grupos.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Puerto de gestión de gastos.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Puerto de división de gastos.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Puerto de consulta de balances.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Puerto de consulta de historial.</w:t>
      </w:r>
    </w:p>
    <w:p w:rsidR="00B95FA6" w:rsidRPr="004537B3" w:rsidRDefault="00000000" w:rsidP="00814A5F">
      <w:pPr>
        <w:pStyle w:val="Ttulo3"/>
        <w:spacing w:before="200" w:after="10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4537B3">
        <w:rPr>
          <w:rFonts w:ascii="Times New Roman" w:hAnsi="Times New Roman" w:cs="Times New Roman"/>
          <w:b/>
          <w:bCs/>
          <w:color w:val="000000" w:themeColor="text1"/>
        </w:rPr>
        <w:t>5.5.2 Puertos de salida</w:t>
      </w:r>
    </w:p>
    <w:p w:rsidR="00B95FA6" w:rsidRPr="004537B3" w:rsidRDefault="00000000" w:rsidP="00814A5F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El principal puerto de salida es el de persistencia de información. También se contempla un puerto para servicios externos, orientado a funcionalidades complementarias que puedan incorporarse posteriormente (por ejemplo, el módulo de escaneo de recibos).</w:t>
      </w:r>
    </w:p>
    <w:p w:rsidR="00B95FA6" w:rsidRPr="004537B3" w:rsidRDefault="00000000" w:rsidP="00814A5F">
      <w:pPr>
        <w:pStyle w:val="Ttulo2"/>
        <w:spacing w:before="260" w:after="12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537B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5.6 Adaptadores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 xml:space="preserve">Adaptador de entrada (API REST): recibe las solicitudes del </w:t>
      </w:r>
      <w:proofErr w:type="spellStart"/>
      <w:r w:rsidRPr="004537B3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 xml:space="preserve">, valida los datos de entrada y las transforma en solicitudes compatibles con los casos de uso, evitando que el dominio conozca protocolos HTTP o detalles del </w:t>
      </w:r>
      <w:proofErr w:type="spellStart"/>
      <w:r w:rsidRPr="004537B3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>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Adaptador de persistencia: implementa los puertos definidos por la aplicación para almacenar y recuperar información, gestionando la comunicación con la base de datos sin introducir dependencias de infraestructura en las reglas de negocio.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Adaptador de servicios externos: permite incorporar servicios externos cuando sean necesarios para el funcionamiento o ampliación de FT. GROUP (su implementación dependerá del servicio concreto que se integre).</w:t>
      </w:r>
    </w:p>
    <w:p w:rsidR="00B216CB" w:rsidRDefault="00B216CB" w:rsidP="00B216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5FA6" w:rsidRDefault="00000000" w:rsidP="00B216CB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537B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5.7 Flujo arquitectónico: registro de un gasto</w:t>
      </w:r>
    </w:p>
    <w:p w:rsidR="00B216CB" w:rsidRPr="00B216CB" w:rsidRDefault="00B216CB" w:rsidP="00B216C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5FA6" w:rsidRPr="004537B3" w:rsidRDefault="00000000" w:rsidP="00814A5F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 xml:space="preserve">Flujo general para el registro de un gasto: (1) el usuario introduce la información desde el </w:t>
      </w:r>
      <w:proofErr w:type="spellStart"/>
      <w:r w:rsidRPr="004537B3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 xml:space="preserve">; (2) el </w:t>
      </w:r>
      <w:proofErr w:type="spellStart"/>
      <w:r w:rsidRPr="004537B3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 xml:space="preserve"> envía la solicitud a la API REST; (3) el adaptador de entrada valida y transforma la solicitud; (4) la solicitud llega al caso de uso correspondiente en la capa de aplicación; (5) la aplicación aplica las reglas </w:t>
      </w:r>
      <w:r w:rsidRPr="004537B3">
        <w:rPr>
          <w:rFonts w:ascii="Times New Roman" w:hAnsi="Times New Roman" w:cs="Times New Roman"/>
          <w:sz w:val="24"/>
          <w:szCs w:val="24"/>
        </w:rPr>
        <w:lastRenderedPageBreak/>
        <w:t xml:space="preserve">del dominio para procesar el gasto; (6) el sistema determina las participaciones de cada integrante; (7) la aplicación usa el puerto de persistencia para almacenar la información; (8) el adaptador de persistencia ejecuta la operación en la base de datos; (9) el resultado se retorna hacia la aplicación y el </w:t>
      </w:r>
      <w:proofErr w:type="spellStart"/>
      <w:r w:rsidRPr="004537B3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>.</w:t>
      </w:r>
    </w:p>
    <w:p w:rsidR="00B95FA6" w:rsidRPr="004537B3" w:rsidRDefault="00000000" w:rsidP="00814A5F">
      <w:pPr>
        <w:spacing w:before="120" w:after="20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143250" cy="6153150"/>
            <wp:effectExtent l="0" t="0" r="0" b="0"/>
            <wp:docPr id="204519784" name="Imagen 204519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FA6" w:rsidRPr="004537B3" w:rsidRDefault="00000000" w:rsidP="00814A5F">
      <w:pPr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br w:type="page"/>
      </w:r>
    </w:p>
    <w:p w:rsidR="00B95FA6" w:rsidRPr="004537B3" w:rsidRDefault="00000000" w:rsidP="00814A5F">
      <w:pPr>
        <w:pStyle w:val="Ttulo2"/>
        <w:spacing w:before="260" w:after="12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537B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5.8 Consideraciones de seguridad</w:t>
      </w:r>
    </w:p>
    <w:p w:rsidR="00B95FA6" w:rsidRPr="004537B3" w:rsidRDefault="00000000" w:rsidP="00814A5F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La arquitectura contempla mecanismos de seguridad desde las primeras etapas de desarrollo: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Autenticación mediante credenciales de usuario.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Uso de tokens JWT para mantener la sesión de los usuarios.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 xml:space="preserve">Almacenamiento seguro de contraseñas mediante funciones de hash como </w:t>
      </w:r>
      <w:proofErr w:type="spellStart"/>
      <w:r w:rsidRPr="004537B3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>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Autorización basada en el usuario y su pertenencia a los grupos.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Validación de los datos recibidos por la API.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Sanitización de entradas provenientes del usuario.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Protección frente a ataques de inyección.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Protección frente a ataques XSS.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Control de expiración y validación de tokens.</w:t>
      </w:r>
    </w:p>
    <w:p w:rsidR="00B95FA6" w:rsidRPr="004537B3" w:rsidRDefault="00000000" w:rsidP="00814A5F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La separación proporcionada por la arquitectura hexagonal permite mantener estas responsabilidades distribuidas de manera controlada, evitando que las reglas de negocio dependan directamente de los mecanismos específicos de comunicación externa.</w:t>
      </w:r>
    </w:p>
    <w:p w:rsidR="00B95FA6" w:rsidRPr="004537B3" w:rsidRDefault="00000000" w:rsidP="00814A5F">
      <w:pPr>
        <w:pStyle w:val="Ttulo2"/>
        <w:spacing w:before="260" w:after="12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537B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5.9 Estrategia de calidad y pruebas (ISO/IEC 29119, ISTQB, ISO/IEC 25010, ISO/IEC 12207)</w:t>
      </w:r>
    </w:p>
    <w:p w:rsidR="00B95FA6" w:rsidRPr="004537B3" w:rsidRDefault="00000000" w:rsidP="00814A5F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 xml:space="preserve">La arquitectura hexagonal favorece la </w:t>
      </w:r>
      <w:proofErr w:type="spellStart"/>
      <w:r w:rsidRPr="004537B3">
        <w:rPr>
          <w:rFonts w:ascii="Times New Roman" w:hAnsi="Times New Roman" w:cs="Times New Roman"/>
          <w:sz w:val="24"/>
          <w:szCs w:val="24"/>
        </w:rPr>
        <w:t>testabilidad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 xml:space="preserve"> al permitir probar los casos de uso y las reglas de negocio del dominio sin depender de componentes externos (base de datos, API, servicios). Sobre esa base se aplica el siguiente esquema de pruebas: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300"/>
        <w:gridCol w:w="3350"/>
      </w:tblGrid>
      <w:tr w:rsidR="00B95FA6" w:rsidRPr="004537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 de prueba</w:t>
            </w:r>
          </w:p>
        </w:tc>
        <w:tc>
          <w:tcPr>
            <w:tcW w:w="330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Aplicación general</w:t>
            </w:r>
          </w:p>
        </w:tc>
        <w:tc>
          <w:tcPr>
            <w:tcW w:w="335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Aplicación en módulo IA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Unitarias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Funciones del núcleo y módulos (validaciones, cálculos)</w:t>
            </w:r>
          </w:p>
        </w:tc>
        <w:tc>
          <w:tcPr>
            <w:tcW w:w="3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Preprocesamiento de imagen, </w:t>
            </w: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parsing</w:t>
            </w:r>
            <w:proofErr w:type="spell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 de monto/fecha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Integración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Comunicación </w:t>
            </w: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núcleo↔módulos</w:t>
            </w:r>
            <w:proofErr w:type="spell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 vía API</w:t>
            </w:r>
          </w:p>
        </w:tc>
        <w:tc>
          <w:tcPr>
            <w:tcW w:w="3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 ↔ microservicio de IA (imagen → JSON)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Funcionales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Casos de uso de cada módulo</w:t>
            </w:r>
          </w:p>
        </w:tc>
        <w:tc>
          <w:tcPr>
            <w:tcW w:w="3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Extracción correcta sobre recibos de prueba conocidos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No funcionales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Tiempos de respuesta &lt; 2s por petición</w:t>
            </w:r>
          </w:p>
        </w:tc>
        <w:tc>
          <w:tcPr>
            <w:tcW w:w="3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Inferencia &lt; 2-3s por imagen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Robustez / valores límite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Entradas inválidas, concurrencia</w:t>
            </w:r>
          </w:p>
        </w:tc>
        <w:tc>
          <w:tcPr>
            <w:tcW w:w="3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Imágenes borrosas, rotadas, manuscritas, formatos no vistos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Regresión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Tras cada cambio de código</w:t>
            </w:r>
          </w:p>
        </w:tc>
        <w:tc>
          <w:tcPr>
            <w:tcW w:w="3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Tras cada reentrenamiento del modelo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Aceptación (UAT), sistema, humo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Cobertura de todo el ciclo de vida (ISO/IEC 12207)</w:t>
            </w:r>
          </w:p>
        </w:tc>
        <w:tc>
          <w:tcPr>
            <w:tcW w:w="3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:rsidR="00B95FA6" w:rsidRPr="004537B3" w:rsidRDefault="00000000" w:rsidP="00814A5F">
      <w:pPr>
        <w:spacing w:before="120" w:after="20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i/>
          <w:iCs/>
          <w:color w:val="555555"/>
          <w:sz w:val="24"/>
          <w:szCs w:val="24"/>
        </w:rPr>
        <w:t>Cobertura de pruebas automatizadas objetivo: &gt; 80 %.</w:t>
      </w:r>
    </w:p>
    <w:p w:rsidR="004F0E33" w:rsidRDefault="004F0E33" w:rsidP="00814A5F">
      <w:pPr>
        <w:pStyle w:val="Ttulo2"/>
        <w:spacing w:before="260" w:after="12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4F0E33" w:rsidRDefault="004F0E33" w:rsidP="00814A5F">
      <w:pPr>
        <w:pStyle w:val="Ttulo2"/>
        <w:spacing w:before="260" w:after="12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814A5F" w:rsidRDefault="00814A5F" w:rsidP="00814A5F">
      <w:pPr>
        <w:pStyle w:val="Ttulo2"/>
        <w:spacing w:before="260" w:after="12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B95FA6" w:rsidRPr="004F0E33" w:rsidRDefault="00000000" w:rsidP="00814A5F">
      <w:pPr>
        <w:pStyle w:val="Ttulo2"/>
        <w:spacing w:before="260" w:after="12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F0E3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5.10 Atributos de calidad considerados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B95FA6" w:rsidRPr="004537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Atributo</w:t>
            </w:r>
          </w:p>
        </w:tc>
        <w:tc>
          <w:tcPr>
            <w:tcW w:w="695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Consideración arquitectónica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Seguridad</w:t>
            </w:r>
          </w:p>
        </w:tc>
        <w:tc>
          <w:tcPr>
            <w:tcW w:w="6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Separación de responsabilidades, autenticación, autorización, validación de entradas y manejo seguro de credenciales.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Mantenibilidad</w:t>
            </w:r>
          </w:p>
        </w:tc>
        <w:tc>
          <w:tcPr>
            <w:tcW w:w="6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Separación entre dominio, aplicación e infraestructura para facilitar modificaciones.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Escalabilidad</w:t>
            </w:r>
          </w:p>
        </w:tc>
        <w:tc>
          <w:tcPr>
            <w:tcW w:w="6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Posibilidad de incorporar nuevos adaptadores y servicios sin modificar directamente las reglas del dominio.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Confiabilidad</w:t>
            </w:r>
          </w:p>
        </w:tc>
        <w:tc>
          <w:tcPr>
            <w:tcW w:w="6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Centralización de las reglas de negocio para reducir inconsistencias en el procesamiento de gastos.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Eficiencia</w:t>
            </w:r>
          </w:p>
        </w:tc>
        <w:tc>
          <w:tcPr>
            <w:tcW w:w="6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Procesamiento organizado de las operaciones y acceso controlado a los mecanismos de persistencia.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Usabilidad</w:t>
            </w:r>
          </w:p>
        </w:tc>
        <w:tc>
          <w:tcPr>
            <w:tcW w:w="6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La interfaz web se mantiene separada de la lógica interna, permitiendo evolucionar la experiencia del usuario independientemente.</w:t>
            </w:r>
          </w:p>
        </w:tc>
      </w:tr>
    </w:tbl>
    <w:p w:rsidR="004F0E33" w:rsidRDefault="004F0E33" w:rsidP="00814A5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95FA6" w:rsidRPr="004F0E33" w:rsidRDefault="00000000" w:rsidP="00814A5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0E33">
        <w:rPr>
          <w:rFonts w:ascii="Times New Roman" w:hAnsi="Times New Roman" w:cs="Times New Roman"/>
          <w:b/>
          <w:bCs/>
          <w:sz w:val="24"/>
          <w:szCs w:val="24"/>
        </w:rPr>
        <w:t>5.11 Justificación de la arquitectura seleccionada</w:t>
      </w:r>
    </w:p>
    <w:p w:rsidR="00B95FA6" w:rsidRPr="004537B3" w:rsidRDefault="00000000" w:rsidP="00814A5F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La selección de la arquitectura hexagonal para FT. GROUP responde a la necesidad de mantener separadas las reglas de negocio de los componentes externos. Sus principales ventajas para el proyecto son: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Independencia tecnológica: el dominio no depende directamente de una tecnología específica de base de datos, interfaz o servicio externo.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Mantenibilidad: los cambios realizados en infraestructura pueden mantenerse aislados del núcleo del sistema.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37B3">
        <w:rPr>
          <w:rFonts w:ascii="Times New Roman" w:hAnsi="Times New Roman" w:cs="Times New Roman"/>
          <w:sz w:val="24"/>
          <w:szCs w:val="24"/>
        </w:rPr>
        <w:t>Testabilidad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>: los casos de uso y reglas de negocio pueden probarse sin depender necesariamente de componentes externos.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Flexibilidad: los adaptadores pueden ser reemplazados o modificados manteniendo los contratos definidos mediante los puertos.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Separación de responsabilidades: cada parte del sistema posee una función claramente definida.</w:t>
      </w:r>
    </w:p>
    <w:p w:rsidR="00B95FA6" w:rsidRPr="004537B3" w:rsidRDefault="00000000" w:rsidP="00814A5F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Esta organización resulta adecuada para FT. GROUP debido a que el sistema debe manejar reglas de negocio relacionadas con la distribución de gastos y los balances entre usuarios, las cuales deben mantenerse independientes de la infraestructura tecnológica.</w:t>
      </w:r>
    </w:p>
    <w:p w:rsidR="00B95FA6" w:rsidRPr="004F0E33" w:rsidRDefault="00000000" w:rsidP="00814A5F">
      <w:pPr>
        <w:pStyle w:val="Ttulo2"/>
        <w:spacing w:before="260" w:after="12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F0E3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5.12 Decisiones arquitectónicas iniciales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B95FA6" w:rsidRPr="004537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Decisión</w:t>
            </w:r>
          </w:p>
        </w:tc>
        <w:tc>
          <w:tcPr>
            <w:tcW w:w="6350" w:type="dxa"/>
            <w:shd w:val="clear" w:color="auto" w:fill="F7A54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Justificación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Arquitectura Hexagonal</w:t>
            </w:r>
          </w:p>
        </w:tc>
        <w:tc>
          <w:tcPr>
            <w:tcW w:w="6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Permite separar el núcleo del sistema de los componentes externos.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Dominio independiente</w:t>
            </w:r>
          </w:p>
        </w:tc>
        <w:tc>
          <w:tcPr>
            <w:tcW w:w="6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Las reglas de negocio de FT. GROUP no deben depender de tecnologías de infraestructura.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API como adaptador de entrada</w:t>
            </w:r>
          </w:p>
        </w:tc>
        <w:tc>
          <w:tcPr>
            <w:tcW w:w="6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Permite recibir solicitudes del </w:t>
            </w:r>
            <w:proofErr w:type="spellStart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  <w:r w:rsidRPr="004537B3">
              <w:rPr>
                <w:rFonts w:ascii="Times New Roman" w:hAnsi="Times New Roman" w:cs="Times New Roman"/>
                <w:sz w:val="24"/>
                <w:szCs w:val="24"/>
              </w:rPr>
              <w:t xml:space="preserve"> y comunicarlas con los casos de uso.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Persistencia mediante adaptador</w:t>
            </w:r>
          </w:p>
        </w:tc>
        <w:tc>
          <w:tcPr>
            <w:tcW w:w="6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Evita que el dominio dependa directamente de la base de datos.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Uso de puertos</w:t>
            </w:r>
          </w:p>
        </w:tc>
        <w:tc>
          <w:tcPr>
            <w:tcW w:w="63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Define contratos claros entre el núcleo y los adaptadores.</w:t>
            </w:r>
          </w:p>
        </w:tc>
      </w:tr>
      <w:tr w:rsidR="00B95FA6" w:rsidRPr="004537B3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Seguridad desde la arquitectura</w:t>
            </w:r>
          </w:p>
        </w:tc>
        <w:tc>
          <w:tcPr>
            <w:tcW w:w="6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95FA6" w:rsidRPr="004537B3" w:rsidRDefault="00000000" w:rsidP="00814A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7B3">
              <w:rPr>
                <w:rFonts w:ascii="Times New Roman" w:hAnsi="Times New Roman" w:cs="Times New Roman"/>
                <w:sz w:val="24"/>
                <w:szCs w:val="24"/>
              </w:rPr>
              <w:t>Permite incorporar autenticación, autorización y validación desde las primeras etapas.</w:t>
            </w:r>
          </w:p>
        </w:tc>
      </w:tr>
    </w:tbl>
    <w:p w:rsidR="00B95FA6" w:rsidRPr="004F0E33" w:rsidRDefault="00000000" w:rsidP="00814A5F">
      <w:pPr>
        <w:pStyle w:val="Ttulo2"/>
        <w:spacing w:before="260" w:after="12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F0E3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5.13 Consideraciones de implementación sugeridas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37B3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537B3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 xml:space="preserve"> compatible con JWT y transacciones ACID, organizado según los principios de puertos y adaptadores (p. ej. Spring </w:t>
      </w:r>
      <w:proofErr w:type="spellStart"/>
      <w:r w:rsidRPr="004537B3">
        <w:rPr>
          <w:rFonts w:ascii="Times New Roman" w:hAnsi="Times New Roman" w:cs="Times New Roman"/>
          <w:sz w:val="24"/>
          <w:szCs w:val="24"/>
        </w:rPr>
        <w:t>Boot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37B3">
        <w:rPr>
          <w:rFonts w:ascii="Times New Roman" w:hAnsi="Times New Roman" w:cs="Times New Roman"/>
          <w:sz w:val="24"/>
          <w:szCs w:val="24"/>
        </w:rPr>
        <w:t>NestJS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 xml:space="preserve"> o Express + un ORM transaccional, con el dominio aislado del </w:t>
      </w:r>
      <w:proofErr w:type="spellStart"/>
      <w:r w:rsidRPr="004537B3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>).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Base de datos: motor relacional (PostgreSQL o MySQL) por la necesidad de integridad referencial, transacciones ACID y precisión decimal (DECIMAL, no FLOAT, para montos), accedido únicamente a través del adaptador de persistencia.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Servicios externos (p. ej. escaneo de recibos): integrados mediante un adaptador de servicios externos independiente, sin acoplar el dominio a su implementación concreta.</w:t>
      </w:r>
    </w:p>
    <w:p w:rsidR="00B95FA6" w:rsidRPr="004537B3" w:rsidRDefault="00000000" w:rsidP="00814A5F">
      <w:pPr>
        <w:pStyle w:val="Prrafodelista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37B3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>: aplicación responsiva (web/móvil) que consume la API REST (adaptador de entrada) mediante los contratos definidos por los puertos.</w:t>
      </w:r>
    </w:p>
    <w:p w:rsidR="00B95FA6" w:rsidRPr="004F0E33" w:rsidRDefault="00000000" w:rsidP="00814A5F">
      <w:pPr>
        <w:pStyle w:val="Ttulo1"/>
        <w:spacing w:before="360" w:after="1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F0E3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 Notas y limitaciones de este documento</w:t>
      </w:r>
    </w:p>
    <w:p w:rsidR="00B95FA6" w:rsidRPr="004537B3" w:rsidRDefault="00000000" w:rsidP="00814A5F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 xml:space="preserve">El diccionario de datos de la sección 3 fue elaborado a partir de la propuesta inicial (que planteaba una arquitectura </w:t>
      </w:r>
      <w:proofErr w:type="spellStart"/>
      <w:r w:rsidRPr="004537B3">
        <w:rPr>
          <w:rFonts w:ascii="Times New Roman" w:hAnsi="Times New Roman" w:cs="Times New Roman"/>
          <w:sz w:val="24"/>
          <w:szCs w:val="24"/>
        </w:rPr>
        <w:t>Microkernel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>) y conserva nombres de entidades ligeramente distintos a los del documento oficial de arquitectura (PARTICIPACION_GASTO y MOVIMIENTO en lugar de DIVISION_GASTO e HISTORIAL_MOVIMIENTO). Ambos conjuntos son conceptualmente equivalentes; se recomienda unificar la nomenclatura antes de la implementación, priorizando los nombres del documento oficial de arquitectura.</w:t>
      </w:r>
    </w:p>
    <w:p w:rsidR="00B95FA6" w:rsidRPr="004537B3" w:rsidRDefault="00000000" w:rsidP="00814A5F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 xml:space="preserve">La sección 5 se actualizó íntegramente con base en el documento "Definición de Arquitectura del Sistema", que reemplaza el enfoque </w:t>
      </w:r>
      <w:proofErr w:type="spellStart"/>
      <w:r w:rsidRPr="004537B3">
        <w:rPr>
          <w:rFonts w:ascii="Times New Roman" w:hAnsi="Times New Roman" w:cs="Times New Roman"/>
          <w:sz w:val="24"/>
          <w:szCs w:val="24"/>
        </w:rPr>
        <w:t>Microkernel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 xml:space="preserve"> por la Arquitectura Hexagonal (</w:t>
      </w:r>
      <w:proofErr w:type="spellStart"/>
      <w:r w:rsidRPr="004537B3">
        <w:rPr>
          <w:rFonts w:ascii="Times New Roman" w:hAnsi="Times New Roman" w:cs="Times New Roman"/>
          <w:sz w:val="24"/>
          <w:szCs w:val="24"/>
        </w:rPr>
        <w:t>Ports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4537B3">
        <w:rPr>
          <w:rFonts w:ascii="Times New Roman" w:hAnsi="Times New Roman" w:cs="Times New Roman"/>
          <w:sz w:val="24"/>
          <w:szCs w:val="24"/>
        </w:rPr>
        <w:t>Adapters</w:t>
      </w:r>
      <w:proofErr w:type="spellEnd"/>
      <w:r w:rsidRPr="004537B3">
        <w:rPr>
          <w:rFonts w:ascii="Times New Roman" w:hAnsi="Times New Roman" w:cs="Times New Roman"/>
          <w:sz w:val="24"/>
          <w:szCs w:val="24"/>
        </w:rPr>
        <w:t>) como estilo arquitectónico oficial de FT. GROUP.</w:t>
      </w:r>
    </w:p>
    <w:p w:rsidR="00B95FA6" w:rsidRPr="004537B3" w:rsidRDefault="00000000" w:rsidP="00814A5F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4537B3">
        <w:rPr>
          <w:rFonts w:ascii="Times New Roman" w:hAnsi="Times New Roman" w:cs="Times New Roman"/>
          <w:sz w:val="24"/>
          <w:szCs w:val="24"/>
        </w:rPr>
        <w:t>Se recomienda validarlo con el equipo de desarrollo antes de usarlo como base definitiva de implementación (por ejemplo, definir si se requieren tablas adicionales para "reportes exportados" o configuración de categorías personalizadas por grupo).</w:t>
      </w:r>
    </w:p>
    <w:sectPr w:rsidR="00B95FA6" w:rsidRPr="004537B3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F350F" w:rsidRDefault="008F350F">
      <w:r>
        <w:separator/>
      </w:r>
    </w:p>
  </w:endnote>
  <w:endnote w:type="continuationSeparator" w:id="0">
    <w:p w:rsidR="008F350F" w:rsidRDefault="008F3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95FA6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537B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F350F" w:rsidRDefault="008F350F">
      <w:r>
        <w:separator/>
      </w:r>
    </w:p>
  </w:footnote>
  <w:footnote w:type="continuationSeparator" w:id="0">
    <w:p w:rsidR="008F350F" w:rsidRDefault="008F35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95FA6" w:rsidRDefault="00000000">
    <w:pPr>
      <w:jc w:val="right"/>
    </w:pPr>
    <w:r>
      <w:rPr>
        <w:color w:val="888888"/>
        <w:sz w:val="16"/>
        <w:szCs w:val="16"/>
      </w:rPr>
      <w:t xml:space="preserve">FT. GROUP </w:t>
    </w:r>
    <w:r w:rsidR="004E3A76">
      <w:rPr>
        <w:color w:val="888888"/>
        <w:sz w:val="16"/>
        <w:szCs w:val="16"/>
      </w:rPr>
      <w:t>-</w:t>
    </w:r>
    <w:r>
      <w:rPr>
        <w:color w:val="888888"/>
        <w:sz w:val="16"/>
        <w:szCs w:val="16"/>
      </w:rPr>
      <w:t xml:space="preserve"> Esquema de BD y Documentación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E20009"/>
    <w:multiLevelType w:val="hybridMultilevel"/>
    <w:tmpl w:val="2EB42D86"/>
    <w:lvl w:ilvl="0" w:tplc="D4FC67B4">
      <w:start w:val="1"/>
      <w:numFmt w:val="bullet"/>
      <w:lvlText w:val="●"/>
      <w:lvlJc w:val="left"/>
      <w:pPr>
        <w:ind w:left="720" w:hanging="360"/>
      </w:pPr>
    </w:lvl>
    <w:lvl w:ilvl="1" w:tplc="E760112C">
      <w:start w:val="1"/>
      <w:numFmt w:val="bullet"/>
      <w:lvlText w:val="○"/>
      <w:lvlJc w:val="left"/>
      <w:pPr>
        <w:ind w:left="1440" w:hanging="360"/>
      </w:pPr>
    </w:lvl>
    <w:lvl w:ilvl="2" w:tplc="37D2C2F8">
      <w:start w:val="1"/>
      <w:numFmt w:val="bullet"/>
      <w:lvlText w:val="■"/>
      <w:lvlJc w:val="left"/>
      <w:pPr>
        <w:ind w:left="2160" w:hanging="360"/>
      </w:pPr>
    </w:lvl>
    <w:lvl w:ilvl="3" w:tplc="58C28BEA">
      <w:start w:val="1"/>
      <w:numFmt w:val="bullet"/>
      <w:lvlText w:val="●"/>
      <w:lvlJc w:val="left"/>
      <w:pPr>
        <w:ind w:left="2880" w:hanging="360"/>
      </w:pPr>
    </w:lvl>
    <w:lvl w:ilvl="4" w:tplc="1632F854">
      <w:start w:val="1"/>
      <w:numFmt w:val="bullet"/>
      <w:lvlText w:val="○"/>
      <w:lvlJc w:val="left"/>
      <w:pPr>
        <w:ind w:left="3600" w:hanging="360"/>
      </w:pPr>
    </w:lvl>
    <w:lvl w:ilvl="5" w:tplc="73342C0C">
      <w:start w:val="1"/>
      <w:numFmt w:val="bullet"/>
      <w:lvlText w:val="■"/>
      <w:lvlJc w:val="left"/>
      <w:pPr>
        <w:ind w:left="4320" w:hanging="360"/>
      </w:pPr>
    </w:lvl>
    <w:lvl w:ilvl="6" w:tplc="49047074">
      <w:start w:val="1"/>
      <w:numFmt w:val="bullet"/>
      <w:lvlText w:val="●"/>
      <w:lvlJc w:val="left"/>
      <w:pPr>
        <w:ind w:left="5040" w:hanging="360"/>
      </w:pPr>
    </w:lvl>
    <w:lvl w:ilvl="7" w:tplc="7CF07E30">
      <w:start w:val="1"/>
      <w:numFmt w:val="bullet"/>
      <w:lvlText w:val="●"/>
      <w:lvlJc w:val="left"/>
      <w:pPr>
        <w:ind w:left="5760" w:hanging="360"/>
      </w:pPr>
    </w:lvl>
    <w:lvl w:ilvl="8" w:tplc="6EB48C9C">
      <w:start w:val="1"/>
      <w:numFmt w:val="bullet"/>
      <w:lvlText w:val="●"/>
      <w:lvlJc w:val="left"/>
      <w:pPr>
        <w:ind w:left="6480" w:hanging="360"/>
      </w:pPr>
    </w:lvl>
  </w:abstractNum>
  <w:num w:numId="1" w16cid:durableId="7486929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FA6"/>
    <w:rsid w:val="004537B3"/>
    <w:rsid w:val="004E3A76"/>
    <w:rsid w:val="004F0E33"/>
    <w:rsid w:val="00755131"/>
    <w:rsid w:val="00814A5F"/>
    <w:rsid w:val="008F350F"/>
    <w:rsid w:val="00944276"/>
    <w:rsid w:val="00B216CB"/>
    <w:rsid w:val="00B95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E8D23"/>
  <w15:docId w15:val="{473BE274-903C-4C71-A5A8-DC7AEC044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E3A7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A76"/>
  </w:style>
  <w:style w:type="paragraph" w:styleId="Piedepgina">
    <w:name w:val="footer"/>
    <w:basedOn w:val="Normal"/>
    <w:link w:val="PiedepginaCar"/>
    <w:uiPriority w:val="99"/>
    <w:unhideWhenUsed/>
    <w:rsid w:val="004E3A7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A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2829</Words>
  <Characters>15565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12</cp:revision>
  <dcterms:created xsi:type="dcterms:W3CDTF">2026-09-09T06:11:00Z</dcterms:created>
  <dcterms:modified xsi:type="dcterms:W3CDTF">2026-09-09T06:36:00Z</dcterms:modified>
</cp:coreProperties>
</file>