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D2C04"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EVALUACIÓN: GESTIÓN DE SERVICIOS DE TI SEGÚN ITIL 4</w:t>
      </w:r>
      <w:r>
        <w:rPr>
          <w:rStyle w:val="eop"/>
          <w:rFonts w:ascii="Calibri" w:hAnsi="Calibri" w:cs="Calibri"/>
        </w:rPr>
        <w:t> </w:t>
      </w:r>
    </w:p>
    <w:p w14:paraId="1E1E53F2"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Nivel de Dificultad: 7/10</w:t>
      </w:r>
      <w:r>
        <w:rPr>
          <w:rStyle w:val="scxw18974708"/>
          <w:rFonts w:ascii="Calibri" w:hAnsi="Calibri" w:cs="Calibri"/>
        </w:rPr>
        <w:t> </w:t>
      </w:r>
      <w:r>
        <w:rPr>
          <w:rFonts w:ascii="Calibri" w:hAnsi="Calibri" w:cs="Calibri"/>
        </w:rPr>
        <w:br/>
      </w:r>
      <w:r>
        <w:rPr>
          <w:rStyle w:val="normaltextrun"/>
          <w:rFonts w:ascii="Calibri" w:hAnsi="Calibri" w:cs="Calibri"/>
          <w:b/>
          <w:bCs/>
        </w:rPr>
        <w:t>Duración estimada:</w:t>
      </w:r>
      <w:r>
        <w:rPr>
          <w:rStyle w:val="normaltextrun"/>
          <w:rFonts w:ascii="Calibri" w:hAnsi="Calibri" w:cs="Calibri"/>
        </w:rPr>
        <w:t> 120 minutos</w:t>
      </w:r>
      <w:r>
        <w:rPr>
          <w:rStyle w:val="scxw18974708"/>
          <w:rFonts w:ascii="Calibri" w:hAnsi="Calibri" w:cs="Calibri"/>
        </w:rPr>
        <w:t> </w:t>
      </w:r>
      <w:r>
        <w:rPr>
          <w:rFonts w:ascii="Calibri" w:hAnsi="Calibri" w:cs="Calibri"/>
        </w:rPr>
        <w:br/>
      </w:r>
      <w:r>
        <w:rPr>
          <w:rStyle w:val="normaltextrun"/>
          <w:rFonts w:ascii="Calibri" w:hAnsi="Calibri" w:cs="Calibri"/>
          <w:b/>
          <w:bCs/>
        </w:rPr>
        <w:t>Instrucciones:</w:t>
      </w:r>
      <w:r>
        <w:rPr>
          <w:rStyle w:val="normaltextrun"/>
          <w:rFonts w:ascii="Calibri" w:hAnsi="Calibri" w:cs="Calibri"/>
        </w:rPr>
        <w:t> Lea atentamente cada pregunta. Para las preguntas de desarrollo, argumente con base en los conceptos clave de ITIL 4: el </w:t>
      </w:r>
      <w:r>
        <w:rPr>
          <w:rStyle w:val="normaltextrun"/>
          <w:rFonts w:ascii="Calibri" w:hAnsi="Calibri" w:cs="Calibri"/>
          <w:b/>
          <w:bCs/>
        </w:rPr>
        <w:t>Sistema de Valor del Servicio (SVS)</w:t>
      </w:r>
      <w:r>
        <w:rPr>
          <w:rStyle w:val="normaltextrun"/>
          <w:rFonts w:ascii="Calibri" w:hAnsi="Calibri" w:cs="Calibri"/>
        </w:rPr>
        <w:t>, los </w:t>
      </w:r>
      <w:r>
        <w:rPr>
          <w:rStyle w:val="normaltextrun"/>
          <w:rFonts w:ascii="Calibri" w:hAnsi="Calibri" w:cs="Calibri"/>
          <w:b/>
          <w:bCs/>
        </w:rPr>
        <w:t>7 principios guía</w:t>
      </w:r>
      <w:r>
        <w:rPr>
          <w:rStyle w:val="normaltextrun"/>
          <w:rFonts w:ascii="Calibri" w:hAnsi="Calibri" w:cs="Calibri"/>
        </w:rPr>
        <w:t>, las </w:t>
      </w:r>
      <w:r>
        <w:rPr>
          <w:rStyle w:val="normaltextrun"/>
          <w:rFonts w:ascii="Calibri" w:hAnsi="Calibri" w:cs="Calibri"/>
          <w:b/>
          <w:bCs/>
        </w:rPr>
        <w:t>4 dimensiones</w:t>
      </w:r>
      <w:r>
        <w:rPr>
          <w:rStyle w:val="normaltextrun"/>
          <w:rFonts w:ascii="Calibri" w:hAnsi="Calibri" w:cs="Calibri"/>
        </w:rPr>
        <w:t> y el modelo de </w:t>
      </w:r>
      <w:r>
        <w:rPr>
          <w:rStyle w:val="normaltextrun"/>
          <w:rFonts w:ascii="Calibri" w:hAnsi="Calibri" w:cs="Calibri"/>
          <w:b/>
          <w:bCs/>
        </w:rPr>
        <w:t>mejora continua</w:t>
      </w:r>
      <w:r>
        <w:rPr>
          <w:rStyle w:val="normaltextrun"/>
          <w:rFonts w:ascii="Calibri" w:hAnsi="Calibri" w:cs="Calibri"/>
        </w:rPr>
        <w:t xml:space="preserve">. </w:t>
      </w:r>
      <w:r>
        <w:rPr>
          <w:rStyle w:val="eop"/>
          <w:rFonts w:ascii="Calibri" w:hAnsi="Calibri" w:cs="Calibri"/>
        </w:rPr>
        <w:t> </w:t>
      </w:r>
    </w:p>
    <w:p w14:paraId="0C873120" w14:textId="3364341A" w:rsidR="000A0262" w:rsidRDefault="000A0262" w:rsidP="000A0262">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6EA1D16B" wp14:editId="7A8AA18A">
            <wp:extent cx="9525" cy="95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397453AB"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PARTE I: PREGUNTAS DE DESARROLLO (4 preguntas - Valor 5 puntos cada una)</w:t>
      </w:r>
      <w:r>
        <w:rPr>
          <w:rStyle w:val="eop"/>
          <w:rFonts w:ascii="Calibri" w:hAnsi="Calibri" w:cs="Calibri"/>
        </w:rPr>
        <w:t> </w:t>
      </w:r>
    </w:p>
    <w:p w14:paraId="3EBAA60E"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w:t>
      </w:r>
      <w:r>
        <w:rPr>
          <w:rStyle w:val="normaltextrun"/>
          <w:rFonts w:ascii="Calibri" w:hAnsi="Calibri" w:cs="Calibri"/>
          <w:b/>
          <w:bCs/>
        </w:rPr>
        <w:t>Sistema de Valor del Servicio</w:t>
      </w:r>
      <w:r>
        <w:rPr>
          <w:rStyle w:val="eop"/>
          <w:rFonts w:ascii="Calibri" w:hAnsi="Calibri" w:cs="Calibri"/>
        </w:rPr>
        <w:t> </w:t>
      </w:r>
    </w:p>
    <w:p w14:paraId="1981463F"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1. Análisis de caso (Aplicación del SVS y los principios guía):</w:t>
      </w:r>
      <w:r>
        <w:rPr>
          <w:rStyle w:val="scxw18974708"/>
          <w:rFonts w:ascii="Calibri" w:hAnsi="Calibri" w:cs="Calibri"/>
        </w:rPr>
        <w:t> </w:t>
      </w:r>
      <w:r>
        <w:rPr>
          <w:rFonts w:ascii="Calibri" w:hAnsi="Calibri" w:cs="Calibri"/>
        </w:rPr>
        <w:br/>
      </w:r>
      <w:r>
        <w:rPr>
          <w:rStyle w:val="normaltextrun"/>
          <w:rFonts w:ascii="Calibri" w:hAnsi="Calibri" w:cs="Calibri"/>
          <w:i/>
          <w:iCs/>
        </w:rPr>
        <w:t>Una empresa minorista ha lanzado recientemente una nueva plataforma de comercio electrónico. A pesar de que el proyecto se completó a tiempo y dentro del presupuesto, los usuarios finales (clientes) reportan una experiencia de compra confusa y lenta. El equipo de desarrollo argumenta que el sistema funciona "según lo especificado", pero el negocio está perdiendo ventas. La alta dirección está considerando invertir en una costosa reingeniería de la interfaz de usuario.</w:t>
      </w:r>
      <w:r>
        <w:rPr>
          <w:rStyle w:val="eop"/>
          <w:rFonts w:ascii="Calibri" w:hAnsi="Calibri" w:cs="Calibri"/>
        </w:rPr>
        <w:t> </w:t>
      </w:r>
    </w:p>
    <w:p w14:paraId="0F70AC97"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Pregunta:</w:t>
      </w:r>
      <w:r>
        <w:rPr>
          <w:rStyle w:val="normaltextrun"/>
          <w:rFonts w:ascii="Calibri" w:hAnsi="Calibri" w:cs="Calibri"/>
        </w:rPr>
        <w:t> Desde la perspectiva de ITIL 4, analice por qué esta situación representa un fracaso en la </w:t>
      </w:r>
      <w:r>
        <w:rPr>
          <w:rStyle w:val="normaltextrun"/>
          <w:rFonts w:ascii="Calibri" w:hAnsi="Calibri" w:cs="Calibri"/>
          <w:b/>
          <w:bCs/>
        </w:rPr>
        <w:t>co-creación de valor</w:t>
      </w:r>
      <w:r>
        <w:rPr>
          <w:rStyle w:val="normaltextrun"/>
          <w:rFonts w:ascii="Calibri" w:hAnsi="Calibri" w:cs="Calibri"/>
        </w:rPr>
        <w:t>. Identifique al menos </w:t>
      </w:r>
      <w:r>
        <w:rPr>
          <w:rStyle w:val="normaltextrun"/>
          <w:rFonts w:ascii="Calibri" w:hAnsi="Calibri" w:cs="Calibri"/>
          <w:b/>
          <w:bCs/>
        </w:rPr>
        <w:t>tres principios guía</w:t>
      </w:r>
      <w:r>
        <w:rPr>
          <w:rStyle w:val="normaltextrun"/>
          <w:rFonts w:ascii="Calibri" w:hAnsi="Calibri" w:cs="Calibri"/>
        </w:rPr>
        <w:t> de ITIL 4 que se han descuidado y explique cómo deberían haberse aplicado para evitar el problema. Finalmente, proponga una solucion  para realinear el servicio con las expectativas del negocio, utilizando el concepto de </w:t>
      </w:r>
      <w:r>
        <w:rPr>
          <w:rStyle w:val="normaltextrun"/>
          <w:rFonts w:ascii="Calibri" w:hAnsi="Calibri" w:cs="Calibri"/>
          <w:b/>
          <w:bCs/>
        </w:rPr>
        <w:t>flujo de valor</w:t>
      </w:r>
      <w:r>
        <w:rPr>
          <w:rStyle w:val="normaltextrun"/>
          <w:rFonts w:ascii="Calibri" w:hAnsi="Calibri" w:cs="Calibri"/>
        </w:rPr>
        <w:t>.</w:t>
      </w:r>
      <w:r>
        <w:rPr>
          <w:rStyle w:val="eop"/>
          <w:rFonts w:ascii="Calibri" w:hAnsi="Calibri" w:cs="Calibri"/>
        </w:rPr>
        <w:t> </w:t>
      </w:r>
    </w:p>
    <w:p w14:paraId="7099DE31" w14:textId="44BD283C" w:rsidR="000A0262" w:rsidRDefault="000A0262" w:rsidP="000A0262">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50EBD9E6" wp14:editId="60FC28FC">
            <wp:extent cx="9525" cy="95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59EDE6A0"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2. Diferenciación conceptual profunda (ITIL v3 vs. ITIL 4):</w:t>
      </w:r>
      <w:r>
        <w:rPr>
          <w:rStyle w:val="scxw18974708"/>
          <w:rFonts w:ascii="Calibri" w:hAnsi="Calibri" w:cs="Calibri"/>
        </w:rPr>
        <w:t> </w:t>
      </w:r>
      <w:r>
        <w:rPr>
          <w:rFonts w:ascii="Calibri" w:hAnsi="Calibri" w:cs="Calibri"/>
        </w:rPr>
        <w:br/>
      </w:r>
      <w:r>
        <w:rPr>
          <w:rStyle w:val="normaltextrun"/>
          <w:rFonts w:ascii="Calibri" w:hAnsi="Calibri" w:cs="Calibri"/>
          <w:i/>
          <w:iCs/>
        </w:rPr>
        <w:t>Una organización que ha utilizado ITIL v3 durante años está considerando migrar a ITIL 4. El responsable de TI argumenta: "No veo la necesidad de cambiar; tenemos nuestros 26 procesos bien definidos y documentados, y funcionan. ITIL 4 es solo un cambio de nombre".</w:t>
      </w:r>
      <w:r>
        <w:rPr>
          <w:rStyle w:val="eop"/>
          <w:rFonts w:ascii="Calibri" w:hAnsi="Calibri" w:cs="Calibri"/>
        </w:rPr>
        <w:t> </w:t>
      </w:r>
    </w:p>
    <w:p w14:paraId="16B56676"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Pregunta:</w:t>
      </w:r>
      <w:r>
        <w:rPr>
          <w:rStyle w:val="normaltextrun"/>
          <w:rFonts w:ascii="Calibri" w:hAnsi="Calibri" w:cs="Calibri"/>
        </w:rPr>
        <w:t> Desarrolle una explicación detallada de las diferencias fundamentales entre ITIL v3 e ITIL 4. En su respuesta, debe abordar:</w:t>
      </w:r>
      <w:r>
        <w:rPr>
          <w:rStyle w:val="eop"/>
          <w:rFonts w:ascii="Calibri" w:hAnsi="Calibri" w:cs="Calibri"/>
        </w:rPr>
        <w:t> </w:t>
      </w:r>
    </w:p>
    <w:p w14:paraId="48288AA5" w14:textId="77777777" w:rsidR="000A0262" w:rsidRDefault="000A0262" w:rsidP="000A0262">
      <w:pPr>
        <w:pStyle w:val="paragraph"/>
        <w:numPr>
          <w:ilvl w:val="0"/>
          <w:numId w:val="1"/>
        </w:numPr>
        <w:spacing w:before="0" w:beforeAutospacing="0" w:after="0" w:afterAutospacing="0"/>
        <w:ind w:left="1080" w:firstLine="0"/>
        <w:textAlignment w:val="baseline"/>
        <w:rPr>
          <w:rFonts w:ascii="Calibri" w:hAnsi="Calibri" w:cs="Calibri"/>
        </w:rPr>
      </w:pPr>
      <w:r>
        <w:rPr>
          <w:rStyle w:val="normaltextrun"/>
          <w:rFonts w:ascii="Calibri" w:hAnsi="Calibri" w:cs="Calibri"/>
        </w:rPr>
        <w:t>La evolución del </w:t>
      </w:r>
      <w:r>
        <w:rPr>
          <w:rStyle w:val="normaltextrun"/>
          <w:rFonts w:ascii="Calibri" w:hAnsi="Calibri" w:cs="Calibri"/>
          <w:b/>
          <w:bCs/>
        </w:rPr>
        <w:t>enfoque de "procesos" a "prácticas"</w:t>
      </w:r>
      <w:r>
        <w:rPr>
          <w:rStyle w:val="normaltextrun"/>
          <w:rFonts w:ascii="Calibri" w:hAnsi="Calibri" w:cs="Calibri"/>
        </w:rPr>
        <w:t>.</w:t>
      </w:r>
      <w:r>
        <w:rPr>
          <w:rStyle w:val="eop"/>
          <w:rFonts w:ascii="Calibri" w:hAnsi="Calibri" w:cs="Calibri"/>
        </w:rPr>
        <w:t> </w:t>
      </w:r>
    </w:p>
    <w:p w14:paraId="565BA43F" w14:textId="77777777" w:rsidR="000A0262" w:rsidRDefault="000A0262" w:rsidP="000A0262">
      <w:pPr>
        <w:pStyle w:val="paragraph"/>
        <w:numPr>
          <w:ilvl w:val="0"/>
          <w:numId w:val="2"/>
        </w:numPr>
        <w:spacing w:before="0" w:beforeAutospacing="0" w:after="0" w:afterAutospacing="0"/>
        <w:ind w:left="1080" w:firstLine="0"/>
        <w:textAlignment w:val="baseline"/>
        <w:rPr>
          <w:rFonts w:ascii="Calibri" w:hAnsi="Calibri" w:cs="Calibri"/>
        </w:rPr>
      </w:pPr>
      <w:r>
        <w:rPr>
          <w:rStyle w:val="normaltextrun"/>
          <w:rFonts w:ascii="Calibri" w:hAnsi="Calibri" w:cs="Calibri"/>
        </w:rPr>
        <w:t>La incorporación de metodologías modernas como </w:t>
      </w:r>
      <w:r>
        <w:rPr>
          <w:rStyle w:val="normaltextrun"/>
          <w:rFonts w:ascii="Calibri" w:hAnsi="Calibri" w:cs="Calibri"/>
          <w:b/>
          <w:bCs/>
        </w:rPr>
        <w:t>Agile, Lean y DevOps</w:t>
      </w:r>
      <w:r>
        <w:rPr>
          <w:rStyle w:val="normaltextrun"/>
          <w:rFonts w:ascii="Calibri" w:hAnsi="Calibri" w:cs="Calibri"/>
        </w:rPr>
        <w:t>.</w:t>
      </w:r>
      <w:r>
        <w:rPr>
          <w:rStyle w:val="eop"/>
          <w:rFonts w:ascii="Calibri" w:hAnsi="Calibri" w:cs="Calibri"/>
        </w:rPr>
        <w:t> </w:t>
      </w:r>
    </w:p>
    <w:p w14:paraId="14B8E998" w14:textId="77777777" w:rsidR="000A0262" w:rsidRDefault="000A0262" w:rsidP="000A0262">
      <w:pPr>
        <w:pStyle w:val="paragraph"/>
        <w:numPr>
          <w:ilvl w:val="0"/>
          <w:numId w:val="3"/>
        </w:numPr>
        <w:spacing w:before="0" w:beforeAutospacing="0" w:after="0" w:afterAutospacing="0"/>
        <w:ind w:left="1080" w:firstLine="0"/>
        <w:textAlignment w:val="baseline"/>
        <w:rPr>
          <w:rFonts w:ascii="Calibri" w:hAnsi="Calibri" w:cs="Calibri"/>
        </w:rPr>
      </w:pPr>
      <w:r>
        <w:rPr>
          <w:rStyle w:val="normaltextrun"/>
          <w:rFonts w:ascii="Calibri" w:hAnsi="Calibri" w:cs="Calibri"/>
        </w:rPr>
        <w:t>El cambio del </w:t>
      </w:r>
      <w:r>
        <w:rPr>
          <w:rStyle w:val="normaltextrun"/>
          <w:rFonts w:ascii="Calibri" w:hAnsi="Calibri" w:cs="Calibri"/>
          <w:b/>
          <w:bCs/>
        </w:rPr>
        <w:t>ciclo de vida del servicio</w:t>
      </w:r>
      <w:r>
        <w:rPr>
          <w:rStyle w:val="normaltextrun"/>
          <w:rFonts w:ascii="Calibri" w:hAnsi="Calibri" w:cs="Calibri"/>
        </w:rPr>
        <w:t> al </w:t>
      </w:r>
      <w:r>
        <w:rPr>
          <w:rStyle w:val="normaltextrun"/>
          <w:rFonts w:ascii="Calibri" w:hAnsi="Calibri" w:cs="Calibri"/>
          <w:b/>
          <w:bCs/>
        </w:rPr>
        <w:t>Sistema de Valor del Servicio (SVS)</w:t>
      </w:r>
      <w:r>
        <w:rPr>
          <w:rStyle w:val="normaltextrun"/>
          <w:rFonts w:ascii="Calibri" w:hAnsi="Calibri" w:cs="Calibri"/>
        </w:rPr>
        <w:t>.</w:t>
      </w:r>
      <w:r>
        <w:rPr>
          <w:rStyle w:val="scxw18974708"/>
          <w:rFonts w:ascii="Calibri" w:hAnsi="Calibri" w:cs="Calibri"/>
        </w:rPr>
        <w:t> </w:t>
      </w:r>
      <w:r>
        <w:rPr>
          <w:rFonts w:ascii="Calibri" w:hAnsi="Calibri" w:cs="Calibri"/>
        </w:rPr>
        <w:br/>
      </w:r>
      <w:r>
        <w:rPr>
          <w:rStyle w:val="normaltextrun"/>
          <w:rFonts w:ascii="Calibri" w:hAnsi="Calibri" w:cs="Calibri"/>
        </w:rPr>
        <w:t>Argumente por qué esta migración no es solo un cambio terminológico, sino un cambio de paradigma necesario para la gestión de servicios moderna.</w:t>
      </w:r>
      <w:r>
        <w:rPr>
          <w:rStyle w:val="eop"/>
          <w:rFonts w:ascii="Calibri" w:hAnsi="Calibri" w:cs="Calibri"/>
        </w:rPr>
        <w:t> </w:t>
      </w:r>
    </w:p>
    <w:p w14:paraId="14E6247E" w14:textId="57FDD2D5" w:rsidR="000A0262" w:rsidRDefault="000A0262" w:rsidP="000A0262">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03133948" wp14:editId="3E6C336E">
            <wp:extent cx="9525" cy="95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5C12B90F"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3. Aplicación del modelo de las 4 dimensiones:</w:t>
      </w:r>
      <w:r>
        <w:rPr>
          <w:rStyle w:val="scxw18974708"/>
          <w:rFonts w:ascii="Calibri" w:hAnsi="Calibri" w:cs="Calibri"/>
        </w:rPr>
        <w:t> </w:t>
      </w:r>
      <w:r>
        <w:rPr>
          <w:rFonts w:ascii="Calibri" w:hAnsi="Calibri" w:cs="Calibri"/>
        </w:rPr>
        <w:br/>
      </w:r>
      <w:r>
        <w:rPr>
          <w:rStyle w:val="normaltextrun"/>
          <w:rFonts w:ascii="Calibri" w:hAnsi="Calibri" w:cs="Calibri"/>
          <w:i/>
          <w:iCs/>
        </w:rPr>
        <w:t>Un proveedor de servicios en la nube está experimentando una caída en la satisfacción de sus clientes. Los informes de incidentes muestran que el tiempo de resolución de problemas ha aumentado un 40% en el último trimestre. El equipo de soporte está bien capacitado y utiliza herramientas de monitoreo de última generación. Sin embargo, la documentación de los procedimientos está desactualizada, los acuerdos de nivel de servicio (SLAs) no se revisan desde hace dos años y los clientes reportan que la comunicación durante las interrupciones es confusa y poco empática.</w:t>
      </w:r>
      <w:r>
        <w:rPr>
          <w:rStyle w:val="eop"/>
          <w:rFonts w:ascii="Calibri" w:hAnsi="Calibri" w:cs="Calibri"/>
        </w:rPr>
        <w:t> </w:t>
      </w:r>
    </w:p>
    <w:p w14:paraId="555252A2"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lastRenderedPageBreak/>
        <w:t>Pregunta:</w:t>
      </w:r>
      <w:r>
        <w:rPr>
          <w:rStyle w:val="normaltextrun"/>
          <w:rFonts w:ascii="Calibri" w:hAnsi="Calibri" w:cs="Calibri"/>
        </w:rPr>
        <w:t> Utilizando el modelo de las </w:t>
      </w:r>
      <w:r>
        <w:rPr>
          <w:rStyle w:val="normaltextrun"/>
          <w:rFonts w:ascii="Calibri" w:hAnsi="Calibri" w:cs="Calibri"/>
          <w:b/>
          <w:bCs/>
        </w:rPr>
        <w:t>4 dimensiones de la gestión de servicios</w:t>
      </w:r>
      <w:r>
        <w:rPr>
          <w:rStyle w:val="normaltextrun"/>
          <w:rFonts w:ascii="Calibri" w:hAnsi="Calibri" w:cs="Calibri"/>
        </w:rPr>
        <w:t> de ITIL 4, analice las causas raíz de este problema. Para cada una de las cuatro dimensiones (</w:t>
      </w:r>
      <w:r>
        <w:rPr>
          <w:rStyle w:val="normaltextrun"/>
          <w:rFonts w:ascii="Calibri" w:hAnsi="Calibri" w:cs="Calibri"/>
          <w:b/>
          <w:bCs/>
        </w:rPr>
        <w:t>Organizaciones y Personas, Información y Tecnología, Socios y Proveedores, Flujos de Valor y Procesos</w:t>
      </w:r>
      <w:r>
        <w:rPr>
          <w:rStyle w:val="normaltextrun"/>
          <w:rFonts w:ascii="Calibri" w:hAnsi="Calibri" w:cs="Calibri"/>
        </w:rPr>
        <w:t>), identifique </w:t>
      </w:r>
      <w:r>
        <w:rPr>
          <w:rStyle w:val="normaltextrun"/>
          <w:rFonts w:ascii="Calibri" w:hAnsi="Calibri" w:cs="Calibri"/>
          <w:b/>
          <w:bCs/>
        </w:rPr>
        <w:t>UNA</w:t>
      </w:r>
      <w:r>
        <w:rPr>
          <w:rStyle w:val="normaltextrun"/>
          <w:rFonts w:ascii="Calibri" w:hAnsi="Calibri" w:cs="Calibri"/>
        </w:rPr>
        <w:t>  deficiencia específica en el caso y proponga una acción correctiva alineada con ITIL 4.</w:t>
      </w:r>
      <w:r>
        <w:rPr>
          <w:rStyle w:val="eop"/>
          <w:rFonts w:ascii="Calibri" w:hAnsi="Calibri" w:cs="Calibri"/>
        </w:rPr>
        <w:t> </w:t>
      </w:r>
    </w:p>
    <w:p w14:paraId="5238F70E" w14:textId="474F2827" w:rsidR="000A0262" w:rsidRDefault="000A0262" w:rsidP="000A0262">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138921C7" wp14:editId="62B4A5F2">
            <wp:extent cx="9525" cy="95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6E6AA4A2" w14:textId="0BD20728" w:rsidR="000A0262" w:rsidRDefault="000A0262" w:rsidP="000A0262">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0EE17FA1" wp14:editId="5895F482">
            <wp:extent cx="9525" cy="95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0C3ABECF"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PARTE II: SELECCIÓN MÚLTIPLE (10 preguntas - Valor 0.5 puntos cada una)</w:t>
      </w:r>
      <w:r>
        <w:rPr>
          <w:rStyle w:val="eop"/>
          <w:rFonts w:ascii="Calibri" w:hAnsi="Calibri" w:cs="Calibri"/>
        </w:rPr>
        <w:t> </w:t>
      </w:r>
    </w:p>
    <w:p w14:paraId="44B6CAAA"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1.</w:t>
      </w:r>
      <w:r>
        <w:rPr>
          <w:rStyle w:val="normaltextrun"/>
          <w:rFonts w:ascii="Calibri" w:hAnsi="Calibri" w:cs="Calibri"/>
        </w:rPr>
        <w:t> En ITIL 4, el </w:t>
      </w:r>
      <w:r>
        <w:rPr>
          <w:rStyle w:val="normaltextrun"/>
          <w:rFonts w:ascii="Calibri" w:hAnsi="Calibri" w:cs="Calibri"/>
          <w:b/>
          <w:bCs/>
        </w:rPr>
        <w:t>Sistema de Valor del Servicio (SVS)</w:t>
      </w:r>
      <w:r>
        <w:rPr>
          <w:rStyle w:val="normaltextrun"/>
          <w:rFonts w:ascii="Calibri" w:hAnsi="Calibri" w:cs="Calibri"/>
        </w:rPr>
        <w:t> se describe como:</w:t>
      </w:r>
      <w:r>
        <w:rPr>
          <w:rStyle w:val="eop"/>
          <w:rFonts w:ascii="Calibri" w:hAnsi="Calibri" w:cs="Calibri"/>
        </w:rPr>
        <w:t> </w:t>
      </w:r>
    </w:p>
    <w:p w14:paraId="3389AFD4" w14:textId="77777777" w:rsidR="000A0262" w:rsidRDefault="000A0262" w:rsidP="000A0262">
      <w:pPr>
        <w:pStyle w:val="paragraph"/>
        <w:numPr>
          <w:ilvl w:val="0"/>
          <w:numId w:val="4"/>
        </w:numPr>
        <w:spacing w:before="0" w:beforeAutospacing="0" w:after="0" w:afterAutospacing="0"/>
        <w:ind w:left="1080" w:firstLine="0"/>
        <w:textAlignment w:val="baseline"/>
        <w:rPr>
          <w:rFonts w:ascii="Calibri" w:hAnsi="Calibri" w:cs="Calibri"/>
        </w:rPr>
      </w:pPr>
      <w:r>
        <w:rPr>
          <w:rStyle w:val="normaltextrun"/>
          <w:rFonts w:ascii="Calibri" w:hAnsi="Calibri" w:cs="Calibri"/>
        </w:rPr>
        <w:t>a) Un modelo que describe cómo todos los componentes y actividades de una organización trabajan juntos para facilitar la co-creación de valor.</w:t>
      </w:r>
      <w:r>
        <w:rPr>
          <w:rStyle w:val="eop"/>
          <w:rFonts w:ascii="Calibri" w:hAnsi="Calibri" w:cs="Calibri"/>
        </w:rPr>
        <w:t> </w:t>
      </w:r>
    </w:p>
    <w:p w14:paraId="442B2A36" w14:textId="77777777" w:rsidR="000A0262" w:rsidRDefault="000A0262" w:rsidP="000A0262">
      <w:pPr>
        <w:pStyle w:val="paragraph"/>
        <w:numPr>
          <w:ilvl w:val="0"/>
          <w:numId w:val="5"/>
        </w:numPr>
        <w:spacing w:before="0" w:beforeAutospacing="0" w:after="0" w:afterAutospacing="0"/>
        <w:ind w:left="1080" w:firstLine="0"/>
        <w:textAlignment w:val="baseline"/>
        <w:rPr>
          <w:rFonts w:ascii="Calibri" w:hAnsi="Calibri" w:cs="Calibri"/>
        </w:rPr>
      </w:pPr>
      <w:r>
        <w:rPr>
          <w:rStyle w:val="normaltextrun"/>
          <w:rFonts w:ascii="Calibri" w:hAnsi="Calibri" w:cs="Calibri"/>
        </w:rPr>
        <w:t>b) Un conjunto de 26 procesos interconectados que cubren todo el ciclo de vida del servicio.</w:t>
      </w:r>
      <w:r>
        <w:rPr>
          <w:rStyle w:val="eop"/>
          <w:rFonts w:ascii="Calibri" w:hAnsi="Calibri" w:cs="Calibri"/>
        </w:rPr>
        <w:t> </w:t>
      </w:r>
    </w:p>
    <w:p w14:paraId="46FF3D6C" w14:textId="77777777" w:rsidR="000A0262" w:rsidRDefault="000A0262" w:rsidP="000A0262">
      <w:pPr>
        <w:pStyle w:val="paragraph"/>
        <w:numPr>
          <w:ilvl w:val="0"/>
          <w:numId w:val="6"/>
        </w:numPr>
        <w:spacing w:before="0" w:beforeAutospacing="0" w:after="0" w:afterAutospacing="0"/>
        <w:ind w:left="1080" w:firstLine="0"/>
        <w:textAlignment w:val="baseline"/>
        <w:rPr>
          <w:rFonts w:ascii="Calibri" w:hAnsi="Calibri" w:cs="Calibri"/>
        </w:rPr>
      </w:pPr>
      <w:r>
        <w:rPr>
          <w:rStyle w:val="normaltextrun"/>
          <w:rFonts w:ascii="Calibri" w:hAnsi="Calibri" w:cs="Calibri"/>
        </w:rPr>
        <w:t>c) Una herramienta de software para la gestión de incidentes y problemas.</w:t>
      </w:r>
      <w:r>
        <w:rPr>
          <w:rStyle w:val="eop"/>
          <w:rFonts w:ascii="Calibri" w:hAnsi="Calibri" w:cs="Calibri"/>
        </w:rPr>
        <w:t> </w:t>
      </w:r>
    </w:p>
    <w:p w14:paraId="48E42FFA" w14:textId="77777777" w:rsidR="000A0262" w:rsidRDefault="000A0262" w:rsidP="000A0262">
      <w:pPr>
        <w:pStyle w:val="paragraph"/>
        <w:numPr>
          <w:ilvl w:val="0"/>
          <w:numId w:val="7"/>
        </w:numPr>
        <w:spacing w:before="0" w:beforeAutospacing="0" w:after="0" w:afterAutospacing="0"/>
        <w:ind w:left="1080" w:firstLine="0"/>
        <w:textAlignment w:val="baseline"/>
        <w:rPr>
          <w:rFonts w:ascii="Calibri" w:hAnsi="Calibri" w:cs="Calibri"/>
        </w:rPr>
      </w:pPr>
      <w:r>
        <w:rPr>
          <w:rStyle w:val="normaltextrun"/>
          <w:rFonts w:ascii="Calibri" w:hAnsi="Calibri" w:cs="Calibri"/>
        </w:rPr>
        <w:t>d) Un modelo de madurez que evalúa la capacidad de una organización en 5 niveles.</w:t>
      </w:r>
      <w:r>
        <w:rPr>
          <w:rStyle w:val="eop"/>
          <w:rFonts w:ascii="Calibri" w:hAnsi="Calibri" w:cs="Calibri"/>
        </w:rPr>
        <w:t> </w:t>
      </w:r>
    </w:p>
    <w:p w14:paraId="75115831" w14:textId="00F6E452" w:rsidR="000A0262" w:rsidRDefault="000A0262" w:rsidP="000A0262">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7BE9EDAB" wp14:editId="5B69B2A2">
            <wp:extent cx="9525" cy="95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35714FDB"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2.</w:t>
      </w:r>
      <w:r>
        <w:rPr>
          <w:rStyle w:val="normaltextrun"/>
          <w:rFonts w:ascii="Calibri" w:hAnsi="Calibri" w:cs="Calibri"/>
        </w:rPr>
        <w:t> ¿Cuál de los siguientes </w:t>
      </w:r>
      <w:r>
        <w:rPr>
          <w:rStyle w:val="normaltextrun"/>
          <w:rFonts w:ascii="Calibri" w:hAnsi="Calibri" w:cs="Calibri"/>
          <w:b/>
          <w:bCs/>
        </w:rPr>
        <w:t>NO</w:t>
      </w:r>
      <w:r>
        <w:rPr>
          <w:rStyle w:val="normaltextrun"/>
          <w:rFonts w:ascii="Calibri" w:hAnsi="Calibri" w:cs="Calibri"/>
        </w:rPr>
        <w:t> es uno de los 7 principios guía de ITIL 4?</w:t>
      </w:r>
      <w:r>
        <w:rPr>
          <w:rStyle w:val="eop"/>
          <w:rFonts w:ascii="Calibri" w:hAnsi="Calibri" w:cs="Calibri"/>
        </w:rPr>
        <w:t> </w:t>
      </w:r>
    </w:p>
    <w:p w14:paraId="5711485E" w14:textId="77777777" w:rsidR="000A0262" w:rsidRDefault="000A0262" w:rsidP="000A0262">
      <w:pPr>
        <w:pStyle w:val="paragraph"/>
        <w:numPr>
          <w:ilvl w:val="0"/>
          <w:numId w:val="8"/>
        </w:numPr>
        <w:spacing w:before="0" w:beforeAutospacing="0" w:after="0" w:afterAutospacing="0"/>
        <w:ind w:left="1080" w:firstLine="0"/>
        <w:textAlignment w:val="baseline"/>
        <w:rPr>
          <w:rFonts w:ascii="Calibri" w:hAnsi="Calibri" w:cs="Calibri"/>
        </w:rPr>
      </w:pPr>
      <w:r>
        <w:rPr>
          <w:rStyle w:val="normaltextrun"/>
          <w:rFonts w:ascii="Calibri" w:hAnsi="Calibri" w:cs="Calibri"/>
        </w:rPr>
        <w:t>a) Centrarse en el valor.</w:t>
      </w:r>
      <w:r>
        <w:rPr>
          <w:rStyle w:val="eop"/>
          <w:rFonts w:ascii="Calibri" w:hAnsi="Calibri" w:cs="Calibri"/>
        </w:rPr>
        <w:t> </w:t>
      </w:r>
    </w:p>
    <w:p w14:paraId="4D1226BF" w14:textId="77777777" w:rsidR="000A0262" w:rsidRDefault="000A0262" w:rsidP="000A0262">
      <w:pPr>
        <w:pStyle w:val="paragraph"/>
        <w:numPr>
          <w:ilvl w:val="0"/>
          <w:numId w:val="9"/>
        </w:numPr>
        <w:spacing w:before="0" w:beforeAutospacing="0" w:after="0" w:afterAutospacing="0"/>
        <w:ind w:left="1080" w:firstLine="0"/>
        <w:textAlignment w:val="baseline"/>
        <w:rPr>
          <w:rFonts w:ascii="Calibri" w:hAnsi="Calibri" w:cs="Calibri"/>
        </w:rPr>
      </w:pPr>
      <w:r>
        <w:rPr>
          <w:rStyle w:val="normaltextrun"/>
          <w:rFonts w:ascii="Calibri" w:hAnsi="Calibri" w:cs="Calibri"/>
        </w:rPr>
        <w:t>b) Avanzar de forma iterativa con retroalimentación.</w:t>
      </w:r>
      <w:r>
        <w:rPr>
          <w:rStyle w:val="eop"/>
          <w:rFonts w:ascii="Calibri" w:hAnsi="Calibri" w:cs="Calibri"/>
        </w:rPr>
        <w:t> </w:t>
      </w:r>
    </w:p>
    <w:p w14:paraId="4C655D1B" w14:textId="77777777" w:rsidR="000A0262" w:rsidRDefault="000A0262" w:rsidP="000A0262">
      <w:pPr>
        <w:pStyle w:val="paragraph"/>
        <w:numPr>
          <w:ilvl w:val="0"/>
          <w:numId w:val="10"/>
        </w:numPr>
        <w:spacing w:before="0" w:beforeAutospacing="0" w:after="0" w:afterAutospacing="0"/>
        <w:ind w:left="1080" w:firstLine="0"/>
        <w:textAlignment w:val="baseline"/>
        <w:rPr>
          <w:rFonts w:ascii="Calibri" w:hAnsi="Calibri" w:cs="Calibri"/>
        </w:rPr>
      </w:pPr>
      <w:r>
        <w:rPr>
          <w:rStyle w:val="normaltextrun"/>
          <w:rFonts w:ascii="Calibri" w:hAnsi="Calibri" w:cs="Calibri"/>
        </w:rPr>
        <w:t>c) Externalizar para optimizar.</w:t>
      </w:r>
      <w:r>
        <w:rPr>
          <w:rStyle w:val="eop"/>
          <w:rFonts w:ascii="Calibri" w:hAnsi="Calibri" w:cs="Calibri"/>
        </w:rPr>
        <w:t> </w:t>
      </w:r>
    </w:p>
    <w:p w14:paraId="67B1A7FA" w14:textId="77777777" w:rsidR="000A0262" w:rsidRDefault="000A0262" w:rsidP="000A0262">
      <w:pPr>
        <w:pStyle w:val="paragraph"/>
        <w:numPr>
          <w:ilvl w:val="0"/>
          <w:numId w:val="11"/>
        </w:numPr>
        <w:spacing w:before="0" w:beforeAutospacing="0" w:after="0" w:afterAutospacing="0"/>
        <w:ind w:left="1080" w:firstLine="0"/>
        <w:textAlignment w:val="baseline"/>
        <w:rPr>
          <w:rFonts w:ascii="Calibri" w:hAnsi="Calibri" w:cs="Calibri"/>
        </w:rPr>
      </w:pPr>
      <w:r>
        <w:rPr>
          <w:rStyle w:val="normaltextrun"/>
          <w:rFonts w:ascii="Calibri" w:hAnsi="Calibri" w:cs="Calibri"/>
        </w:rPr>
        <w:t>d) Colaborar y promover la visibilidad.</w:t>
      </w:r>
      <w:r>
        <w:rPr>
          <w:rStyle w:val="eop"/>
          <w:rFonts w:ascii="Calibri" w:hAnsi="Calibri" w:cs="Calibri"/>
        </w:rPr>
        <w:t> </w:t>
      </w:r>
    </w:p>
    <w:p w14:paraId="2586137D" w14:textId="0B0EA9D2" w:rsidR="000A0262" w:rsidRDefault="000A0262" w:rsidP="000A0262">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584FC370" wp14:editId="1298CD75">
            <wp:extent cx="9525" cy="95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23A66AF1" w14:textId="77777777" w:rsidR="000A0262" w:rsidRDefault="000A0262" w:rsidP="000A0262">
      <w:pPr>
        <w:pStyle w:val="paragraph"/>
        <w:spacing w:before="0" w:beforeAutospacing="0" w:after="0" w:afterAutospacing="0"/>
        <w:textAlignment w:val="baseline"/>
        <w:rPr>
          <w:rFonts w:ascii="Segoe UI" w:hAnsi="Segoe UI" w:cs="Segoe UI"/>
          <w:sz w:val="18"/>
          <w:szCs w:val="18"/>
          <w:lang w:val="es-ES"/>
        </w:rPr>
      </w:pPr>
      <w:r>
        <w:rPr>
          <w:rStyle w:val="eop"/>
          <w:rFonts w:ascii="Calibri" w:hAnsi="Calibri" w:cs="Calibri"/>
          <w:lang w:val="es-ES"/>
        </w:rPr>
        <w:t> </w:t>
      </w:r>
    </w:p>
    <w:p w14:paraId="426172CC"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3.</w:t>
      </w:r>
      <w:r>
        <w:rPr>
          <w:rStyle w:val="normaltextrun"/>
          <w:rFonts w:ascii="Calibri" w:hAnsi="Calibri" w:cs="Calibri"/>
        </w:rPr>
        <w:t> La transición de ITIL v3 a ITIL 4 implica un cambio fundamental de un enfoque basado en:</w:t>
      </w:r>
      <w:r>
        <w:rPr>
          <w:rStyle w:val="eop"/>
          <w:rFonts w:ascii="Calibri" w:hAnsi="Calibri" w:cs="Calibri"/>
        </w:rPr>
        <w:t> </w:t>
      </w:r>
    </w:p>
    <w:p w14:paraId="2F7DCE62" w14:textId="77777777" w:rsidR="000A0262" w:rsidRDefault="000A0262" w:rsidP="000A0262">
      <w:pPr>
        <w:pStyle w:val="paragraph"/>
        <w:numPr>
          <w:ilvl w:val="0"/>
          <w:numId w:val="12"/>
        </w:numPr>
        <w:spacing w:before="0" w:beforeAutospacing="0" w:after="0" w:afterAutospacing="0"/>
        <w:ind w:left="1080" w:firstLine="0"/>
        <w:textAlignment w:val="baseline"/>
        <w:rPr>
          <w:rFonts w:ascii="Calibri" w:hAnsi="Calibri" w:cs="Calibri"/>
        </w:rPr>
      </w:pPr>
      <w:r>
        <w:rPr>
          <w:rStyle w:val="normaltextrun"/>
          <w:rFonts w:ascii="Calibri" w:hAnsi="Calibri" w:cs="Calibri"/>
        </w:rPr>
        <w:t>a) Procesos a un enfoque basado en prácticas.</w:t>
      </w:r>
      <w:r>
        <w:rPr>
          <w:rStyle w:val="eop"/>
          <w:rFonts w:ascii="Calibri" w:hAnsi="Calibri" w:cs="Calibri"/>
        </w:rPr>
        <w:t> </w:t>
      </w:r>
    </w:p>
    <w:p w14:paraId="08634A04" w14:textId="77777777" w:rsidR="000A0262" w:rsidRDefault="000A0262" w:rsidP="000A0262">
      <w:pPr>
        <w:pStyle w:val="paragraph"/>
        <w:numPr>
          <w:ilvl w:val="0"/>
          <w:numId w:val="13"/>
        </w:numPr>
        <w:spacing w:before="0" w:beforeAutospacing="0" w:after="0" w:afterAutospacing="0"/>
        <w:ind w:left="1080" w:firstLine="0"/>
        <w:textAlignment w:val="baseline"/>
        <w:rPr>
          <w:rFonts w:ascii="Calibri" w:hAnsi="Calibri" w:cs="Calibri"/>
        </w:rPr>
      </w:pPr>
      <w:r>
        <w:rPr>
          <w:rStyle w:val="normaltextrun"/>
          <w:rFonts w:ascii="Calibri" w:hAnsi="Calibri" w:cs="Calibri"/>
        </w:rPr>
        <w:t>b) Servicios a un enfoque basado en productos.</w:t>
      </w:r>
      <w:r>
        <w:rPr>
          <w:rStyle w:val="eop"/>
          <w:rFonts w:ascii="Calibri" w:hAnsi="Calibri" w:cs="Calibri"/>
        </w:rPr>
        <w:t> </w:t>
      </w:r>
    </w:p>
    <w:p w14:paraId="641B28B5" w14:textId="77777777" w:rsidR="000A0262" w:rsidRDefault="000A0262" w:rsidP="000A0262">
      <w:pPr>
        <w:pStyle w:val="paragraph"/>
        <w:numPr>
          <w:ilvl w:val="0"/>
          <w:numId w:val="14"/>
        </w:numPr>
        <w:spacing w:before="0" w:beforeAutospacing="0" w:after="0" w:afterAutospacing="0"/>
        <w:ind w:left="1080" w:firstLine="0"/>
        <w:textAlignment w:val="baseline"/>
        <w:rPr>
          <w:rFonts w:ascii="Calibri" w:hAnsi="Calibri" w:cs="Calibri"/>
        </w:rPr>
      </w:pPr>
      <w:r>
        <w:rPr>
          <w:rStyle w:val="normaltextrun"/>
          <w:rFonts w:ascii="Calibri" w:hAnsi="Calibri" w:cs="Calibri"/>
        </w:rPr>
        <w:t>c) Mejora continua a un enfoque basado en proyectos.</w:t>
      </w:r>
      <w:r>
        <w:rPr>
          <w:rStyle w:val="eop"/>
          <w:rFonts w:ascii="Calibri" w:hAnsi="Calibri" w:cs="Calibri"/>
        </w:rPr>
        <w:t> </w:t>
      </w:r>
    </w:p>
    <w:p w14:paraId="00F59CDF" w14:textId="77777777" w:rsidR="000A0262" w:rsidRDefault="000A0262" w:rsidP="000A0262">
      <w:pPr>
        <w:pStyle w:val="paragraph"/>
        <w:numPr>
          <w:ilvl w:val="0"/>
          <w:numId w:val="15"/>
        </w:numPr>
        <w:spacing w:before="0" w:beforeAutospacing="0" w:after="0" w:afterAutospacing="0"/>
        <w:ind w:left="1080" w:firstLine="0"/>
        <w:textAlignment w:val="baseline"/>
        <w:rPr>
          <w:rFonts w:ascii="Calibri" w:hAnsi="Calibri" w:cs="Calibri"/>
        </w:rPr>
      </w:pPr>
      <w:r>
        <w:rPr>
          <w:rStyle w:val="normaltextrun"/>
          <w:rFonts w:ascii="Calibri" w:hAnsi="Calibri" w:cs="Calibri"/>
        </w:rPr>
        <w:t>d) Personas a un enfoque basado en tecnología.</w:t>
      </w:r>
      <w:r>
        <w:rPr>
          <w:rStyle w:val="eop"/>
          <w:rFonts w:ascii="Calibri" w:hAnsi="Calibri" w:cs="Calibri"/>
        </w:rPr>
        <w:t> </w:t>
      </w:r>
    </w:p>
    <w:p w14:paraId="698FC6D0" w14:textId="0A8C8FA7" w:rsidR="000A0262" w:rsidRDefault="000A0262" w:rsidP="000A0262">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07098585" wp14:editId="2E7646F2">
            <wp:extent cx="9525" cy="95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4BCB156B"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4.</w:t>
      </w:r>
      <w:r>
        <w:rPr>
          <w:rStyle w:val="normaltextrun"/>
          <w:rFonts w:ascii="Calibri" w:hAnsi="Calibri" w:cs="Calibri"/>
        </w:rPr>
        <w:t> En el contexto de ITIL 4, la </w:t>
      </w:r>
      <w:r>
        <w:rPr>
          <w:rStyle w:val="normaltextrun"/>
          <w:rFonts w:ascii="Calibri" w:hAnsi="Calibri" w:cs="Calibri"/>
          <w:b/>
          <w:bCs/>
        </w:rPr>
        <w:t>co-creación de valor</w:t>
      </w:r>
      <w:r>
        <w:rPr>
          <w:rStyle w:val="normaltextrun"/>
          <w:rFonts w:ascii="Calibri" w:hAnsi="Calibri" w:cs="Calibri"/>
        </w:rPr>
        <w:t> se logra cuando:</w:t>
      </w:r>
      <w:r>
        <w:rPr>
          <w:rStyle w:val="eop"/>
          <w:rFonts w:ascii="Calibri" w:hAnsi="Calibri" w:cs="Calibri"/>
        </w:rPr>
        <w:t> </w:t>
      </w:r>
    </w:p>
    <w:p w14:paraId="490198D7" w14:textId="77777777" w:rsidR="000A0262" w:rsidRDefault="000A0262" w:rsidP="000A0262">
      <w:pPr>
        <w:pStyle w:val="paragraph"/>
        <w:numPr>
          <w:ilvl w:val="0"/>
          <w:numId w:val="16"/>
        </w:numPr>
        <w:spacing w:before="0" w:beforeAutospacing="0" w:after="0" w:afterAutospacing="0"/>
        <w:ind w:left="1080" w:firstLine="0"/>
        <w:textAlignment w:val="baseline"/>
        <w:rPr>
          <w:rFonts w:ascii="Calibri" w:hAnsi="Calibri" w:cs="Calibri"/>
        </w:rPr>
      </w:pPr>
      <w:r>
        <w:rPr>
          <w:rStyle w:val="normaltextrun"/>
          <w:rFonts w:ascii="Calibri" w:hAnsi="Calibri" w:cs="Calibri"/>
        </w:rPr>
        <w:t>a) El proveedor de servicios define el valor del servicio de forma unilateral.</w:t>
      </w:r>
      <w:r>
        <w:rPr>
          <w:rStyle w:val="eop"/>
          <w:rFonts w:ascii="Calibri" w:hAnsi="Calibri" w:cs="Calibri"/>
        </w:rPr>
        <w:t> </w:t>
      </w:r>
    </w:p>
    <w:p w14:paraId="5D514A51" w14:textId="77777777" w:rsidR="000A0262" w:rsidRDefault="000A0262" w:rsidP="000A0262">
      <w:pPr>
        <w:pStyle w:val="paragraph"/>
        <w:numPr>
          <w:ilvl w:val="0"/>
          <w:numId w:val="17"/>
        </w:numPr>
        <w:spacing w:before="0" w:beforeAutospacing="0" w:after="0" w:afterAutospacing="0"/>
        <w:ind w:left="1080" w:firstLine="0"/>
        <w:textAlignment w:val="baseline"/>
        <w:rPr>
          <w:rFonts w:ascii="Calibri" w:hAnsi="Calibri" w:cs="Calibri"/>
        </w:rPr>
      </w:pPr>
      <w:r>
        <w:rPr>
          <w:rStyle w:val="normaltextrun"/>
          <w:rFonts w:ascii="Calibri" w:hAnsi="Calibri" w:cs="Calibri"/>
        </w:rPr>
        <w:t>b) El valor se define y se realiza conjuntamente entre el proveedor y el consumidor del servicio.</w:t>
      </w:r>
      <w:r>
        <w:rPr>
          <w:rStyle w:val="eop"/>
          <w:rFonts w:ascii="Calibri" w:hAnsi="Calibri" w:cs="Calibri"/>
        </w:rPr>
        <w:t> </w:t>
      </w:r>
    </w:p>
    <w:p w14:paraId="129CF9F1" w14:textId="77777777" w:rsidR="000A0262" w:rsidRDefault="000A0262" w:rsidP="000A0262">
      <w:pPr>
        <w:pStyle w:val="paragraph"/>
        <w:numPr>
          <w:ilvl w:val="0"/>
          <w:numId w:val="18"/>
        </w:numPr>
        <w:spacing w:before="0" w:beforeAutospacing="0" w:after="0" w:afterAutospacing="0"/>
        <w:ind w:left="1080" w:firstLine="0"/>
        <w:textAlignment w:val="baseline"/>
        <w:rPr>
          <w:rFonts w:ascii="Calibri" w:hAnsi="Calibri" w:cs="Calibri"/>
        </w:rPr>
      </w:pPr>
      <w:r>
        <w:rPr>
          <w:rStyle w:val="normaltextrun"/>
          <w:rFonts w:ascii="Calibri" w:hAnsi="Calibri" w:cs="Calibri"/>
        </w:rPr>
        <w:t>c) El valor se mide únicamente por el retorno de la inversión (ROI).</w:t>
      </w:r>
      <w:r>
        <w:rPr>
          <w:rStyle w:val="eop"/>
          <w:rFonts w:ascii="Calibri" w:hAnsi="Calibri" w:cs="Calibri"/>
        </w:rPr>
        <w:t> </w:t>
      </w:r>
    </w:p>
    <w:p w14:paraId="2B2D5756" w14:textId="77777777" w:rsidR="000A0262" w:rsidRDefault="000A0262" w:rsidP="000A0262">
      <w:pPr>
        <w:pStyle w:val="paragraph"/>
        <w:numPr>
          <w:ilvl w:val="0"/>
          <w:numId w:val="19"/>
        </w:numPr>
        <w:spacing w:before="0" w:beforeAutospacing="0" w:after="0" w:afterAutospacing="0"/>
        <w:ind w:left="1080" w:firstLine="0"/>
        <w:textAlignment w:val="baseline"/>
        <w:rPr>
          <w:rFonts w:ascii="Calibri" w:hAnsi="Calibri" w:cs="Calibri"/>
        </w:rPr>
      </w:pPr>
      <w:r>
        <w:rPr>
          <w:rStyle w:val="normaltextrun"/>
          <w:rFonts w:ascii="Calibri" w:hAnsi="Calibri" w:cs="Calibri"/>
        </w:rPr>
        <w:t>d) El valor se entrega exclusivamente a través de la automatización de procesos.</w:t>
      </w:r>
      <w:r>
        <w:rPr>
          <w:rStyle w:val="eop"/>
          <w:rFonts w:ascii="Calibri" w:hAnsi="Calibri" w:cs="Calibri"/>
        </w:rPr>
        <w:t> </w:t>
      </w:r>
    </w:p>
    <w:p w14:paraId="057C4E58" w14:textId="0EC17C25" w:rsidR="000A0262" w:rsidRDefault="000A0262" w:rsidP="000A0262">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1353ED07" wp14:editId="0EE55383">
            <wp:extent cx="9525" cy="95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0CD6401E"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5.</w:t>
      </w:r>
      <w:r>
        <w:rPr>
          <w:rStyle w:val="normaltextrun"/>
          <w:rFonts w:ascii="Calibri" w:hAnsi="Calibri" w:cs="Calibri"/>
        </w:rPr>
        <w:t> Una organización está implementando un nuevo servicio y decide adoptar un enfoque ágil para el desarrollo, manteniendo al mismo tiempo procesos de gobernanza más tradicionales para la gestión de cambios. Según ITIL 4, esto es:</w:t>
      </w:r>
      <w:r>
        <w:rPr>
          <w:rStyle w:val="eop"/>
          <w:rFonts w:ascii="Calibri" w:hAnsi="Calibri" w:cs="Calibri"/>
        </w:rPr>
        <w:t> </w:t>
      </w:r>
    </w:p>
    <w:p w14:paraId="12667094" w14:textId="77777777" w:rsidR="000A0262" w:rsidRDefault="000A0262" w:rsidP="000A0262">
      <w:pPr>
        <w:pStyle w:val="paragraph"/>
        <w:numPr>
          <w:ilvl w:val="0"/>
          <w:numId w:val="20"/>
        </w:numPr>
        <w:spacing w:before="0" w:beforeAutospacing="0" w:after="0" w:afterAutospacing="0"/>
        <w:ind w:left="1080" w:firstLine="0"/>
        <w:textAlignment w:val="baseline"/>
        <w:rPr>
          <w:rFonts w:ascii="Calibri" w:hAnsi="Calibri" w:cs="Calibri"/>
        </w:rPr>
      </w:pPr>
      <w:r>
        <w:rPr>
          <w:rStyle w:val="normaltextrun"/>
          <w:rFonts w:ascii="Calibri" w:hAnsi="Calibri" w:cs="Calibri"/>
        </w:rPr>
        <w:t>a) Incorrecto, ya que ITIL 4 exige la adopción de un único enfoque metodológico.</w:t>
      </w:r>
      <w:r>
        <w:rPr>
          <w:rStyle w:val="eop"/>
          <w:rFonts w:ascii="Calibri" w:hAnsi="Calibri" w:cs="Calibri"/>
        </w:rPr>
        <w:t> </w:t>
      </w:r>
    </w:p>
    <w:p w14:paraId="7EF9A1A6" w14:textId="77777777" w:rsidR="000A0262" w:rsidRDefault="000A0262" w:rsidP="000A0262">
      <w:pPr>
        <w:pStyle w:val="paragraph"/>
        <w:numPr>
          <w:ilvl w:val="0"/>
          <w:numId w:val="21"/>
        </w:numPr>
        <w:spacing w:before="0" w:beforeAutospacing="0" w:after="0" w:afterAutospacing="0"/>
        <w:ind w:left="1080" w:firstLine="0"/>
        <w:textAlignment w:val="baseline"/>
        <w:rPr>
          <w:rFonts w:ascii="Calibri" w:hAnsi="Calibri" w:cs="Calibri"/>
        </w:rPr>
      </w:pPr>
      <w:r>
        <w:rPr>
          <w:rStyle w:val="normaltextrun"/>
          <w:rFonts w:ascii="Calibri" w:hAnsi="Calibri" w:cs="Calibri"/>
        </w:rPr>
        <w:lastRenderedPageBreak/>
        <w:t>b) Posible, ya que ITIL 4 está diseñado para integrarse con enfoques modernos como Agile, Lean y DevOps.</w:t>
      </w:r>
      <w:r>
        <w:rPr>
          <w:rStyle w:val="eop"/>
          <w:rFonts w:ascii="Calibri" w:hAnsi="Calibri" w:cs="Calibri"/>
        </w:rPr>
        <w:t> </w:t>
      </w:r>
    </w:p>
    <w:p w14:paraId="49BB4CDF" w14:textId="77777777" w:rsidR="000A0262" w:rsidRDefault="000A0262" w:rsidP="000A0262">
      <w:pPr>
        <w:pStyle w:val="paragraph"/>
        <w:numPr>
          <w:ilvl w:val="0"/>
          <w:numId w:val="22"/>
        </w:numPr>
        <w:spacing w:before="0" w:beforeAutospacing="0" w:after="0" w:afterAutospacing="0"/>
        <w:ind w:left="1080" w:firstLine="0"/>
        <w:textAlignment w:val="baseline"/>
        <w:rPr>
          <w:rFonts w:ascii="Calibri" w:hAnsi="Calibri" w:cs="Calibri"/>
        </w:rPr>
      </w:pPr>
      <w:r>
        <w:rPr>
          <w:rStyle w:val="normaltextrun"/>
          <w:rFonts w:ascii="Calibri" w:hAnsi="Calibri" w:cs="Calibri"/>
        </w:rPr>
        <w:t>c) Desaconsejable, porque Agile y la gobernanza tradicional son incompatibles.</w:t>
      </w:r>
      <w:r>
        <w:rPr>
          <w:rStyle w:val="eop"/>
          <w:rFonts w:ascii="Calibri" w:hAnsi="Calibri" w:cs="Calibri"/>
        </w:rPr>
        <w:t> </w:t>
      </w:r>
    </w:p>
    <w:p w14:paraId="3180F2AF" w14:textId="77777777" w:rsidR="000A0262" w:rsidRDefault="000A0262" w:rsidP="000A0262">
      <w:pPr>
        <w:pStyle w:val="paragraph"/>
        <w:numPr>
          <w:ilvl w:val="0"/>
          <w:numId w:val="23"/>
        </w:numPr>
        <w:spacing w:before="0" w:beforeAutospacing="0" w:after="0" w:afterAutospacing="0"/>
        <w:ind w:left="1080" w:firstLine="0"/>
        <w:textAlignment w:val="baseline"/>
        <w:rPr>
          <w:rFonts w:ascii="Calibri" w:hAnsi="Calibri" w:cs="Calibri"/>
        </w:rPr>
      </w:pPr>
      <w:r>
        <w:rPr>
          <w:rStyle w:val="normaltextrun"/>
          <w:rFonts w:ascii="Calibri" w:hAnsi="Calibri" w:cs="Calibri"/>
        </w:rPr>
        <w:t>d) Obligatorio, ya que ITIL 4 requiere que todos los servicios se gestionen con metodologías ágiles.</w:t>
      </w:r>
      <w:r>
        <w:rPr>
          <w:rStyle w:val="eop"/>
          <w:rFonts w:ascii="Calibri" w:hAnsi="Calibri" w:cs="Calibri"/>
        </w:rPr>
        <w:t> </w:t>
      </w:r>
    </w:p>
    <w:p w14:paraId="3AEAFE17" w14:textId="78BEBD3F" w:rsidR="000A0262" w:rsidRDefault="000A0262" w:rsidP="000A0262">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15B8D161" wp14:editId="29BDFDCF">
            <wp:extent cx="9525" cy="95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64227C04"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6.</w:t>
      </w:r>
      <w:r>
        <w:rPr>
          <w:rStyle w:val="normaltextrun"/>
          <w:rFonts w:ascii="Calibri" w:hAnsi="Calibri" w:cs="Calibri"/>
        </w:rPr>
        <w:t> Según ITIL 4, la práctica de </w:t>
      </w:r>
      <w:r>
        <w:rPr>
          <w:rStyle w:val="normaltextrun"/>
          <w:rFonts w:ascii="Calibri" w:hAnsi="Calibri" w:cs="Calibri"/>
          <w:b/>
          <w:bCs/>
        </w:rPr>
        <w:t>Gestión de Incidentes</w:t>
      </w:r>
      <w:r>
        <w:rPr>
          <w:rStyle w:val="normaltextrun"/>
          <w:rFonts w:ascii="Calibri" w:hAnsi="Calibri" w:cs="Calibri"/>
        </w:rPr>
        <w:t> tiene como objetivo principal:</w:t>
      </w:r>
      <w:r>
        <w:rPr>
          <w:rStyle w:val="eop"/>
          <w:rFonts w:ascii="Calibri" w:hAnsi="Calibri" w:cs="Calibri"/>
        </w:rPr>
        <w:t> </w:t>
      </w:r>
    </w:p>
    <w:p w14:paraId="19FC801E" w14:textId="77777777" w:rsidR="000A0262" w:rsidRDefault="000A0262" w:rsidP="000A0262">
      <w:pPr>
        <w:pStyle w:val="paragraph"/>
        <w:numPr>
          <w:ilvl w:val="0"/>
          <w:numId w:val="24"/>
        </w:numPr>
        <w:spacing w:before="0" w:beforeAutospacing="0" w:after="0" w:afterAutospacing="0"/>
        <w:ind w:left="1080" w:firstLine="0"/>
        <w:textAlignment w:val="baseline"/>
        <w:rPr>
          <w:rFonts w:ascii="Calibri" w:hAnsi="Calibri" w:cs="Calibri"/>
        </w:rPr>
      </w:pPr>
      <w:r>
        <w:rPr>
          <w:rStyle w:val="normaltextrun"/>
          <w:rFonts w:ascii="Calibri" w:hAnsi="Calibri" w:cs="Calibri"/>
        </w:rPr>
        <w:t>a) Identificar y eliminar las causas raíz de los errores en los servicios de TI.</w:t>
      </w:r>
      <w:r>
        <w:rPr>
          <w:rStyle w:val="eop"/>
          <w:rFonts w:ascii="Calibri" w:hAnsi="Calibri" w:cs="Calibri"/>
        </w:rPr>
        <w:t> </w:t>
      </w:r>
    </w:p>
    <w:p w14:paraId="06CBD080" w14:textId="77777777" w:rsidR="000A0262" w:rsidRDefault="000A0262" w:rsidP="000A0262">
      <w:pPr>
        <w:pStyle w:val="paragraph"/>
        <w:numPr>
          <w:ilvl w:val="0"/>
          <w:numId w:val="25"/>
        </w:numPr>
        <w:spacing w:before="0" w:beforeAutospacing="0" w:after="0" w:afterAutospacing="0"/>
        <w:ind w:left="1080" w:firstLine="0"/>
        <w:textAlignment w:val="baseline"/>
        <w:rPr>
          <w:rFonts w:ascii="Calibri" w:hAnsi="Calibri" w:cs="Calibri"/>
        </w:rPr>
      </w:pPr>
      <w:r>
        <w:rPr>
          <w:rStyle w:val="normaltextrun"/>
          <w:rFonts w:ascii="Calibri" w:hAnsi="Calibri" w:cs="Calibri"/>
        </w:rPr>
        <w:t>b) Restaurar el funcionamiento normal de un servicio lo más rápidamente posible y minimizar el impacto negativo en las operaciones del negocio.</w:t>
      </w:r>
      <w:r>
        <w:rPr>
          <w:rStyle w:val="eop"/>
          <w:rFonts w:ascii="Calibri" w:hAnsi="Calibri" w:cs="Calibri"/>
        </w:rPr>
        <w:t> </w:t>
      </w:r>
    </w:p>
    <w:p w14:paraId="540A6A8F" w14:textId="77777777" w:rsidR="000A0262" w:rsidRDefault="000A0262" w:rsidP="000A0262">
      <w:pPr>
        <w:pStyle w:val="paragraph"/>
        <w:numPr>
          <w:ilvl w:val="0"/>
          <w:numId w:val="26"/>
        </w:numPr>
        <w:spacing w:before="0" w:beforeAutospacing="0" w:after="0" w:afterAutospacing="0"/>
        <w:ind w:left="1080" w:firstLine="0"/>
        <w:textAlignment w:val="baseline"/>
        <w:rPr>
          <w:rFonts w:ascii="Calibri" w:hAnsi="Calibri" w:cs="Calibri"/>
        </w:rPr>
      </w:pPr>
      <w:r>
        <w:rPr>
          <w:rStyle w:val="normaltextrun"/>
          <w:rFonts w:ascii="Calibri" w:hAnsi="Calibri" w:cs="Calibri"/>
        </w:rPr>
        <w:t>c) Gestionar las solicitudes de los usuarios para cambios estándar.</w:t>
      </w:r>
      <w:r>
        <w:rPr>
          <w:rStyle w:val="eop"/>
          <w:rFonts w:ascii="Calibri" w:hAnsi="Calibri" w:cs="Calibri"/>
        </w:rPr>
        <w:t> </w:t>
      </w:r>
    </w:p>
    <w:p w14:paraId="2EA6C24C" w14:textId="77777777" w:rsidR="000A0262" w:rsidRDefault="000A0262" w:rsidP="000A0262">
      <w:pPr>
        <w:pStyle w:val="paragraph"/>
        <w:numPr>
          <w:ilvl w:val="0"/>
          <w:numId w:val="27"/>
        </w:numPr>
        <w:spacing w:before="0" w:beforeAutospacing="0" w:after="0" w:afterAutospacing="0"/>
        <w:ind w:left="1080" w:firstLine="0"/>
        <w:textAlignment w:val="baseline"/>
        <w:rPr>
          <w:rFonts w:ascii="Calibri" w:hAnsi="Calibri" w:cs="Calibri"/>
        </w:rPr>
      </w:pPr>
      <w:r>
        <w:rPr>
          <w:rStyle w:val="normaltextrun"/>
          <w:rFonts w:ascii="Calibri" w:hAnsi="Calibri" w:cs="Calibri"/>
        </w:rPr>
        <w:t>d) Asegurar que todos los activos de TI estén correctamente inventariados y documentados.</w:t>
      </w:r>
      <w:r>
        <w:rPr>
          <w:rStyle w:val="eop"/>
          <w:rFonts w:ascii="Calibri" w:hAnsi="Calibri" w:cs="Calibri"/>
        </w:rPr>
        <w:t> </w:t>
      </w:r>
    </w:p>
    <w:p w14:paraId="4E78A8FD" w14:textId="478B245C" w:rsidR="000A0262" w:rsidRDefault="000A0262" w:rsidP="000A0262">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6E4533AD" wp14:editId="07A45CDC">
            <wp:extent cx="9525" cy="95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05F7C16A"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7.</w:t>
      </w:r>
      <w:r>
        <w:rPr>
          <w:rStyle w:val="normaltextrun"/>
          <w:rFonts w:ascii="Calibri" w:hAnsi="Calibri" w:cs="Calibri"/>
        </w:rPr>
        <w:t> El modelo de las </w:t>
      </w:r>
      <w:r>
        <w:rPr>
          <w:rStyle w:val="normaltextrun"/>
          <w:rFonts w:ascii="Calibri" w:hAnsi="Calibri" w:cs="Calibri"/>
          <w:b/>
          <w:bCs/>
        </w:rPr>
        <w:t>4 dimensiones</w:t>
      </w:r>
      <w:r>
        <w:rPr>
          <w:rStyle w:val="normaltextrun"/>
          <w:rFonts w:ascii="Calibri" w:hAnsi="Calibri" w:cs="Calibri"/>
        </w:rPr>
        <w:t> de ITIL 4 incluye todas las siguientes </w:t>
      </w:r>
      <w:r>
        <w:rPr>
          <w:rStyle w:val="normaltextrun"/>
          <w:rFonts w:ascii="Calibri" w:hAnsi="Calibri" w:cs="Calibri"/>
          <w:b/>
          <w:bCs/>
        </w:rPr>
        <w:t>EXCEPTO</w:t>
      </w:r>
      <w:r>
        <w:rPr>
          <w:rStyle w:val="normaltextrun"/>
          <w:rFonts w:ascii="Calibri" w:hAnsi="Calibri" w:cs="Calibri"/>
        </w:rPr>
        <w:t>:</w:t>
      </w:r>
      <w:r>
        <w:rPr>
          <w:rStyle w:val="eop"/>
          <w:rFonts w:ascii="Calibri" w:hAnsi="Calibri" w:cs="Calibri"/>
        </w:rPr>
        <w:t> </w:t>
      </w:r>
    </w:p>
    <w:p w14:paraId="0CC3A846" w14:textId="77777777" w:rsidR="000A0262" w:rsidRDefault="000A0262" w:rsidP="000A0262">
      <w:pPr>
        <w:pStyle w:val="paragraph"/>
        <w:numPr>
          <w:ilvl w:val="0"/>
          <w:numId w:val="28"/>
        </w:numPr>
        <w:spacing w:before="0" w:beforeAutospacing="0" w:after="0" w:afterAutospacing="0"/>
        <w:ind w:left="1080" w:firstLine="0"/>
        <w:textAlignment w:val="baseline"/>
        <w:rPr>
          <w:rFonts w:ascii="Calibri" w:hAnsi="Calibri" w:cs="Calibri"/>
        </w:rPr>
      </w:pPr>
      <w:r>
        <w:rPr>
          <w:rStyle w:val="normaltextrun"/>
          <w:rFonts w:ascii="Calibri" w:hAnsi="Calibri" w:cs="Calibri"/>
        </w:rPr>
        <w:t>a) Organizaciones y Personas.</w:t>
      </w:r>
      <w:r>
        <w:rPr>
          <w:rStyle w:val="eop"/>
          <w:rFonts w:ascii="Calibri" w:hAnsi="Calibri" w:cs="Calibri"/>
        </w:rPr>
        <w:t> </w:t>
      </w:r>
    </w:p>
    <w:p w14:paraId="491B31B6" w14:textId="77777777" w:rsidR="000A0262" w:rsidRDefault="000A0262" w:rsidP="000A0262">
      <w:pPr>
        <w:pStyle w:val="paragraph"/>
        <w:numPr>
          <w:ilvl w:val="0"/>
          <w:numId w:val="29"/>
        </w:numPr>
        <w:spacing w:before="0" w:beforeAutospacing="0" w:after="0" w:afterAutospacing="0"/>
        <w:ind w:left="1080" w:firstLine="0"/>
        <w:textAlignment w:val="baseline"/>
        <w:rPr>
          <w:rFonts w:ascii="Calibri" w:hAnsi="Calibri" w:cs="Calibri"/>
        </w:rPr>
      </w:pPr>
      <w:r>
        <w:rPr>
          <w:rStyle w:val="normaltextrun"/>
          <w:rFonts w:ascii="Calibri" w:hAnsi="Calibri" w:cs="Calibri"/>
        </w:rPr>
        <w:t>b) Información y Tecnología.</w:t>
      </w:r>
      <w:r>
        <w:rPr>
          <w:rStyle w:val="eop"/>
          <w:rFonts w:ascii="Calibri" w:hAnsi="Calibri" w:cs="Calibri"/>
        </w:rPr>
        <w:t> </w:t>
      </w:r>
    </w:p>
    <w:p w14:paraId="334EFA5F" w14:textId="77777777" w:rsidR="000A0262" w:rsidRDefault="000A0262" w:rsidP="000A0262">
      <w:pPr>
        <w:pStyle w:val="paragraph"/>
        <w:numPr>
          <w:ilvl w:val="0"/>
          <w:numId w:val="30"/>
        </w:numPr>
        <w:spacing w:before="0" w:beforeAutospacing="0" w:after="0" w:afterAutospacing="0"/>
        <w:ind w:left="1080" w:firstLine="0"/>
        <w:textAlignment w:val="baseline"/>
        <w:rPr>
          <w:rFonts w:ascii="Calibri" w:hAnsi="Calibri" w:cs="Calibri"/>
        </w:rPr>
      </w:pPr>
      <w:r>
        <w:rPr>
          <w:rStyle w:val="normaltextrun"/>
          <w:rFonts w:ascii="Calibri" w:hAnsi="Calibri" w:cs="Calibri"/>
        </w:rPr>
        <w:t>c) Finanzas y Presupuesto.</w:t>
      </w:r>
      <w:r>
        <w:rPr>
          <w:rStyle w:val="eop"/>
          <w:rFonts w:ascii="Calibri" w:hAnsi="Calibri" w:cs="Calibri"/>
        </w:rPr>
        <w:t> </w:t>
      </w:r>
    </w:p>
    <w:p w14:paraId="77E7CD86" w14:textId="77777777" w:rsidR="000A0262" w:rsidRDefault="000A0262" w:rsidP="000A0262">
      <w:pPr>
        <w:pStyle w:val="paragraph"/>
        <w:numPr>
          <w:ilvl w:val="0"/>
          <w:numId w:val="31"/>
        </w:numPr>
        <w:spacing w:before="0" w:beforeAutospacing="0" w:after="0" w:afterAutospacing="0"/>
        <w:ind w:left="1080" w:firstLine="0"/>
        <w:textAlignment w:val="baseline"/>
        <w:rPr>
          <w:rFonts w:ascii="Calibri" w:hAnsi="Calibri" w:cs="Calibri"/>
        </w:rPr>
      </w:pPr>
      <w:r>
        <w:rPr>
          <w:rStyle w:val="normaltextrun"/>
          <w:rFonts w:ascii="Calibri" w:hAnsi="Calibri" w:cs="Calibri"/>
        </w:rPr>
        <w:t>d) Flujos de Valor y Procesos.</w:t>
      </w:r>
      <w:r>
        <w:rPr>
          <w:rStyle w:val="eop"/>
          <w:rFonts w:ascii="Calibri" w:hAnsi="Calibri" w:cs="Calibri"/>
        </w:rPr>
        <w:t> </w:t>
      </w:r>
    </w:p>
    <w:p w14:paraId="12C484AB" w14:textId="28FAAF6D" w:rsidR="000A0262" w:rsidRDefault="000A0262" w:rsidP="000A0262">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6FDC71F3" wp14:editId="68CA03A5">
            <wp:extent cx="9525" cy="95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182258AF"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8.</w:t>
      </w:r>
      <w:r>
        <w:rPr>
          <w:rStyle w:val="normaltextrun"/>
          <w:rFonts w:ascii="Calibri" w:hAnsi="Calibri" w:cs="Calibri"/>
        </w:rPr>
        <w:t> Un "Panel de Control" que muestra el estado de un proyecto, los riesgos y las dependencias es un ejemplo de la aplicación del principio guía de:</w:t>
      </w:r>
      <w:r>
        <w:rPr>
          <w:rStyle w:val="eop"/>
          <w:rFonts w:ascii="Calibri" w:hAnsi="Calibri" w:cs="Calibri"/>
        </w:rPr>
        <w:t> </w:t>
      </w:r>
    </w:p>
    <w:p w14:paraId="78B0ECC4" w14:textId="77777777" w:rsidR="000A0262" w:rsidRDefault="000A0262" w:rsidP="000A0262">
      <w:pPr>
        <w:pStyle w:val="paragraph"/>
        <w:numPr>
          <w:ilvl w:val="0"/>
          <w:numId w:val="32"/>
        </w:numPr>
        <w:spacing w:before="0" w:beforeAutospacing="0" w:after="0" w:afterAutospacing="0"/>
        <w:ind w:left="1080" w:firstLine="0"/>
        <w:textAlignment w:val="baseline"/>
        <w:rPr>
          <w:rFonts w:ascii="Calibri" w:hAnsi="Calibri" w:cs="Calibri"/>
        </w:rPr>
      </w:pPr>
      <w:r>
        <w:rPr>
          <w:rStyle w:val="normaltextrun"/>
          <w:rFonts w:ascii="Calibri" w:hAnsi="Calibri" w:cs="Calibri"/>
        </w:rPr>
        <w:t>a) Centrarse en el valor.</w:t>
      </w:r>
      <w:r>
        <w:rPr>
          <w:rStyle w:val="eop"/>
          <w:rFonts w:ascii="Calibri" w:hAnsi="Calibri" w:cs="Calibri"/>
        </w:rPr>
        <w:t> </w:t>
      </w:r>
    </w:p>
    <w:p w14:paraId="36780813" w14:textId="77777777" w:rsidR="000A0262" w:rsidRDefault="000A0262" w:rsidP="000A0262">
      <w:pPr>
        <w:pStyle w:val="paragraph"/>
        <w:numPr>
          <w:ilvl w:val="0"/>
          <w:numId w:val="33"/>
        </w:numPr>
        <w:spacing w:before="0" w:beforeAutospacing="0" w:after="0" w:afterAutospacing="0"/>
        <w:ind w:left="1080" w:firstLine="0"/>
        <w:textAlignment w:val="baseline"/>
        <w:rPr>
          <w:rFonts w:ascii="Calibri" w:hAnsi="Calibri" w:cs="Calibri"/>
        </w:rPr>
      </w:pPr>
      <w:r>
        <w:rPr>
          <w:rStyle w:val="normaltextrun"/>
          <w:rFonts w:ascii="Calibri" w:hAnsi="Calibri" w:cs="Calibri"/>
        </w:rPr>
        <w:t>b) Colaborar y promover la visibilidad.</w:t>
      </w:r>
      <w:r>
        <w:rPr>
          <w:rStyle w:val="eop"/>
          <w:rFonts w:ascii="Calibri" w:hAnsi="Calibri" w:cs="Calibri"/>
        </w:rPr>
        <w:t> </w:t>
      </w:r>
    </w:p>
    <w:p w14:paraId="35DA97E5" w14:textId="77777777" w:rsidR="000A0262" w:rsidRDefault="000A0262" w:rsidP="000A0262">
      <w:pPr>
        <w:pStyle w:val="paragraph"/>
        <w:numPr>
          <w:ilvl w:val="0"/>
          <w:numId w:val="34"/>
        </w:numPr>
        <w:spacing w:before="0" w:beforeAutospacing="0" w:after="0" w:afterAutospacing="0"/>
        <w:ind w:left="1080" w:firstLine="0"/>
        <w:textAlignment w:val="baseline"/>
        <w:rPr>
          <w:rFonts w:ascii="Calibri" w:hAnsi="Calibri" w:cs="Calibri"/>
        </w:rPr>
      </w:pPr>
      <w:r>
        <w:rPr>
          <w:rStyle w:val="normaltextrun"/>
          <w:rFonts w:ascii="Calibri" w:hAnsi="Calibri" w:cs="Calibri"/>
        </w:rPr>
        <w:t>c) Mantenerlo simple y práctico.</w:t>
      </w:r>
      <w:r>
        <w:rPr>
          <w:rStyle w:val="eop"/>
          <w:rFonts w:ascii="Calibri" w:hAnsi="Calibri" w:cs="Calibri"/>
        </w:rPr>
        <w:t> </w:t>
      </w:r>
    </w:p>
    <w:p w14:paraId="1E02019D" w14:textId="77777777" w:rsidR="000A0262" w:rsidRDefault="000A0262" w:rsidP="000A0262">
      <w:pPr>
        <w:pStyle w:val="paragraph"/>
        <w:numPr>
          <w:ilvl w:val="0"/>
          <w:numId w:val="35"/>
        </w:numPr>
        <w:spacing w:before="0" w:beforeAutospacing="0" w:after="0" w:afterAutospacing="0"/>
        <w:ind w:left="1080" w:firstLine="0"/>
        <w:textAlignment w:val="baseline"/>
        <w:rPr>
          <w:rFonts w:ascii="Calibri" w:hAnsi="Calibri" w:cs="Calibri"/>
        </w:rPr>
      </w:pPr>
      <w:r>
        <w:rPr>
          <w:rStyle w:val="normaltextrun"/>
          <w:rFonts w:ascii="Calibri" w:hAnsi="Calibri" w:cs="Calibri"/>
        </w:rPr>
        <w:t>d) Optimizar y automatizar.</w:t>
      </w:r>
      <w:r>
        <w:rPr>
          <w:rStyle w:val="eop"/>
          <w:rFonts w:ascii="Calibri" w:hAnsi="Calibri" w:cs="Calibri"/>
        </w:rPr>
        <w:t> </w:t>
      </w:r>
    </w:p>
    <w:p w14:paraId="4E049A35" w14:textId="5D9B4DFD" w:rsidR="000A0262" w:rsidRDefault="000A0262" w:rsidP="000A0262">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770C6C16" wp14:editId="54A1C8A5">
            <wp:extent cx="9525" cy="95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219CC99C" w14:textId="77777777" w:rsidR="000A0262" w:rsidRDefault="000A0262" w:rsidP="000A02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9.</w:t>
      </w:r>
      <w:r>
        <w:rPr>
          <w:rStyle w:val="normaltextrun"/>
          <w:rFonts w:ascii="Calibri" w:hAnsi="Calibri" w:cs="Calibri"/>
        </w:rPr>
        <w:t> En ITIL 4, la </w:t>
      </w:r>
      <w:r>
        <w:rPr>
          <w:rStyle w:val="normaltextrun"/>
          <w:rFonts w:ascii="Calibri" w:hAnsi="Calibri" w:cs="Calibri"/>
          <w:b/>
          <w:bCs/>
        </w:rPr>
        <w:t>Cadena de Valor del Servicio</w:t>
      </w:r>
      <w:r>
        <w:rPr>
          <w:rStyle w:val="normaltextrun"/>
          <w:rFonts w:ascii="Calibri" w:hAnsi="Calibri" w:cs="Calibri"/>
        </w:rPr>
        <w:t> es un elemento central del SVS que:</w:t>
      </w:r>
      <w:r>
        <w:rPr>
          <w:rStyle w:val="eop"/>
          <w:rFonts w:ascii="Calibri" w:hAnsi="Calibri" w:cs="Calibri"/>
        </w:rPr>
        <w:t> </w:t>
      </w:r>
    </w:p>
    <w:p w14:paraId="16EF1DCC" w14:textId="77777777" w:rsidR="000A0262" w:rsidRDefault="000A0262" w:rsidP="000A0262">
      <w:pPr>
        <w:pStyle w:val="paragraph"/>
        <w:numPr>
          <w:ilvl w:val="0"/>
          <w:numId w:val="36"/>
        </w:numPr>
        <w:spacing w:before="0" w:beforeAutospacing="0" w:after="0" w:afterAutospacing="0"/>
        <w:ind w:left="1080" w:firstLine="0"/>
        <w:textAlignment w:val="baseline"/>
        <w:rPr>
          <w:rFonts w:ascii="Calibri" w:hAnsi="Calibri" w:cs="Calibri"/>
        </w:rPr>
      </w:pPr>
      <w:r>
        <w:rPr>
          <w:rStyle w:val="normaltextrun"/>
          <w:rFonts w:ascii="Calibri" w:hAnsi="Calibri" w:cs="Calibri"/>
        </w:rPr>
        <w:t>a) Describe las 6 actividades genéricas que convierten las entradas en salidas y que contribuyen a la creación de valor.</w:t>
      </w:r>
      <w:r>
        <w:rPr>
          <w:rStyle w:val="eop"/>
          <w:rFonts w:ascii="Calibri" w:hAnsi="Calibri" w:cs="Calibri"/>
        </w:rPr>
        <w:t> </w:t>
      </w:r>
    </w:p>
    <w:p w14:paraId="6E56D075" w14:textId="77777777" w:rsidR="000A0262" w:rsidRDefault="000A0262" w:rsidP="000A0262">
      <w:pPr>
        <w:pStyle w:val="paragraph"/>
        <w:numPr>
          <w:ilvl w:val="0"/>
          <w:numId w:val="37"/>
        </w:numPr>
        <w:spacing w:before="0" w:beforeAutospacing="0" w:after="0" w:afterAutospacing="0"/>
        <w:ind w:left="1080" w:firstLine="0"/>
        <w:textAlignment w:val="baseline"/>
        <w:rPr>
          <w:rFonts w:ascii="Calibri" w:hAnsi="Calibri" w:cs="Calibri"/>
        </w:rPr>
      </w:pPr>
      <w:r>
        <w:rPr>
          <w:rStyle w:val="normaltextrun"/>
          <w:rFonts w:ascii="Calibri" w:hAnsi="Calibri" w:cs="Calibri"/>
        </w:rPr>
        <w:t>b) Es sinónimo del ciclo de vida del servicio de ITIL v3.</w:t>
      </w:r>
      <w:r>
        <w:rPr>
          <w:rStyle w:val="eop"/>
          <w:rFonts w:ascii="Calibri" w:hAnsi="Calibri" w:cs="Calibri"/>
        </w:rPr>
        <w:t> </w:t>
      </w:r>
    </w:p>
    <w:p w14:paraId="1387FEEF" w14:textId="77777777" w:rsidR="000A0262" w:rsidRDefault="000A0262" w:rsidP="000A0262">
      <w:pPr>
        <w:pStyle w:val="paragraph"/>
        <w:numPr>
          <w:ilvl w:val="0"/>
          <w:numId w:val="38"/>
        </w:numPr>
        <w:spacing w:before="0" w:beforeAutospacing="0" w:after="0" w:afterAutospacing="0"/>
        <w:ind w:left="1080" w:firstLine="0"/>
        <w:textAlignment w:val="baseline"/>
        <w:rPr>
          <w:rFonts w:ascii="Calibri" w:hAnsi="Calibri" w:cs="Calibri"/>
        </w:rPr>
      </w:pPr>
      <w:r>
        <w:rPr>
          <w:rStyle w:val="normaltextrun"/>
          <w:rFonts w:ascii="Calibri" w:hAnsi="Calibri" w:cs="Calibri"/>
        </w:rPr>
        <w:t>c) Se compone exclusivamente de las prácticas de gestión de incidentes y problemas.</w:t>
      </w:r>
      <w:r>
        <w:rPr>
          <w:rStyle w:val="eop"/>
          <w:rFonts w:ascii="Calibri" w:hAnsi="Calibri" w:cs="Calibri"/>
        </w:rPr>
        <w:t> </w:t>
      </w:r>
    </w:p>
    <w:p w14:paraId="634BD5FD" w14:textId="77777777" w:rsidR="000A0262" w:rsidRDefault="000A0262" w:rsidP="000A0262">
      <w:pPr>
        <w:pStyle w:val="paragraph"/>
        <w:numPr>
          <w:ilvl w:val="0"/>
          <w:numId w:val="39"/>
        </w:numPr>
        <w:spacing w:before="0" w:beforeAutospacing="0" w:after="0" w:afterAutospacing="0"/>
        <w:ind w:left="1080" w:firstLine="0"/>
        <w:textAlignment w:val="baseline"/>
        <w:rPr>
          <w:rFonts w:ascii="Calibri" w:hAnsi="Calibri" w:cs="Calibri"/>
        </w:rPr>
      </w:pPr>
      <w:r>
        <w:rPr>
          <w:rStyle w:val="normaltextrun"/>
          <w:rFonts w:ascii="Calibri" w:hAnsi="Calibri" w:cs="Calibri"/>
        </w:rPr>
        <w:t>d) Es un modelo de madurez para evaluar la gestión de servicios.</w:t>
      </w:r>
      <w:r>
        <w:rPr>
          <w:rStyle w:val="eop"/>
          <w:rFonts w:ascii="Calibri" w:hAnsi="Calibri" w:cs="Calibri"/>
        </w:rPr>
        <w:t> </w:t>
      </w:r>
    </w:p>
    <w:p w14:paraId="6F5D2978" w14:textId="4D18AF31" w:rsidR="000A0262" w:rsidRDefault="000A0262" w:rsidP="000A0262">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329B8F17" wp14:editId="0F550E77">
            <wp:extent cx="9525" cy="9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normaltextrun"/>
          <w:rFonts w:ascii="Calibri" w:hAnsi="Calibri" w:cs="Calibri"/>
          <w:b/>
          <w:bCs/>
        </w:rPr>
        <w:t>10.</w:t>
      </w:r>
      <w:r>
        <w:rPr>
          <w:rStyle w:val="normaltextrun"/>
          <w:rFonts w:ascii="Calibri" w:hAnsi="Calibri" w:cs="Calibri"/>
        </w:rPr>
        <w:t> Una empresa ha implementado una nueva práctica de </w:t>
      </w:r>
      <w:r>
        <w:rPr>
          <w:rStyle w:val="normaltextrun"/>
          <w:rFonts w:ascii="Calibri" w:hAnsi="Calibri" w:cs="Calibri"/>
          <w:b/>
          <w:bCs/>
        </w:rPr>
        <w:t>Gestión de Cambios</w:t>
      </w:r>
      <w:r>
        <w:rPr>
          <w:rStyle w:val="normaltextrun"/>
          <w:rFonts w:ascii="Calibri" w:hAnsi="Calibri" w:cs="Calibri"/>
        </w:rPr>
        <w:t> que automatiza la aprobación de cambios de bajo riesgo (estándar) y establece un comité de revisión para cambios de alto impacto. Esta acción refleja la aplicación del principio guía de:</w:t>
      </w:r>
      <w:r>
        <w:rPr>
          <w:rStyle w:val="eop"/>
          <w:rFonts w:ascii="Calibri" w:hAnsi="Calibri" w:cs="Calibri"/>
        </w:rPr>
        <w:t> </w:t>
      </w:r>
    </w:p>
    <w:p w14:paraId="640CC346" w14:textId="77777777" w:rsidR="000A0262" w:rsidRDefault="000A0262" w:rsidP="000A0262">
      <w:pPr>
        <w:pStyle w:val="paragraph"/>
        <w:numPr>
          <w:ilvl w:val="0"/>
          <w:numId w:val="40"/>
        </w:numPr>
        <w:spacing w:before="0" w:beforeAutospacing="0" w:after="0" w:afterAutospacing="0"/>
        <w:ind w:left="1080" w:firstLine="0"/>
        <w:textAlignment w:val="baseline"/>
        <w:rPr>
          <w:rFonts w:ascii="Calibri" w:hAnsi="Calibri" w:cs="Calibri"/>
        </w:rPr>
      </w:pPr>
      <w:r>
        <w:rPr>
          <w:rStyle w:val="normaltextrun"/>
          <w:rFonts w:ascii="Calibri" w:hAnsi="Calibri" w:cs="Calibri"/>
        </w:rPr>
        <w:t>a) Centrarse en el valor.</w:t>
      </w:r>
      <w:r>
        <w:rPr>
          <w:rStyle w:val="eop"/>
          <w:rFonts w:ascii="Calibri" w:hAnsi="Calibri" w:cs="Calibri"/>
        </w:rPr>
        <w:t> </w:t>
      </w:r>
    </w:p>
    <w:p w14:paraId="58AC36CF" w14:textId="77777777" w:rsidR="000A0262" w:rsidRDefault="000A0262" w:rsidP="000A0262">
      <w:pPr>
        <w:pStyle w:val="paragraph"/>
        <w:numPr>
          <w:ilvl w:val="0"/>
          <w:numId w:val="41"/>
        </w:numPr>
        <w:spacing w:before="0" w:beforeAutospacing="0" w:after="0" w:afterAutospacing="0"/>
        <w:ind w:left="1080" w:firstLine="0"/>
        <w:textAlignment w:val="baseline"/>
        <w:rPr>
          <w:rFonts w:ascii="Calibri" w:hAnsi="Calibri" w:cs="Calibri"/>
        </w:rPr>
      </w:pPr>
      <w:r>
        <w:rPr>
          <w:rStyle w:val="normaltextrun"/>
          <w:rFonts w:ascii="Calibri" w:hAnsi="Calibri" w:cs="Calibri"/>
        </w:rPr>
        <w:t>b) Avanzar de forma iterativa con retroalimentación.</w:t>
      </w:r>
      <w:r>
        <w:rPr>
          <w:rStyle w:val="eop"/>
          <w:rFonts w:ascii="Calibri" w:hAnsi="Calibri" w:cs="Calibri"/>
        </w:rPr>
        <w:t> </w:t>
      </w:r>
    </w:p>
    <w:p w14:paraId="61BF8FFE" w14:textId="77777777" w:rsidR="000A0262" w:rsidRDefault="000A0262" w:rsidP="000A0262">
      <w:pPr>
        <w:pStyle w:val="paragraph"/>
        <w:numPr>
          <w:ilvl w:val="0"/>
          <w:numId w:val="42"/>
        </w:numPr>
        <w:spacing w:before="0" w:beforeAutospacing="0" w:after="0" w:afterAutospacing="0"/>
        <w:ind w:left="1080" w:firstLine="0"/>
        <w:textAlignment w:val="baseline"/>
        <w:rPr>
          <w:rFonts w:ascii="Calibri" w:hAnsi="Calibri" w:cs="Calibri"/>
        </w:rPr>
      </w:pPr>
      <w:r>
        <w:rPr>
          <w:rStyle w:val="normaltextrun"/>
          <w:rFonts w:ascii="Calibri" w:hAnsi="Calibri" w:cs="Calibri"/>
        </w:rPr>
        <w:t>c) Mantenerlo simple y práctico.</w:t>
      </w:r>
      <w:r>
        <w:rPr>
          <w:rStyle w:val="eop"/>
          <w:rFonts w:ascii="Calibri" w:hAnsi="Calibri" w:cs="Calibri"/>
        </w:rPr>
        <w:t> </w:t>
      </w:r>
    </w:p>
    <w:p w14:paraId="0D03F997" w14:textId="77777777" w:rsidR="000A0262" w:rsidRDefault="000A0262" w:rsidP="000A0262">
      <w:pPr>
        <w:pStyle w:val="paragraph"/>
        <w:numPr>
          <w:ilvl w:val="0"/>
          <w:numId w:val="43"/>
        </w:numPr>
        <w:spacing w:before="0" w:beforeAutospacing="0" w:after="0" w:afterAutospacing="0"/>
        <w:ind w:left="1080" w:firstLine="0"/>
        <w:textAlignment w:val="baseline"/>
        <w:rPr>
          <w:rFonts w:ascii="Calibri" w:hAnsi="Calibri" w:cs="Calibri"/>
        </w:rPr>
      </w:pPr>
      <w:r>
        <w:rPr>
          <w:rStyle w:val="normaltextrun"/>
          <w:rFonts w:ascii="Calibri" w:hAnsi="Calibri" w:cs="Calibri"/>
        </w:rPr>
        <w:t>d) Optimizar y automatizar.</w:t>
      </w:r>
      <w:r>
        <w:rPr>
          <w:rStyle w:val="eop"/>
          <w:rFonts w:ascii="Calibri" w:hAnsi="Calibri" w:cs="Calibri"/>
        </w:rPr>
        <w:t> </w:t>
      </w:r>
    </w:p>
    <w:p w14:paraId="7E8D2350" w14:textId="77777777" w:rsidR="00756343" w:rsidRDefault="00756343"/>
    <w:sectPr w:rsidR="007563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B26F7"/>
    <w:multiLevelType w:val="multilevel"/>
    <w:tmpl w:val="3784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02727"/>
    <w:multiLevelType w:val="multilevel"/>
    <w:tmpl w:val="5BC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7250B6"/>
    <w:multiLevelType w:val="multilevel"/>
    <w:tmpl w:val="34C0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754072"/>
    <w:multiLevelType w:val="multilevel"/>
    <w:tmpl w:val="5038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43714D"/>
    <w:multiLevelType w:val="multilevel"/>
    <w:tmpl w:val="F396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EB776F"/>
    <w:multiLevelType w:val="multilevel"/>
    <w:tmpl w:val="3C08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667721"/>
    <w:multiLevelType w:val="multilevel"/>
    <w:tmpl w:val="F320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0B6A13"/>
    <w:multiLevelType w:val="multilevel"/>
    <w:tmpl w:val="3464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7B01DC"/>
    <w:multiLevelType w:val="multilevel"/>
    <w:tmpl w:val="2D3A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E4357F"/>
    <w:multiLevelType w:val="multilevel"/>
    <w:tmpl w:val="32B4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3C71C3"/>
    <w:multiLevelType w:val="multilevel"/>
    <w:tmpl w:val="47D8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522A5B"/>
    <w:multiLevelType w:val="multilevel"/>
    <w:tmpl w:val="269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BA18A3"/>
    <w:multiLevelType w:val="multilevel"/>
    <w:tmpl w:val="CC4E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87768D"/>
    <w:multiLevelType w:val="multilevel"/>
    <w:tmpl w:val="A4C6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4917F3"/>
    <w:multiLevelType w:val="multilevel"/>
    <w:tmpl w:val="E030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73471B"/>
    <w:multiLevelType w:val="multilevel"/>
    <w:tmpl w:val="5202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1447FA"/>
    <w:multiLevelType w:val="multilevel"/>
    <w:tmpl w:val="0344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35134F"/>
    <w:multiLevelType w:val="multilevel"/>
    <w:tmpl w:val="CF6E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0716A1"/>
    <w:multiLevelType w:val="multilevel"/>
    <w:tmpl w:val="C8A4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2459FA"/>
    <w:multiLevelType w:val="multilevel"/>
    <w:tmpl w:val="09D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B80CF8"/>
    <w:multiLevelType w:val="multilevel"/>
    <w:tmpl w:val="5D90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E825BA"/>
    <w:multiLevelType w:val="multilevel"/>
    <w:tmpl w:val="098C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FD1EE5"/>
    <w:multiLevelType w:val="multilevel"/>
    <w:tmpl w:val="ED42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6B157F"/>
    <w:multiLevelType w:val="multilevel"/>
    <w:tmpl w:val="DEA4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564BED"/>
    <w:multiLevelType w:val="multilevel"/>
    <w:tmpl w:val="F8FE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F8056D"/>
    <w:multiLevelType w:val="multilevel"/>
    <w:tmpl w:val="C318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4B0FDC"/>
    <w:multiLevelType w:val="multilevel"/>
    <w:tmpl w:val="1D92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5F44C7"/>
    <w:multiLevelType w:val="multilevel"/>
    <w:tmpl w:val="8ADC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423411"/>
    <w:multiLevelType w:val="multilevel"/>
    <w:tmpl w:val="820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FB45435"/>
    <w:multiLevelType w:val="multilevel"/>
    <w:tmpl w:val="766C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B90F8D"/>
    <w:multiLevelType w:val="multilevel"/>
    <w:tmpl w:val="A580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616A6A"/>
    <w:multiLevelType w:val="multilevel"/>
    <w:tmpl w:val="5B24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8144CE"/>
    <w:multiLevelType w:val="multilevel"/>
    <w:tmpl w:val="98F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05279E"/>
    <w:multiLevelType w:val="multilevel"/>
    <w:tmpl w:val="1A5C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ABE3DE3"/>
    <w:multiLevelType w:val="multilevel"/>
    <w:tmpl w:val="BACA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8F26E8"/>
    <w:multiLevelType w:val="multilevel"/>
    <w:tmpl w:val="B69C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0B261C"/>
    <w:multiLevelType w:val="multilevel"/>
    <w:tmpl w:val="5414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690314"/>
    <w:multiLevelType w:val="multilevel"/>
    <w:tmpl w:val="72EA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6B3356"/>
    <w:multiLevelType w:val="multilevel"/>
    <w:tmpl w:val="4556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BB0C83"/>
    <w:multiLevelType w:val="multilevel"/>
    <w:tmpl w:val="4622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590024"/>
    <w:multiLevelType w:val="multilevel"/>
    <w:tmpl w:val="2D48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88A2633"/>
    <w:multiLevelType w:val="multilevel"/>
    <w:tmpl w:val="5AFE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1D2F08"/>
    <w:multiLevelType w:val="multilevel"/>
    <w:tmpl w:val="012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0"/>
  </w:num>
  <w:num w:numId="3">
    <w:abstractNumId w:val="32"/>
  </w:num>
  <w:num w:numId="4">
    <w:abstractNumId w:val="6"/>
  </w:num>
  <w:num w:numId="5">
    <w:abstractNumId w:val="23"/>
  </w:num>
  <w:num w:numId="6">
    <w:abstractNumId w:val="14"/>
  </w:num>
  <w:num w:numId="7">
    <w:abstractNumId w:val="30"/>
  </w:num>
  <w:num w:numId="8">
    <w:abstractNumId w:val="33"/>
  </w:num>
  <w:num w:numId="9">
    <w:abstractNumId w:val="10"/>
  </w:num>
  <w:num w:numId="10">
    <w:abstractNumId w:val="42"/>
  </w:num>
  <w:num w:numId="11">
    <w:abstractNumId w:val="8"/>
  </w:num>
  <w:num w:numId="12">
    <w:abstractNumId w:val="28"/>
  </w:num>
  <w:num w:numId="13">
    <w:abstractNumId w:val="37"/>
  </w:num>
  <w:num w:numId="14">
    <w:abstractNumId w:val="29"/>
  </w:num>
  <w:num w:numId="15">
    <w:abstractNumId w:val="26"/>
  </w:num>
  <w:num w:numId="16">
    <w:abstractNumId w:val="27"/>
  </w:num>
  <w:num w:numId="17">
    <w:abstractNumId w:val="12"/>
  </w:num>
  <w:num w:numId="18">
    <w:abstractNumId w:val="21"/>
  </w:num>
  <w:num w:numId="19">
    <w:abstractNumId w:val="38"/>
  </w:num>
  <w:num w:numId="20">
    <w:abstractNumId w:val="24"/>
  </w:num>
  <w:num w:numId="21">
    <w:abstractNumId w:val="5"/>
  </w:num>
  <w:num w:numId="22">
    <w:abstractNumId w:val="4"/>
  </w:num>
  <w:num w:numId="23">
    <w:abstractNumId w:val="9"/>
  </w:num>
  <w:num w:numId="24">
    <w:abstractNumId w:val="16"/>
  </w:num>
  <w:num w:numId="25">
    <w:abstractNumId w:val="3"/>
  </w:num>
  <w:num w:numId="26">
    <w:abstractNumId w:val="18"/>
  </w:num>
  <w:num w:numId="27">
    <w:abstractNumId w:val="34"/>
  </w:num>
  <w:num w:numId="28">
    <w:abstractNumId w:val="7"/>
  </w:num>
  <w:num w:numId="29">
    <w:abstractNumId w:val="19"/>
  </w:num>
  <w:num w:numId="30">
    <w:abstractNumId w:val="20"/>
  </w:num>
  <w:num w:numId="31">
    <w:abstractNumId w:val="13"/>
  </w:num>
  <w:num w:numId="32">
    <w:abstractNumId w:val="39"/>
  </w:num>
  <w:num w:numId="33">
    <w:abstractNumId w:val="31"/>
  </w:num>
  <w:num w:numId="34">
    <w:abstractNumId w:val="11"/>
  </w:num>
  <w:num w:numId="35">
    <w:abstractNumId w:val="17"/>
  </w:num>
  <w:num w:numId="36">
    <w:abstractNumId w:val="2"/>
  </w:num>
  <w:num w:numId="37">
    <w:abstractNumId w:val="41"/>
  </w:num>
  <w:num w:numId="38">
    <w:abstractNumId w:val="40"/>
  </w:num>
  <w:num w:numId="39">
    <w:abstractNumId w:val="25"/>
  </w:num>
  <w:num w:numId="40">
    <w:abstractNumId w:val="36"/>
  </w:num>
  <w:num w:numId="41">
    <w:abstractNumId w:val="35"/>
  </w:num>
  <w:num w:numId="42">
    <w:abstractNumId w:val="15"/>
  </w:num>
  <w:num w:numId="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262"/>
    <w:rsid w:val="000A0262"/>
    <w:rsid w:val="007563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B8AA9"/>
  <w15:chartTrackingRefBased/>
  <w15:docId w15:val="{AA76FE0B-BC8B-44B1-A432-4D6CBB3EC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0A026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0A0262"/>
  </w:style>
  <w:style w:type="character" w:customStyle="1" w:styleId="eop">
    <w:name w:val="eop"/>
    <w:basedOn w:val="Fuentedeprrafopredeter"/>
    <w:rsid w:val="000A0262"/>
  </w:style>
  <w:style w:type="character" w:customStyle="1" w:styleId="scxw18974708">
    <w:name w:val="scxw18974708"/>
    <w:basedOn w:val="Fuentedeprrafopredeter"/>
    <w:rsid w:val="000A02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891976">
      <w:bodyDiv w:val="1"/>
      <w:marLeft w:val="0"/>
      <w:marRight w:val="0"/>
      <w:marTop w:val="0"/>
      <w:marBottom w:val="0"/>
      <w:divBdr>
        <w:top w:val="none" w:sz="0" w:space="0" w:color="auto"/>
        <w:left w:val="none" w:sz="0" w:space="0" w:color="auto"/>
        <w:bottom w:val="none" w:sz="0" w:space="0" w:color="auto"/>
        <w:right w:val="none" w:sz="0" w:space="0" w:color="auto"/>
      </w:divBdr>
      <w:divsChild>
        <w:div w:id="1012800792">
          <w:marLeft w:val="0"/>
          <w:marRight w:val="0"/>
          <w:marTop w:val="0"/>
          <w:marBottom w:val="0"/>
          <w:divBdr>
            <w:top w:val="none" w:sz="0" w:space="0" w:color="auto"/>
            <w:left w:val="none" w:sz="0" w:space="0" w:color="auto"/>
            <w:bottom w:val="none" w:sz="0" w:space="0" w:color="auto"/>
            <w:right w:val="none" w:sz="0" w:space="0" w:color="auto"/>
          </w:divBdr>
          <w:divsChild>
            <w:div w:id="2087913568">
              <w:marLeft w:val="0"/>
              <w:marRight w:val="0"/>
              <w:marTop w:val="0"/>
              <w:marBottom w:val="0"/>
              <w:divBdr>
                <w:top w:val="none" w:sz="0" w:space="0" w:color="auto"/>
                <w:left w:val="none" w:sz="0" w:space="0" w:color="auto"/>
                <w:bottom w:val="none" w:sz="0" w:space="0" w:color="auto"/>
                <w:right w:val="none" w:sz="0" w:space="0" w:color="auto"/>
              </w:divBdr>
            </w:div>
            <w:div w:id="1430077619">
              <w:marLeft w:val="0"/>
              <w:marRight w:val="0"/>
              <w:marTop w:val="0"/>
              <w:marBottom w:val="0"/>
              <w:divBdr>
                <w:top w:val="none" w:sz="0" w:space="0" w:color="auto"/>
                <w:left w:val="none" w:sz="0" w:space="0" w:color="auto"/>
                <w:bottom w:val="none" w:sz="0" w:space="0" w:color="auto"/>
                <w:right w:val="none" w:sz="0" w:space="0" w:color="auto"/>
              </w:divBdr>
            </w:div>
            <w:div w:id="678580466">
              <w:marLeft w:val="0"/>
              <w:marRight w:val="0"/>
              <w:marTop w:val="0"/>
              <w:marBottom w:val="0"/>
              <w:divBdr>
                <w:top w:val="none" w:sz="0" w:space="0" w:color="auto"/>
                <w:left w:val="none" w:sz="0" w:space="0" w:color="auto"/>
                <w:bottom w:val="none" w:sz="0" w:space="0" w:color="auto"/>
                <w:right w:val="none" w:sz="0" w:space="0" w:color="auto"/>
              </w:divBdr>
            </w:div>
            <w:div w:id="2116903468">
              <w:marLeft w:val="0"/>
              <w:marRight w:val="0"/>
              <w:marTop w:val="0"/>
              <w:marBottom w:val="0"/>
              <w:divBdr>
                <w:top w:val="none" w:sz="0" w:space="0" w:color="auto"/>
                <w:left w:val="none" w:sz="0" w:space="0" w:color="auto"/>
                <w:bottom w:val="none" w:sz="0" w:space="0" w:color="auto"/>
                <w:right w:val="none" w:sz="0" w:space="0" w:color="auto"/>
              </w:divBdr>
            </w:div>
            <w:div w:id="1506629748">
              <w:marLeft w:val="0"/>
              <w:marRight w:val="0"/>
              <w:marTop w:val="0"/>
              <w:marBottom w:val="0"/>
              <w:divBdr>
                <w:top w:val="none" w:sz="0" w:space="0" w:color="auto"/>
                <w:left w:val="none" w:sz="0" w:space="0" w:color="auto"/>
                <w:bottom w:val="none" w:sz="0" w:space="0" w:color="auto"/>
                <w:right w:val="none" w:sz="0" w:space="0" w:color="auto"/>
              </w:divBdr>
            </w:div>
            <w:div w:id="78521670">
              <w:marLeft w:val="0"/>
              <w:marRight w:val="0"/>
              <w:marTop w:val="0"/>
              <w:marBottom w:val="0"/>
              <w:divBdr>
                <w:top w:val="none" w:sz="0" w:space="0" w:color="auto"/>
                <w:left w:val="none" w:sz="0" w:space="0" w:color="auto"/>
                <w:bottom w:val="none" w:sz="0" w:space="0" w:color="auto"/>
                <w:right w:val="none" w:sz="0" w:space="0" w:color="auto"/>
              </w:divBdr>
            </w:div>
            <w:div w:id="259411761">
              <w:marLeft w:val="0"/>
              <w:marRight w:val="0"/>
              <w:marTop w:val="0"/>
              <w:marBottom w:val="0"/>
              <w:divBdr>
                <w:top w:val="none" w:sz="0" w:space="0" w:color="auto"/>
                <w:left w:val="none" w:sz="0" w:space="0" w:color="auto"/>
                <w:bottom w:val="none" w:sz="0" w:space="0" w:color="auto"/>
                <w:right w:val="none" w:sz="0" w:space="0" w:color="auto"/>
              </w:divBdr>
            </w:div>
            <w:div w:id="822888619">
              <w:marLeft w:val="0"/>
              <w:marRight w:val="0"/>
              <w:marTop w:val="0"/>
              <w:marBottom w:val="0"/>
              <w:divBdr>
                <w:top w:val="none" w:sz="0" w:space="0" w:color="auto"/>
                <w:left w:val="none" w:sz="0" w:space="0" w:color="auto"/>
                <w:bottom w:val="none" w:sz="0" w:space="0" w:color="auto"/>
                <w:right w:val="none" w:sz="0" w:space="0" w:color="auto"/>
              </w:divBdr>
            </w:div>
            <w:div w:id="1502162405">
              <w:marLeft w:val="0"/>
              <w:marRight w:val="0"/>
              <w:marTop w:val="0"/>
              <w:marBottom w:val="0"/>
              <w:divBdr>
                <w:top w:val="none" w:sz="0" w:space="0" w:color="auto"/>
                <w:left w:val="none" w:sz="0" w:space="0" w:color="auto"/>
                <w:bottom w:val="none" w:sz="0" w:space="0" w:color="auto"/>
                <w:right w:val="none" w:sz="0" w:space="0" w:color="auto"/>
              </w:divBdr>
            </w:div>
            <w:div w:id="975337132">
              <w:marLeft w:val="0"/>
              <w:marRight w:val="0"/>
              <w:marTop w:val="0"/>
              <w:marBottom w:val="0"/>
              <w:divBdr>
                <w:top w:val="none" w:sz="0" w:space="0" w:color="auto"/>
                <w:left w:val="none" w:sz="0" w:space="0" w:color="auto"/>
                <w:bottom w:val="none" w:sz="0" w:space="0" w:color="auto"/>
                <w:right w:val="none" w:sz="0" w:space="0" w:color="auto"/>
              </w:divBdr>
            </w:div>
            <w:div w:id="1926182422">
              <w:marLeft w:val="0"/>
              <w:marRight w:val="0"/>
              <w:marTop w:val="0"/>
              <w:marBottom w:val="0"/>
              <w:divBdr>
                <w:top w:val="none" w:sz="0" w:space="0" w:color="auto"/>
                <w:left w:val="none" w:sz="0" w:space="0" w:color="auto"/>
                <w:bottom w:val="none" w:sz="0" w:space="0" w:color="auto"/>
                <w:right w:val="none" w:sz="0" w:space="0" w:color="auto"/>
              </w:divBdr>
            </w:div>
            <w:div w:id="1165315290">
              <w:marLeft w:val="0"/>
              <w:marRight w:val="0"/>
              <w:marTop w:val="0"/>
              <w:marBottom w:val="0"/>
              <w:divBdr>
                <w:top w:val="none" w:sz="0" w:space="0" w:color="auto"/>
                <w:left w:val="none" w:sz="0" w:space="0" w:color="auto"/>
                <w:bottom w:val="none" w:sz="0" w:space="0" w:color="auto"/>
                <w:right w:val="none" w:sz="0" w:space="0" w:color="auto"/>
              </w:divBdr>
            </w:div>
            <w:div w:id="1692141418">
              <w:marLeft w:val="0"/>
              <w:marRight w:val="0"/>
              <w:marTop w:val="0"/>
              <w:marBottom w:val="0"/>
              <w:divBdr>
                <w:top w:val="none" w:sz="0" w:space="0" w:color="auto"/>
                <w:left w:val="none" w:sz="0" w:space="0" w:color="auto"/>
                <w:bottom w:val="none" w:sz="0" w:space="0" w:color="auto"/>
                <w:right w:val="none" w:sz="0" w:space="0" w:color="auto"/>
              </w:divBdr>
            </w:div>
            <w:div w:id="1947762380">
              <w:marLeft w:val="0"/>
              <w:marRight w:val="0"/>
              <w:marTop w:val="0"/>
              <w:marBottom w:val="0"/>
              <w:divBdr>
                <w:top w:val="none" w:sz="0" w:space="0" w:color="auto"/>
                <w:left w:val="none" w:sz="0" w:space="0" w:color="auto"/>
                <w:bottom w:val="none" w:sz="0" w:space="0" w:color="auto"/>
                <w:right w:val="none" w:sz="0" w:space="0" w:color="auto"/>
              </w:divBdr>
            </w:div>
            <w:div w:id="7561042">
              <w:marLeft w:val="0"/>
              <w:marRight w:val="0"/>
              <w:marTop w:val="0"/>
              <w:marBottom w:val="0"/>
              <w:divBdr>
                <w:top w:val="none" w:sz="0" w:space="0" w:color="auto"/>
                <w:left w:val="none" w:sz="0" w:space="0" w:color="auto"/>
                <w:bottom w:val="none" w:sz="0" w:space="0" w:color="auto"/>
                <w:right w:val="none" w:sz="0" w:space="0" w:color="auto"/>
              </w:divBdr>
            </w:div>
            <w:div w:id="1674530825">
              <w:marLeft w:val="0"/>
              <w:marRight w:val="0"/>
              <w:marTop w:val="0"/>
              <w:marBottom w:val="0"/>
              <w:divBdr>
                <w:top w:val="none" w:sz="0" w:space="0" w:color="auto"/>
                <w:left w:val="none" w:sz="0" w:space="0" w:color="auto"/>
                <w:bottom w:val="none" w:sz="0" w:space="0" w:color="auto"/>
                <w:right w:val="none" w:sz="0" w:space="0" w:color="auto"/>
              </w:divBdr>
            </w:div>
            <w:div w:id="43528263">
              <w:marLeft w:val="0"/>
              <w:marRight w:val="0"/>
              <w:marTop w:val="0"/>
              <w:marBottom w:val="0"/>
              <w:divBdr>
                <w:top w:val="none" w:sz="0" w:space="0" w:color="auto"/>
                <w:left w:val="none" w:sz="0" w:space="0" w:color="auto"/>
                <w:bottom w:val="none" w:sz="0" w:space="0" w:color="auto"/>
                <w:right w:val="none" w:sz="0" w:space="0" w:color="auto"/>
              </w:divBdr>
            </w:div>
          </w:divsChild>
        </w:div>
        <w:div w:id="1766918822">
          <w:marLeft w:val="0"/>
          <w:marRight w:val="0"/>
          <w:marTop w:val="0"/>
          <w:marBottom w:val="0"/>
          <w:divBdr>
            <w:top w:val="none" w:sz="0" w:space="0" w:color="auto"/>
            <w:left w:val="none" w:sz="0" w:space="0" w:color="auto"/>
            <w:bottom w:val="none" w:sz="0" w:space="0" w:color="auto"/>
            <w:right w:val="none" w:sz="0" w:space="0" w:color="auto"/>
          </w:divBdr>
          <w:divsChild>
            <w:div w:id="615406827">
              <w:marLeft w:val="0"/>
              <w:marRight w:val="0"/>
              <w:marTop w:val="0"/>
              <w:marBottom w:val="0"/>
              <w:divBdr>
                <w:top w:val="none" w:sz="0" w:space="0" w:color="auto"/>
                <w:left w:val="none" w:sz="0" w:space="0" w:color="auto"/>
                <w:bottom w:val="none" w:sz="0" w:space="0" w:color="auto"/>
                <w:right w:val="none" w:sz="0" w:space="0" w:color="auto"/>
              </w:divBdr>
            </w:div>
            <w:div w:id="1048336719">
              <w:marLeft w:val="0"/>
              <w:marRight w:val="0"/>
              <w:marTop w:val="0"/>
              <w:marBottom w:val="0"/>
              <w:divBdr>
                <w:top w:val="none" w:sz="0" w:space="0" w:color="auto"/>
                <w:left w:val="none" w:sz="0" w:space="0" w:color="auto"/>
                <w:bottom w:val="none" w:sz="0" w:space="0" w:color="auto"/>
                <w:right w:val="none" w:sz="0" w:space="0" w:color="auto"/>
              </w:divBdr>
            </w:div>
            <w:div w:id="1533029406">
              <w:marLeft w:val="0"/>
              <w:marRight w:val="0"/>
              <w:marTop w:val="0"/>
              <w:marBottom w:val="0"/>
              <w:divBdr>
                <w:top w:val="none" w:sz="0" w:space="0" w:color="auto"/>
                <w:left w:val="none" w:sz="0" w:space="0" w:color="auto"/>
                <w:bottom w:val="none" w:sz="0" w:space="0" w:color="auto"/>
                <w:right w:val="none" w:sz="0" w:space="0" w:color="auto"/>
              </w:divBdr>
            </w:div>
            <w:div w:id="1147475147">
              <w:marLeft w:val="0"/>
              <w:marRight w:val="0"/>
              <w:marTop w:val="0"/>
              <w:marBottom w:val="0"/>
              <w:divBdr>
                <w:top w:val="none" w:sz="0" w:space="0" w:color="auto"/>
                <w:left w:val="none" w:sz="0" w:space="0" w:color="auto"/>
                <w:bottom w:val="none" w:sz="0" w:space="0" w:color="auto"/>
                <w:right w:val="none" w:sz="0" w:space="0" w:color="auto"/>
              </w:divBdr>
            </w:div>
            <w:div w:id="1409380324">
              <w:marLeft w:val="0"/>
              <w:marRight w:val="0"/>
              <w:marTop w:val="0"/>
              <w:marBottom w:val="0"/>
              <w:divBdr>
                <w:top w:val="none" w:sz="0" w:space="0" w:color="auto"/>
                <w:left w:val="none" w:sz="0" w:space="0" w:color="auto"/>
                <w:bottom w:val="none" w:sz="0" w:space="0" w:color="auto"/>
                <w:right w:val="none" w:sz="0" w:space="0" w:color="auto"/>
              </w:divBdr>
            </w:div>
            <w:div w:id="96099494">
              <w:marLeft w:val="0"/>
              <w:marRight w:val="0"/>
              <w:marTop w:val="0"/>
              <w:marBottom w:val="0"/>
              <w:divBdr>
                <w:top w:val="none" w:sz="0" w:space="0" w:color="auto"/>
                <w:left w:val="none" w:sz="0" w:space="0" w:color="auto"/>
                <w:bottom w:val="none" w:sz="0" w:space="0" w:color="auto"/>
                <w:right w:val="none" w:sz="0" w:space="0" w:color="auto"/>
              </w:divBdr>
            </w:div>
            <w:div w:id="556354215">
              <w:marLeft w:val="0"/>
              <w:marRight w:val="0"/>
              <w:marTop w:val="0"/>
              <w:marBottom w:val="0"/>
              <w:divBdr>
                <w:top w:val="none" w:sz="0" w:space="0" w:color="auto"/>
                <w:left w:val="none" w:sz="0" w:space="0" w:color="auto"/>
                <w:bottom w:val="none" w:sz="0" w:space="0" w:color="auto"/>
                <w:right w:val="none" w:sz="0" w:space="0" w:color="auto"/>
              </w:divBdr>
            </w:div>
            <w:div w:id="2067533539">
              <w:marLeft w:val="0"/>
              <w:marRight w:val="0"/>
              <w:marTop w:val="0"/>
              <w:marBottom w:val="0"/>
              <w:divBdr>
                <w:top w:val="none" w:sz="0" w:space="0" w:color="auto"/>
                <w:left w:val="none" w:sz="0" w:space="0" w:color="auto"/>
                <w:bottom w:val="none" w:sz="0" w:space="0" w:color="auto"/>
                <w:right w:val="none" w:sz="0" w:space="0" w:color="auto"/>
              </w:divBdr>
            </w:div>
            <w:div w:id="755327165">
              <w:marLeft w:val="0"/>
              <w:marRight w:val="0"/>
              <w:marTop w:val="0"/>
              <w:marBottom w:val="0"/>
              <w:divBdr>
                <w:top w:val="none" w:sz="0" w:space="0" w:color="auto"/>
                <w:left w:val="none" w:sz="0" w:space="0" w:color="auto"/>
                <w:bottom w:val="none" w:sz="0" w:space="0" w:color="auto"/>
                <w:right w:val="none" w:sz="0" w:space="0" w:color="auto"/>
              </w:divBdr>
            </w:div>
            <w:div w:id="1428501588">
              <w:marLeft w:val="0"/>
              <w:marRight w:val="0"/>
              <w:marTop w:val="0"/>
              <w:marBottom w:val="0"/>
              <w:divBdr>
                <w:top w:val="none" w:sz="0" w:space="0" w:color="auto"/>
                <w:left w:val="none" w:sz="0" w:space="0" w:color="auto"/>
                <w:bottom w:val="none" w:sz="0" w:space="0" w:color="auto"/>
                <w:right w:val="none" w:sz="0" w:space="0" w:color="auto"/>
              </w:divBdr>
            </w:div>
            <w:div w:id="1574243372">
              <w:marLeft w:val="0"/>
              <w:marRight w:val="0"/>
              <w:marTop w:val="0"/>
              <w:marBottom w:val="0"/>
              <w:divBdr>
                <w:top w:val="none" w:sz="0" w:space="0" w:color="auto"/>
                <w:left w:val="none" w:sz="0" w:space="0" w:color="auto"/>
                <w:bottom w:val="none" w:sz="0" w:space="0" w:color="auto"/>
                <w:right w:val="none" w:sz="0" w:space="0" w:color="auto"/>
              </w:divBdr>
            </w:div>
            <w:div w:id="578440421">
              <w:marLeft w:val="0"/>
              <w:marRight w:val="0"/>
              <w:marTop w:val="0"/>
              <w:marBottom w:val="0"/>
              <w:divBdr>
                <w:top w:val="none" w:sz="0" w:space="0" w:color="auto"/>
                <w:left w:val="none" w:sz="0" w:space="0" w:color="auto"/>
                <w:bottom w:val="none" w:sz="0" w:space="0" w:color="auto"/>
                <w:right w:val="none" w:sz="0" w:space="0" w:color="auto"/>
              </w:divBdr>
            </w:div>
            <w:div w:id="1728989447">
              <w:marLeft w:val="0"/>
              <w:marRight w:val="0"/>
              <w:marTop w:val="0"/>
              <w:marBottom w:val="0"/>
              <w:divBdr>
                <w:top w:val="none" w:sz="0" w:space="0" w:color="auto"/>
                <w:left w:val="none" w:sz="0" w:space="0" w:color="auto"/>
                <w:bottom w:val="none" w:sz="0" w:space="0" w:color="auto"/>
                <w:right w:val="none" w:sz="0" w:space="0" w:color="auto"/>
              </w:divBdr>
            </w:div>
            <w:div w:id="995761850">
              <w:marLeft w:val="0"/>
              <w:marRight w:val="0"/>
              <w:marTop w:val="0"/>
              <w:marBottom w:val="0"/>
              <w:divBdr>
                <w:top w:val="none" w:sz="0" w:space="0" w:color="auto"/>
                <w:left w:val="none" w:sz="0" w:space="0" w:color="auto"/>
                <w:bottom w:val="none" w:sz="0" w:space="0" w:color="auto"/>
                <w:right w:val="none" w:sz="0" w:space="0" w:color="auto"/>
              </w:divBdr>
            </w:div>
            <w:div w:id="1362708798">
              <w:marLeft w:val="0"/>
              <w:marRight w:val="0"/>
              <w:marTop w:val="0"/>
              <w:marBottom w:val="0"/>
              <w:divBdr>
                <w:top w:val="none" w:sz="0" w:space="0" w:color="auto"/>
                <w:left w:val="none" w:sz="0" w:space="0" w:color="auto"/>
                <w:bottom w:val="none" w:sz="0" w:space="0" w:color="auto"/>
                <w:right w:val="none" w:sz="0" w:space="0" w:color="auto"/>
              </w:divBdr>
            </w:div>
            <w:div w:id="1569261884">
              <w:marLeft w:val="0"/>
              <w:marRight w:val="0"/>
              <w:marTop w:val="0"/>
              <w:marBottom w:val="0"/>
              <w:divBdr>
                <w:top w:val="none" w:sz="0" w:space="0" w:color="auto"/>
                <w:left w:val="none" w:sz="0" w:space="0" w:color="auto"/>
                <w:bottom w:val="none" w:sz="0" w:space="0" w:color="auto"/>
                <w:right w:val="none" w:sz="0" w:space="0" w:color="auto"/>
              </w:divBdr>
            </w:div>
            <w:div w:id="307785508">
              <w:marLeft w:val="0"/>
              <w:marRight w:val="0"/>
              <w:marTop w:val="0"/>
              <w:marBottom w:val="0"/>
              <w:divBdr>
                <w:top w:val="none" w:sz="0" w:space="0" w:color="auto"/>
                <w:left w:val="none" w:sz="0" w:space="0" w:color="auto"/>
                <w:bottom w:val="none" w:sz="0" w:space="0" w:color="auto"/>
                <w:right w:val="none" w:sz="0" w:space="0" w:color="auto"/>
              </w:divBdr>
            </w:div>
            <w:div w:id="729234589">
              <w:marLeft w:val="0"/>
              <w:marRight w:val="0"/>
              <w:marTop w:val="0"/>
              <w:marBottom w:val="0"/>
              <w:divBdr>
                <w:top w:val="none" w:sz="0" w:space="0" w:color="auto"/>
                <w:left w:val="none" w:sz="0" w:space="0" w:color="auto"/>
                <w:bottom w:val="none" w:sz="0" w:space="0" w:color="auto"/>
                <w:right w:val="none" w:sz="0" w:space="0" w:color="auto"/>
              </w:divBdr>
            </w:div>
            <w:div w:id="1258253372">
              <w:marLeft w:val="0"/>
              <w:marRight w:val="0"/>
              <w:marTop w:val="0"/>
              <w:marBottom w:val="0"/>
              <w:divBdr>
                <w:top w:val="none" w:sz="0" w:space="0" w:color="auto"/>
                <w:left w:val="none" w:sz="0" w:space="0" w:color="auto"/>
                <w:bottom w:val="none" w:sz="0" w:space="0" w:color="auto"/>
                <w:right w:val="none" w:sz="0" w:space="0" w:color="auto"/>
              </w:divBdr>
            </w:div>
            <w:div w:id="221336378">
              <w:marLeft w:val="0"/>
              <w:marRight w:val="0"/>
              <w:marTop w:val="0"/>
              <w:marBottom w:val="0"/>
              <w:divBdr>
                <w:top w:val="none" w:sz="0" w:space="0" w:color="auto"/>
                <w:left w:val="none" w:sz="0" w:space="0" w:color="auto"/>
                <w:bottom w:val="none" w:sz="0" w:space="0" w:color="auto"/>
                <w:right w:val="none" w:sz="0" w:space="0" w:color="auto"/>
              </w:divBdr>
            </w:div>
          </w:divsChild>
        </w:div>
        <w:div w:id="1298334130">
          <w:marLeft w:val="0"/>
          <w:marRight w:val="0"/>
          <w:marTop w:val="0"/>
          <w:marBottom w:val="0"/>
          <w:divBdr>
            <w:top w:val="none" w:sz="0" w:space="0" w:color="auto"/>
            <w:left w:val="none" w:sz="0" w:space="0" w:color="auto"/>
            <w:bottom w:val="none" w:sz="0" w:space="0" w:color="auto"/>
            <w:right w:val="none" w:sz="0" w:space="0" w:color="auto"/>
          </w:divBdr>
          <w:divsChild>
            <w:div w:id="314723573">
              <w:marLeft w:val="0"/>
              <w:marRight w:val="0"/>
              <w:marTop w:val="0"/>
              <w:marBottom w:val="0"/>
              <w:divBdr>
                <w:top w:val="none" w:sz="0" w:space="0" w:color="auto"/>
                <w:left w:val="none" w:sz="0" w:space="0" w:color="auto"/>
                <w:bottom w:val="none" w:sz="0" w:space="0" w:color="auto"/>
                <w:right w:val="none" w:sz="0" w:space="0" w:color="auto"/>
              </w:divBdr>
            </w:div>
            <w:div w:id="1620524736">
              <w:marLeft w:val="0"/>
              <w:marRight w:val="0"/>
              <w:marTop w:val="0"/>
              <w:marBottom w:val="0"/>
              <w:divBdr>
                <w:top w:val="none" w:sz="0" w:space="0" w:color="auto"/>
                <w:left w:val="none" w:sz="0" w:space="0" w:color="auto"/>
                <w:bottom w:val="none" w:sz="0" w:space="0" w:color="auto"/>
                <w:right w:val="none" w:sz="0" w:space="0" w:color="auto"/>
              </w:divBdr>
            </w:div>
            <w:div w:id="1143080277">
              <w:marLeft w:val="0"/>
              <w:marRight w:val="0"/>
              <w:marTop w:val="0"/>
              <w:marBottom w:val="0"/>
              <w:divBdr>
                <w:top w:val="none" w:sz="0" w:space="0" w:color="auto"/>
                <w:left w:val="none" w:sz="0" w:space="0" w:color="auto"/>
                <w:bottom w:val="none" w:sz="0" w:space="0" w:color="auto"/>
                <w:right w:val="none" w:sz="0" w:space="0" w:color="auto"/>
              </w:divBdr>
            </w:div>
            <w:div w:id="1829514885">
              <w:marLeft w:val="0"/>
              <w:marRight w:val="0"/>
              <w:marTop w:val="0"/>
              <w:marBottom w:val="0"/>
              <w:divBdr>
                <w:top w:val="none" w:sz="0" w:space="0" w:color="auto"/>
                <w:left w:val="none" w:sz="0" w:space="0" w:color="auto"/>
                <w:bottom w:val="none" w:sz="0" w:space="0" w:color="auto"/>
                <w:right w:val="none" w:sz="0" w:space="0" w:color="auto"/>
              </w:divBdr>
            </w:div>
            <w:div w:id="1134179168">
              <w:marLeft w:val="0"/>
              <w:marRight w:val="0"/>
              <w:marTop w:val="0"/>
              <w:marBottom w:val="0"/>
              <w:divBdr>
                <w:top w:val="none" w:sz="0" w:space="0" w:color="auto"/>
                <w:left w:val="none" w:sz="0" w:space="0" w:color="auto"/>
                <w:bottom w:val="none" w:sz="0" w:space="0" w:color="auto"/>
                <w:right w:val="none" w:sz="0" w:space="0" w:color="auto"/>
              </w:divBdr>
            </w:div>
            <w:div w:id="1162889837">
              <w:marLeft w:val="0"/>
              <w:marRight w:val="0"/>
              <w:marTop w:val="0"/>
              <w:marBottom w:val="0"/>
              <w:divBdr>
                <w:top w:val="none" w:sz="0" w:space="0" w:color="auto"/>
                <w:left w:val="none" w:sz="0" w:space="0" w:color="auto"/>
                <w:bottom w:val="none" w:sz="0" w:space="0" w:color="auto"/>
                <w:right w:val="none" w:sz="0" w:space="0" w:color="auto"/>
              </w:divBdr>
            </w:div>
            <w:div w:id="1392575141">
              <w:marLeft w:val="0"/>
              <w:marRight w:val="0"/>
              <w:marTop w:val="0"/>
              <w:marBottom w:val="0"/>
              <w:divBdr>
                <w:top w:val="none" w:sz="0" w:space="0" w:color="auto"/>
                <w:left w:val="none" w:sz="0" w:space="0" w:color="auto"/>
                <w:bottom w:val="none" w:sz="0" w:space="0" w:color="auto"/>
                <w:right w:val="none" w:sz="0" w:space="0" w:color="auto"/>
              </w:divBdr>
            </w:div>
            <w:div w:id="166024217">
              <w:marLeft w:val="0"/>
              <w:marRight w:val="0"/>
              <w:marTop w:val="0"/>
              <w:marBottom w:val="0"/>
              <w:divBdr>
                <w:top w:val="none" w:sz="0" w:space="0" w:color="auto"/>
                <w:left w:val="none" w:sz="0" w:space="0" w:color="auto"/>
                <w:bottom w:val="none" w:sz="0" w:space="0" w:color="auto"/>
                <w:right w:val="none" w:sz="0" w:space="0" w:color="auto"/>
              </w:divBdr>
            </w:div>
            <w:div w:id="502285677">
              <w:marLeft w:val="0"/>
              <w:marRight w:val="0"/>
              <w:marTop w:val="0"/>
              <w:marBottom w:val="0"/>
              <w:divBdr>
                <w:top w:val="none" w:sz="0" w:space="0" w:color="auto"/>
                <w:left w:val="none" w:sz="0" w:space="0" w:color="auto"/>
                <w:bottom w:val="none" w:sz="0" w:space="0" w:color="auto"/>
                <w:right w:val="none" w:sz="0" w:space="0" w:color="auto"/>
              </w:divBdr>
            </w:div>
            <w:div w:id="1487435187">
              <w:marLeft w:val="0"/>
              <w:marRight w:val="0"/>
              <w:marTop w:val="0"/>
              <w:marBottom w:val="0"/>
              <w:divBdr>
                <w:top w:val="none" w:sz="0" w:space="0" w:color="auto"/>
                <w:left w:val="none" w:sz="0" w:space="0" w:color="auto"/>
                <w:bottom w:val="none" w:sz="0" w:space="0" w:color="auto"/>
                <w:right w:val="none" w:sz="0" w:space="0" w:color="auto"/>
              </w:divBdr>
            </w:div>
            <w:div w:id="1160577341">
              <w:marLeft w:val="0"/>
              <w:marRight w:val="0"/>
              <w:marTop w:val="0"/>
              <w:marBottom w:val="0"/>
              <w:divBdr>
                <w:top w:val="none" w:sz="0" w:space="0" w:color="auto"/>
                <w:left w:val="none" w:sz="0" w:space="0" w:color="auto"/>
                <w:bottom w:val="none" w:sz="0" w:space="0" w:color="auto"/>
                <w:right w:val="none" w:sz="0" w:space="0" w:color="auto"/>
              </w:divBdr>
            </w:div>
            <w:div w:id="1333266274">
              <w:marLeft w:val="0"/>
              <w:marRight w:val="0"/>
              <w:marTop w:val="0"/>
              <w:marBottom w:val="0"/>
              <w:divBdr>
                <w:top w:val="none" w:sz="0" w:space="0" w:color="auto"/>
                <w:left w:val="none" w:sz="0" w:space="0" w:color="auto"/>
                <w:bottom w:val="none" w:sz="0" w:space="0" w:color="auto"/>
                <w:right w:val="none" w:sz="0" w:space="0" w:color="auto"/>
              </w:divBdr>
            </w:div>
            <w:div w:id="1189641988">
              <w:marLeft w:val="0"/>
              <w:marRight w:val="0"/>
              <w:marTop w:val="0"/>
              <w:marBottom w:val="0"/>
              <w:divBdr>
                <w:top w:val="none" w:sz="0" w:space="0" w:color="auto"/>
                <w:left w:val="none" w:sz="0" w:space="0" w:color="auto"/>
                <w:bottom w:val="none" w:sz="0" w:space="0" w:color="auto"/>
                <w:right w:val="none" w:sz="0" w:space="0" w:color="auto"/>
              </w:divBdr>
            </w:div>
            <w:div w:id="1796168942">
              <w:marLeft w:val="0"/>
              <w:marRight w:val="0"/>
              <w:marTop w:val="0"/>
              <w:marBottom w:val="0"/>
              <w:divBdr>
                <w:top w:val="none" w:sz="0" w:space="0" w:color="auto"/>
                <w:left w:val="none" w:sz="0" w:space="0" w:color="auto"/>
                <w:bottom w:val="none" w:sz="0" w:space="0" w:color="auto"/>
                <w:right w:val="none" w:sz="0" w:space="0" w:color="auto"/>
              </w:divBdr>
            </w:div>
            <w:div w:id="40979108">
              <w:marLeft w:val="0"/>
              <w:marRight w:val="0"/>
              <w:marTop w:val="0"/>
              <w:marBottom w:val="0"/>
              <w:divBdr>
                <w:top w:val="none" w:sz="0" w:space="0" w:color="auto"/>
                <w:left w:val="none" w:sz="0" w:space="0" w:color="auto"/>
                <w:bottom w:val="none" w:sz="0" w:space="0" w:color="auto"/>
                <w:right w:val="none" w:sz="0" w:space="0" w:color="auto"/>
              </w:divBdr>
            </w:div>
            <w:div w:id="1988587946">
              <w:marLeft w:val="0"/>
              <w:marRight w:val="0"/>
              <w:marTop w:val="0"/>
              <w:marBottom w:val="0"/>
              <w:divBdr>
                <w:top w:val="none" w:sz="0" w:space="0" w:color="auto"/>
                <w:left w:val="none" w:sz="0" w:space="0" w:color="auto"/>
                <w:bottom w:val="none" w:sz="0" w:space="0" w:color="auto"/>
                <w:right w:val="none" w:sz="0" w:space="0" w:color="auto"/>
              </w:divBdr>
            </w:div>
            <w:div w:id="1964075719">
              <w:marLeft w:val="0"/>
              <w:marRight w:val="0"/>
              <w:marTop w:val="0"/>
              <w:marBottom w:val="0"/>
              <w:divBdr>
                <w:top w:val="none" w:sz="0" w:space="0" w:color="auto"/>
                <w:left w:val="none" w:sz="0" w:space="0" w:color="auto"/>
                <w:bottom w:val="none" w:sz="0" w:space="0" w:color="auto"/>
                <w:right w:val="none" w:sz="0" w:space="0" w:color="auto"/>
              </w:divBdr>
            </w:div>
            <w:div w:id="1120103678">
              <w:marLeft w:val="0"/>
              <w:marRight w:val="0"/>
              <w:marTop w:val="0"/>
              <w:marBottom w:val="0"/>
              <w:divBdr>
                <w:top w:val="none" w:sz="0" w:space="0" w:color="auto"/>
                <w:left w:val="none" w:sz="0" w:space="0" w:color="auto"/>
                <w:bottom w:val="none" w:sz="0" w:space="0" w:color="auto"/>
                <w:right w:val="none" w:sz="0" w:space="0" w:color="auto"/>
              </w:divBdr>
            </w:div>
            <w:div w:id="1869563149">
              <w:marLeft w:val="0"/>
              <w:marRight w:val="0"/>
              <w:marTop w:val="0"/>
              <w:marBottom w:val="0"/>
              <w:divBdr>
                <w:top w:val="none" w:sz="0" w:space="0" w:color="auto"/>
                <w:left w:val="none" w:sz="0" w:space="0" w:color="auto"/>
                <w:bottom w:val="none" w:sz="0" w:space="0" w:color="auto"/>
                <w:right w:val="none" w:sz="0" w:space="0" w:color="auto"/>
              </w:divBdr>
            </w:div>
            <w:div w:id="646402763">
              <w:marLeft w:val="0"/>
              <w:marRight w:val="0"/>
              <w:marTop w:val="0"/>
              <w:marBottom w:val="0"/>
              <w:divBdr>
                <w:top w:val="none" w:sz="0" w:space="0" w:color="auto"/>
                <w:left w:val="none" w:sz="0" w:space="0" w:color="auto"/>
                <w:bottom w:val="none" w:sz="0" w:space="0" w:color="auto"/>
                <w:right w:val="none" w:sz="0" w:space="0" w:color="auto"/>
              </w:divBdr>
            </w:div>
          </w:divsChild>
        </w:div>
        <w:div w:id="874851639">
          <w:marLeft w:val="0"/>
          <w:marRight w:val="0"/>
          <w:marTop w:val="0"/>
          <w:marBottom w:val="0"/>
          <w:divBdr>
            <w:top w:val="none" w:sz="0" w:space="0" w:color="auto"/>
            <w:left w:val="none" w:sz="0" w:space="0" w:color="auto"/>
            <w:bottom w:val="none" w:sz="0" w:space="0" w:color="auto"/>
            <w:right w:val="none" w:sz="0" w:space="0" w:color="auto"/>
          </w:divBdr>
          <w:divsChild>
            <w:div w:id="1843353337">
              <w:marLeft w:val="0"/>
              <w:marRight w:val="0"/>
              <w:marTop w:val="0"/>
              <w:marBottom w:val="0"/>
              <w:divBdr>
                <w:top w:val="none" w:sz="0" w:space="0" w:color="auto"/>
                <w:left w:val="none" w:sz="0" w:space="0" w:color="auto"/>
                <w:bottom w:val="none" w:sz="0" w:space="0" w:color="auto"/>
                <w:right w:val="none" w:sz="0" w:space="0" w:color="auto"/>
              </w:divBdr>
            </w:div>
            <w:div w:id="757287062">
              <w:marLeft w:val="0"/>
              <w:marRight w:val="0"/>
              <w:marTop w:val="0"/>
              <w:marBottom w:val="0"/>
              <w:divBdr>
                <w:top w:val="none" w:sz="0" w:space="0" w:color="auto"/>
                <w:left w:val="none" w:sz="0" w:space="0" w:color="auto"/>
                <w:bottom w:val="none" w:sz="0" w:space="0" w:color="auto"/>
                <w:right w:val="none" w:sz="0" w:space="0" w:color="auto"/>
              </w:divBdr>
            </w:div>
            <w:div w:id="1205600530">
              <w:marLeft w:val="0"/>
              <w:marRight w:val="0"/>
              <w:marTop w:val="0"/>
              <w:marBottom w:val="0"/>
              <w:divBdr>
                <w:top w:val="none" w:sz="0" w:space="0" w:color="auto"/>
                <w:left w:val="none" w:sz="0" w:space="0" w:color="auto"/>
                <w:bottom w:val="none" w:sz="0" w:space="0" w:color="auto"/>
                <w:right w:val="none" w:sz="0" w:space="0" w:color="auto"/>
              </w:divBdr>
            </w:div>
            <w:div w:id="1361007685">
              <w:marLeft w:val="0"/>
              <w:marRight w:val="0"/>
              <w:marTop w:val="0"/>
              <w:marBottom w:val="0"/>
              <w:divBdr>
                <w:top w:val="none" w:sz="0" w:space="0" w:color="auto"/>
                <w:left w:val="none" w:sz="0" w:space="0" w:color="auto"/>
                <w:bottom w:val="none" w:sz="0" w:space="0" w:color="auto"/>
                <w:right w:val="none" w:sz="0" w:space="0" w:color="auto"/>
              </w:divBdr>
            </w:div>
            <w:div w:id="2083213772">
              <w:marLeft w:val="0"/>
              <w:marRight w:val="0"/>
              <w:marTop w:val="0"/>
              <w:marBottom w:val="0"/>
              <w:divBdr>
                <w:top w:val="none" w:sz="0" w:space="0" w:color="auto"/>
                <w:left w:val="none" w:sz="0" w:space="0" w:color="auto"/>
                <w:bottom w:val="none" w:sz="0" w:space="0" w:color="auto"/>
                <w:right w:val="none" w:sz="0" w:space="0" w:color="auto"/>
              </w:divBdr>
            </w:div>
            <w:div w:id="825630992">
              <w:marLeft w:val="0"/>
              <w:marRight w:val="0"/>
              <w:marTop w:val="0"/>
              <w:marBottom w:val="0"/>
              <w:divBdr>
                <w:top w:val="none" w:sz="0" w:space="0" w:color="auto"/>
                <w:left w:val="none" w:sz="0" w:space="0" w:color="auto"/>
                <w:bottom w:val="none" w:sz="0" w:space="0" w:color="auto"/>
                <w:right w:val="none" w:sz="0" w:space="0" w:color="auto"/>
              </w:divBdr>
            </w:div>
            <w:div w:id="2089500215">
              <w:marLeft w:val="0"/>
              <w:marRight w:val="0"/>
              <w:marTop w:val="0"/>
              <w:marBottom w:val="0"/>
              <w:divBdr>
                <w:top w:val="none" w:sz="0" w:space="0" w:color="auto"/>
                <w:left w:val="none" w:sz="0" w:space="0" w:color="auto"/>
                <w:bottom w:val="none" w:sz="0" w:space="0" w:color="auto"/>
                <w:right w:val="none" w:sz="0" w:space="0" w:color="auto"/>
              </w:divBdr>
            </w:div>
            <w:div w:id="1424103666">
              <w:marLeft w:val="0"/>
              <w:marRight w:val="0"/>
              <w:marTop w:val="0"/>
              <w:marBottom w:val="0"/>
              <w:divBdr>
                <w:top w:val="none" w:sz="0" w:space="0" w:color="auto"/>
                <w:left w:val="none" w:sz="0" w:space="0" w:color="auto"/>
                <w:bottom w:val="none" w:sz="0" w:space="0" w:color="auto"/>
                <w:right w:val="none" w:sz="0" w:space="0" w:color="auto"/>
              </w:divBdr>
            </w:div>
            <w:div w:id="311371009">
              <w:marLeft w:val="0"/>
              <w:marRight w:val="0"/>
              <w:marTop w:val="0"/>
              <w:marBottom w:val="0"/>
              <w:divBdr>
                <w:top w:val="none" w:sz="0" w:space="0" w:color="auto"/>
                <w:left w:val="none" w:sz="0" w:space="0" w:color="auto"/>
                <w:bottom w:val="none" w:sz="0" w:space="0" w:color="auto"/>
                <w:right w:val="none" w:sz="0" w:space="0" w:color="auto"/>
              </w:divBdr>
            </w:div>
            <w:div w:id="139272230">
              <w:marLeft w:val="0"/>
              <w:marRight w:val="0"/>
              <w:marTop w:val="0"/>
              <w:marBottom w:val="0"/>
              <w:divBdr>
                <w:top w:val="none" w:sz="0" w:space="0" w:color="auto"/>
                <w:left w:val="none" w:sz="0" w:space="0" w:color="auto"/>
                <w:bottom w:val="none" w:sz="0" w:space="0" w:color="auto"/>
                <w:right w:val="none" w:sz="0" w:space="0" w:color="auto"/>
              </w:divBdr>
            </w:div>
            <w:div w:id="1935742296">
              <w:marLeft w:val="0"/>
              <w:marRight w:val="0"/>
              <w:marTop w:val="0"/>
              <w:marBottom w:val="0"/>
              <w:divBdr>
                <w:top w:val="none" w:sz="0" w:space="0" w:color="auto"/>
                <w:left w:val="none" w:sz="0" w:space="0" w:color="auto"/>
                <w:bottom w:val="none" w:sz="0" w:space="0" w:color="auto"/>
                <w:right w:val="none" w:sz="0" w:space="0" w:color="auto"/>
              </w:divBdr>
            </w:div>
            <w:div w:id="1286886690">
              <w:marLeft w:val="0"/>
              <w:marRight w:val="0"/>
              <w:marTop w:val="0"/>
              <w:marBottom w:val="0"/>
              <w:divBdr>
                <w:top w:val="none" w:sz="0" w:space="0" w:color="auto"/>
                <w:left w:val="none" w:sz="0" w:space="0" w:color="auto"/>
                <w:bottom w:val="none" w:sz="0" w:space="0" w:color="auto"/>
                <w:right w:val="none" w:sz="0" w:space="0" w:color="auto"/>
              </w:divBdr>
            </w:div>
            <w:div w:id="267785000">
              <w:marLeft w:val="0"/>
              <w:marRight w:val="0"/>
              <w:marTop w:val="0"/>
              <w:marBottom w:val="0"/>
              <w:divBdr>
                <w:top w:val="none" w:sz="0" w:space="0" w:color="auto"/>
                <w:left w:val="none" w:sz="0" w:space="0" w:color="auto"/>
                <w:bottom w:val="none" w:sz="0" w:space="0" w:color="auto"/>
                <w:right w:val="none" w:sz="0" w:space="0" w:color="auto"/>
              </w:divBdr>
            </w:div>
            <w:div w:id="1184592286">
              <w:marLeft w:val="0"/>
              <w:marRight w:val="0"/>
              <w:marTop w:val="0"/>
              <w:marBottom w:val="0"/>
              <w:divBdr>
                <w:top w:val="none" w:sz="0" w:space="0" w:color="auto"/>
                <w:left w:val="none" w:sz="0" w:space="0" w:color="auto"/>
                <w:bottom w:val="none" w:sz="0" w:space="0" w:color="auto"/>
                <w:right w:val="none" w:sz="0" w:space="0" w:color="auto"/>
              </w:divBdr>
            </w:div>
            <w:div w:id="1011034430">
              <w:marLeft w:val="0"/>
              <w:marRight w:val="0"/>
              <w:marTop w:val="0"/>
              <w:marBottom w:val="0"/>
              <w:divBdr>
                <w:top w:val="none" w:sz="0" w:space="0" w:color="auto"/>
                <w:left w:val="none" w:sz="0" w:space="0" w:color="auto"/>
                <w:bottom w:val="none" w:sz="0" w:space="0" w:color="auto"/>
                <w:right w:val="none" w:sz="0" w:space="0" w:color="auto"/>
              </w:divBdr>
            </w:div>
            <w:div w:id="1601645755">
              <w:marLeft w:val="0"/>
              <w:marRight w:val="0"/>
              <w:marTop w:val="0"/>
              <w:marBottom w:val="0"/>
              <w:divBdr>
                <w:top w:val="none" w:sz="0" w:space="0" w:color="auto"/>
                <w:left w:val="none" w:sz="0" w:space="0" w:color="auto"/>
                <w:bottom w:val="none" w:sz="0" w:space="0" w:color="auto"/>
                <w:right w:val="none" w:sz="0" w:space="0" w:color="auto"/>
              </w:divBdr>
            </w:div>
            <w:div w:id="607783249">
              <w:marLeft w:val="0"/>
              <w:marRight w:val="0"/>
              <w:marTop w:val="0"/>
              <w:marBottom w:val="0"/>
              <w:divBdr>
                <w:top w:val="none" w:sz="0" w:space="0" w:color="auto"/>
                <w:left w:val="none" w:sz="0" w:space="0" w:color="auto"/>
                <w:bottom w:val="none" w:sz="0" w:space="0" w:color="auto"/>
                <w:right w:val="none" w:sz="0" w:space="0" w:color="auto"/>
              </w:divBdr>
            </w:div>
            <w:div w:id="569079352">
              <w:marLeft w:val="0"/>
              <w:marRight w:val="0"/>
              <w:marTop w:val="0"/>
              <w:marBottom w:val="0"/>
              <w:divBdr>
                <w:top w:val="none" w:sz="0" w:space="0" w:color="auto"/>
                <w:left w:val="none" w:sz="0" w:space="0" w:color="auto"/>
                <w:bottom w:val="none" w:sz="0" w:space="0" w:color="auto"/>
                <w:right w:val="none" w:sz="0" w:space="0" w:color="auto"/>
              </w:divBdr>
            </w:div>
            <w:div w:id="888035149">
              <w:marLeft w:val="0"/>
              <w:marRight w:val="0"/>
              <w:marTop w:val="0"/>
              <w:marBottom w:val="0"/>
              <w:divBdr>
                <w:top w:val="none" w:sz="0" w:space="0" w:color="auto"/>
                <w:left w:val="none" w:sz="0" w:space="0" w:color="auto"/>
                <w:bottom w:val="none" w:sz="0" w:space="0" w:color="auto"/>
                <w:right w:val="none" w:sz="0" w:space="0" w:color="auto"/>
              </w:divBdr>
            </w:div>
          </w:divsChild>
        </w:div>
        <w:div w:id="1493645929">
          <w:marLeft w:val="0"/>
          <w:marRight w:val="0"/>
          <w:marTop w:val="0"/>
          <w:marBottom w:val="0"/>
          <w:divBdr>
            <w:top w:val="none" w:sz="0" w:space="0" w:color="auto"/>
            <w:left w:val="none" w:sz="0" w:space="0" w:color="auto"/>
            <w:bottom w:val="none" w:sz="0" w:space="0" w:color="auto"/>
            <w:right w:val="none" w:sz="0" w:space="0" w:color="auto"/>
          </w:divBdr>
          <w:divsChild>
            <w:div w:id="485360343">
              <w:marLeft w:val="0"/>
              <w:marRight w:val="0"/>
              <w:marTop w:val="0"/>
              <w:marBottom w:val="0"/>
              <w:divBdr>
                <w:top w:val="none" w:sz="0" w:space="0" w:color="auto"/>
                <w:left w:val="none" w:sz="0" w:space="0" w:color="auto"/>
                <w:bottom w:val="none" w:sz="0" w:space="0" w:color="auto"/>
                <w:right w:val="none" w:sz="0" w:space="0" w:color="auto"/>
              </w:divBdr>
            </w:div>
            <w:div w:id="120790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1093</Words>
  <Characters>6017</Characters>
  <Application>Microsoft Office Word</Application>
  <DocSecurity>0</DocSecurity>
  <Lines>50</Lines>
  <Paragraphs>14</Paragraphs>
  <ScaleCrop>false</ScaleCrop>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Elio Cordero</dc:creator>
  <cp:keywords/>
  <dc:description/>
  <cp:lastModifiedBy>Lucas Elio Cordero</cp:lastModifiedBy>
  <cp:revision>1</cp:revision>
  <dcterms:created xsi:type="dcterms:W3CDTF">2026-09-19T15:19:00Z</dcterms:created>
  <dcterms:modified xsi:type="dcterms:W3CDTF">2026-09-19T15:21:00Z</dcterms:modified>
</cp:coreProperties>
</file>