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9E416"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Evaluativo Nro 3 (ISO 38500 ) </w:t>
      </w:r>
      <w:r>
        <w:rPr>
          <w:rStyle w:val="eop"/>
          <w:rFonts w:ascii="Calibri" w:hAnsi="Calibri" w:cs="Calibri"/>
        </w:rPr>
        <w:t> </w:t>
      </w:r>
    </w:p>
    <w:p w14:paraId="7AEFED17"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1. Análisis de caso (Aplicación del modelo E-D-M):</w:t>
      </w:r>
      <w:r>
        <w:rPr>
          <w:rStyle w:val="scxw32512297"/>
          <w:rFonts w:ascii="Calibri" w:hAnsi="Calibri" w:cs="Calibri"/>
        </w:rPr>
        <w:t> </w:t>
      </w:r>
      <w:r>
        <w:rPr>
          <w:rFonts w:ascii="Calibri" w:hAnsi="Calibri" w:cs="Calibri"/>
        </w:rPr>
        <w:br/>
      </w:r>
      <w:r>
        <w:rPr>
          <w:rStyle w:val="normaltextrun"/>
          <w:rFonts w:ascii="Calibri" w:hAnsi="Calibri" w:cs="Calibri"/>
          <w:i/>
          <w:iCs/>
        </w:rPr>
        <w:t>Suponga que una empresa del sector financiero adquiere urgentemente un sistema de inteligencia artificial predictiva para su área de riesgos, sin realizar una consulta formal al comité de cumplimiento normativo (cumpliendo así con la adquisición técnica, pero omitiendo el análisis de brechas legales).</w:t>
      </w:r>
      <w:r>
        <w:rPr>
          <w:rStyle w:val="eop"/>
          <w:rFonts w:ascii="Calibri" w:hAnsi="Calibri" w:cs="Calibri"/>
        </w:rPr>
        <w:t> </w:t>
      </w:r>
    </w:p>
    <w:p w14:paraId="61678809"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Pregunta:</w:t>
      </w:r>
      <w:r>
        <w:rPr>
          <w:rStyle w:val="normaltextrun"/>
          <w:rFonts w:ascii="Calibri" w:hAnsi="Calibri" w:cs="Calibri"/>
        </w:rPr>
        <w:t> Identifique explícitamente cuáles de los </w:t>
      </w:r>
      <w:r>
        <w:rPr>
          <w:rStyle w:val="normaltextrun"/>
          <w:rFonts w:ascii="Calibri" w:hAnsi="Calibri" w:cs="Calibri"/>
          <w:b/>
          <w:bCs/>
        </w:rPr>
        <w:t>6 principios</w:t>
      </w:r>
      <w:r>
        <w:rPr>
          <w:rStyle w:val="normaltextrun"/>
          <w:rFonts w:ascii="Calibri" w:hAnsi="Calibri" w:cs="Calibri"/>
        </w:rPr>
        <w:t> de la ISO 38500 están siendo vulnerados en esta acción. Luego, explique, paso a paso, cómo debería el órgano de gobierno aplicar el ciclo de </w:t>
      </w:r>
      <w:r>
        <w:rPr>
          <w:rStyle w:val="normaltextrun"/>
          <w:rFonts w:ascii="Calibri" w:hAnsi="Calibri" w:cs="Calibri"/>
          <w:b/>
          <w:bCs/>
        </w:rPr>
        <w:t>Evaluar, Dirigir y Monitorear</w:t>
      </w:r>
      <w:r>
        <w:rPr>
          <w:rStyle w:val="normaltextrun"/>
          <w:rFonts w:ascii="Calibri" w:hAnsi="Calibri" w:cs="Calibri"/>
        </w:rPr>
        <w:t> para corregir el rumbo y evitar futuras recurrencias.</w:t>
      </w:r>
      <w:r>
        <w:rPr>
          <w:rStyle w:val="eop"/>
          <w:rFonts w:ascii="Calibri" w:hAnsi="Calibri" w:cs="Calibri"/>
        </w:rPr>
        <w:t> </w:t>
      </w:r>
    </w:p>
    <w:p w14:paraId="5BDAA4B3" w14:textId="1D9B700F"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3649A9F7" wp14:editId="5B59C305">
            <wp:extent cx="9525" cy="95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6DED424A"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2. Diferenciación conceptual profunda (Gobierno vs. Gestión):</w:t>
      </w:r>
      <w:r>
        <w:rPr>
          <w:rStyle w:val="scxw32512297"/>
          <w:rFonts w:ascii="Calibri" w:hAnsi="Calibri" w:cs="Calibri"/>
        </w:rPr>
        <w:t> </w:t>
      </w:r>
      <w:r>
        <w:rPr>
          <w:rFonts w:ascii="Calibri" w:hAnsi="Calibri" w:cs="Calibri"/>
        </w:rPr>
        <w:br/>
      </w:r>
      <w:r>
        <w:rPr>
          <w:rStyle w:val="normaltextrun"/>
          <w:rFonts w:ascii="Calibri" w:hAnsi="Calibri" w:cs="Calibri"/>
          <w:i/>
          <w:iCs/>
        </w:rPr>
        <w:t>Uno de los errores más frecuentes en las organizaciones es confundir las responsabilidades del "gobierno de TI" con la "gestión de TI", delegando decisiones estratégicas al nivel operativo o, por el contrario, microgestionando desde la dirección.</w:t>
      </w:r>
      <w:r>
        <w:rPr>
          <w:rStyle w:val="eop"/>
          <w:rFonts w:ascii="Calibri" w:hAnsi="Calibri" w:cs="Calibri"/>
        </w:rPr>
        <w:t> </w:t>
      </w:r>
    </w:p>
    <w:p w14:paraId="4214F3DD"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Pregunta:</w:t>
      </w:r>
      <w:r>
        <w:rPr>
          <w:rStyle w:val="normaltextrun"/>
          <w:rFonts w:ascii="Calibri" w:hAnsi="Calibri" w:cs="Calibri"/>
        </w:rPr>
        <w:t> Desarrolle una explicación detallada de la diferencia entre </w:t>
      </w:r>
      <w:r>
        <w:rPr>
          <w:rStyle w:val="normaltextrun"/>
          <w:rFonts w:ascii="Calibri" w:hAnsi="Calibri" w:cs="Calibri"/>
          <w:b/>
          <w:bCs/>
        </w:rPr>
        <w:t>Gobierno</w:t>
      </w:r>
      <w:r>
        <w:rPr>
          <w:rStyle w:val="normaltextrun"/>
          <w:rFonts w:ascii="Calibri" w:hAnsi="Calibri" w:cs="Calibri"/>
        </w:rPr>
        <w:t> y </w:t>
      </w:r>
      <w:r>
        <w:rPr>
          <w:rStyle w:val="normaltextrun"/>
          <w:rFonts w:ascii="Calibri" w:hAnsi="Calibri" w:cs="Calibri"/>
          <w:b/>
          <w:bCs/>
        </w:rPr>
        <w:t>Gestión</w:t>
      </w:r>
      <w:r>
        <w:rPr>
          <w:rStyle w:val="normaltextrun"/>
          <w:rFonts w:ascii="Calibri" w:hAnsi="Calibri" w:cs="Calibri"/>
        </w:rPr>
        <w:t> según la óptica de la ISO/IEC 38500. Argumente por qué la correcta separación (y no aislamiento) de estos roles es crítica para mantener la alineación estratégica, y ponga un ejemplo concreto de una decisión que corresponda exclusivamente al gobierno y otra a la gestión.</w:t>
      </w:r>
      <w:r>
        <w:rPr>
          <w:rStyle w:val="eop"/>
          <w:rFonts w:ascii="Calibri" w:hAnsi="Calibri" w:cs="Calibri"/>
        </w:rPr>
        <w:t> </w:t>
      </w:r>
    </w:p>
    <w:p w14:paraId="38DC3D2D" w14:textId="21454DCE"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430A47F7" wp14:editId="26623984">
            <wp:extent cx="9525" cy="95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7423C3A8" w14:textId="5508FB7E"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7C77A365" wp14:editId="765C7BDE">
            <wp:extent cx="9525" cy="95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1B15FBD8"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356B5207"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7136B819"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5B4183F4"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7B6FFEA1"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12886246"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152ECD9B"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3F92734C"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705E0917"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628FB96E"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3EC99763"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56C1966B"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PARTE II: SELECCIÓN MÚLTIPLE (10 preguntas - Valor 0.5 puntos cada una)</w:t>
      </w:r>
      <w:r>
        <w:rPr>
          <w:rStyle w:val="eop"/>
          <w:rFonts w:ascii="Calibri" w:hAnsi="Calibri" w:cs="Calibri"/>
        </w:rPr>
        <w:t> </w:t>
      </w:r>
    </w:p>
    <w:p w14:paraId="5BB45E76"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1.</w:t>
      </w:r>
      <w:r>
        <w:rPr>
          <w:rStyle w:val="normaltextrun"/>
          <w:rFonts w:ascii="Calibri" w:hAnsi="Calibri" w:cs="Calibri"/>
        </w:rPr>
        <w:t> En el contexto de la ISO/IEC 38500:2024, el principio de </w:t>
      </w:r>
      <w:r>
        <w:rPr>
          <w:rStyle w:val="normaltextrun"/>
          <w:rFonts w:ascii="Calibri" w:hAnsi="Calibri" w:cs="Calibri"/>
          <w:b/>
          <w:bCs/>
        </w:rPr>
        <w:t>"Rendimiento" (Performance)</w:t>
      </w:r>
      <w:r>
        <w:rPr>
          <w:rStyle w:val="normaltextrun"/>
          <w:rFonts w:ascii="Calibri" w:hAnsi="Calibri" w:cs="Calibri"/>
        </w:rPr>
        <w:t> no solo se refiere a la eficiencia operativa, sino que exige fundamentalmente que:</w:t>
      </w:r>
      <w:r>
        <w:rPr>
          <w:rStyle w:val="eop"/>
          <w:rFonts w:ascii="Calibri" w:hAnsi="Calibri" w:cs="Calibri"/>
        </w:rPr>
        <w:t> </w:t>
      </w:r>
    </w:p>
    <w:p w14:paraId="3198BBAC" w14:textId="77777777" w:rsidR="00AE1F46" w:rsidRDefault="00AE1F46" w:rsidP="00AE1F46">
      <w:pPr>
        <w:pStyle w:val="paragraph"/>
        <w:numPr>
          <w:ilvl w:val="0"/>
          <w:numId w:val="1"/>
        </w:numPr>
        <w:spacing w:before="0" w:beforeAutospacing="0" w:after="0" w:afterAutospacing="0"/>
        <w:ind w:firstLine="705"/>
        <w:textAlignment w:val="baseline"/>
        <w:rPr>
          <w:rFonts w:ascii="Calibri" w:hAnsi="Calibri" w:cs="Calibri"/>
        </w:rPr>
      </w:pPr>
      <w:r>
        <w:rPr>
          <w:rStyle w:val="normaltextrun"/>
          <w:rFonts w:ascii="Calibri" w:hAnsi="Calibri" w:cs="Calibri"/>
        </w:rPr>
        <w:t>a) Los costos de infraestructura se mantengan por debajo del promedio del mercado.</w:t>
      </w:r>
      <w:r>
        <w:rPr>
          <w:rStyle w:val="eop"/>
          <w:rFonts w:ascii="Calibri" w:hAnsi="Calibri" w:cs="Calibri"/>
        </w:rPr>
        <w:t> </w:t>
      </w:r>
    </w:p>
    <w:p w14:paraId="4B64710D" w14:textId="77777777" w:rsidR="00AE1F46" w:rsidRDefault="00AE1F46" w:rsidP="00AE1F46">
      <w:pPr>
        <w:pStyle w:val="paragraph"/>
        <w:numPr>
          <w:ilvl w:val="0"/>
          <w:numId w:val="2"/>
        </w:numPr>
        <w:spacing w:before="0" w:beforeAutospacing="0" w:after="0" w:afterAutospacing="0"/>
        <w:ind w:firstLine="705"/>
        <w:textAlignment w:val="baseline"/>
        <w:rPr>
          <w:rFonts w:ascii="Calibri" w:hAnsi="Calibri" w:cs="Calibri"/>
        </w:rPr>
      </w:pPr>
      <w:r>
        <w:rPr>
          <w:rStyle w:val="normaltextrun"/>
          <w:rFonts w:ascii="Calibri" w:hAnsi="Calibri" w:cs="Calibri"/>
        </w:rPr>
        <w:t>b) Las TIC sean adecuadas para su propósito, satisfaciendo los requisitos actuales y futuros del negocio.</w:t>
      </w:r>
      <w:r>
        <w:rPr>
          <w:rStyle w:val="eop"/>
          <w:rFonts w:ascii="Calibri" w:hAnsi="Calibri" w:cs="Calibri"/>
        </w:rPr>
        <w:t> </w:t>
      </w:r>
    </w:p>
    <w:p w14:paraId="6751E912" w14:textId="77777777" w:rsidR="00AE1F46" w:rsidRDefault="00AE1F46" w:rsidP="00AE1F46">
      <w:pPr>
        <w:pStyle w:val="paragraph"/>
        <w:numPr>
          <w:ilvl w:val="0"/>
          <w:numId w:val="3"/>
        </w:numPr>
        <w:spacing w:before="0" w:beforeAutospacing="0" w:after="0" w:afterAutospacing="0"/>
        <w:ind w:firstLine="705"/>
        <w:textAlignment w:val="baseline"/>
        <w:rPr>
          <w:rFonts w:ascii="Calibri" w:hAnsi="Calibri" w:cs="Calibri"/>
        </w:rPr>
      </w:pPr>
      <w:r>
        <w:rPr>
          <w:rStyle w:val="normaltextrun"/>
          <w:rFonts w:ascii="Calibri" w:hAnsi="Calibri" w:cs="Calibri"/>
        </w:rPr>
        <w:t>c) El tiempo de actividad (uptime) de los servidores críticos sea del 99.99%.</w:t>
      </w:r>
      <w:r>
        <w:rPr>
          <w:rStyle w:val="eop"/>
          <w:rFonts w:ascii="Calibri" w:hAnsi="Calibri" w:cs="Calibri"/>
        </w:rPr>
        <w:t> </w:t>
      </w:r>
    </w:p>
    <w:p w14:paraId="4C674037" w14:textId="77777777" w:rsidR="00AE1F46" w:rsidRDefault="00AE1F46" w:rsidP="00AE1F46">
      <w:pPr>
        <w:pStyle w:val="paragraph"/>
        <w:numPr>
          <w:ilvl w:val="0"/>
          <w:numId w:val="4"/>
        </w:numPr>
        <w:spacing w:before="0" w:beforeAutospacing="0" w:after="0" w:afterAutospacing="0"/>
        <w:ind w:firstLine="705"/>
        <w:textAlignment w:val="baseline"/>
        <w:rPr>
          <w:rFonts w:ascii="Calibri" w:hAnsi="Calibri" w:cs="Calibri"/>
        </w:rPr>
      </w:pPr>
      <w:r>
        <w:rPr>
          <w:rStyle w:val="normaltextrun"/>
          <w:rFonts w:ascii="Calibri" w:hAnsi="Calibri" w:cs="Calibri"/>
        </w:rPr>
        <w:t>d) Se implementen las últimas versiones de software disponibles en el mercado.</w:t>
      </w:r>
      <w:r>
        <w:rPr>
          <w:rStyle w:val="eop"/>
          <w:rFonts w:ascii="Calibri" w:hAnsi="Calibri" w:cs="Calibri"/>
        </w:rPr>
        <w:t> </w:t>
      </w:r>
    </w:p>
    <w:p w14:paraId="30174E4E" w14:textId="6570ED6E"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14C463A3" wp14:editId="417FF899">
            <wp:extent cx="9525" cy="95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0923D564"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lastRenderedPageBreak/>
        <w:t>2.</w:t>
      </w:r>
      <w:r>
        <w:rPr>
          <w:rStyle w:val="normaltextrun"/>
          <w:rFonts w:ascii="Calibri" w:hAnsi="Calibri" w:cs="Calibri"/>
        </w:rPr>
        <w:t> Uno de los cambios estructurales más relevantes de la versión 2024 de la ISO 38500 es su alineación con la ISO 37000, lo que implica que el gobierno de TI debe integrar de manera indivisible:</w:t>
      </w:r>
      <w:r>
        <w:rPr>
          <w:rStyle w:val="eop"/>
          <w:rFonts w:ascii="Calibri" w:hAnsi="Calibri" w:cs="Calibri"/>
        </w:rPr>
        <w:t> </w:t>
      </w:r>
    </w:p>
    <w:p w14:paraId="3EBE02A5" w14:textId="77777777" w:rsidR="00AE1F46" w:rsidRDefault="00AE1F46" w:rsidP="00AE1F46">
      <w:pPr>
        <w:pStyle w:val="paragraph"/>
        <w:numPr>
          <w:ilvl w:val="0"/>
          <w:numId w:val="5"/>
        </w:numPr>
        <w:spacing w:before="0" w:beforeAutospacing="0" w:after="0" w:afterAutospacing="0"/>
        <w:ind w:firstLine="705"/>
        <w:textAlignment w:val="baseline"/>
        <w:rPr>
          <w:rFonts w:ascii="Calibri" w:hAnsi="Calibri" w:cs="Calibri"/>
        </w:rPr>
      </w:pPr>
      <w:r>
        <w:rPr>
          <w:rStyle w:val="normaltextrun"/>
          <w:rFonts w:ascii="Calibri" w:hAnsi="Calibri" w:cs="Calibri"/>
        </w:rPr>
        <w:t>a) La transformación digital forzosa y la obsolescencia programada.</w:t>
      </w:r>
      <w:r>
        <w:rPr>
          <w:rStyle w:val="eop"/>
          <w:rFonts w:ascii="Calibri" w:hAnsi="Calibri" w:cs="Calibri"/>
        </w:rPr>
        <w:t> </w:t>
      </w:r>
    </w:p>
    <w:p w14:paraId="1A7838F4" w14:textId="77777777" w:rsidR="00AE1F46" w:rsidRDefault="00AE1F46" w:rsidP="00AE1F46">
      <w:pPr>
        <w:pStyle w:val="paragraph"/>
        <w:numPr>
          <w:ilvl w:val="0"/>
          <w:numId w:val="6"/>
        </w:numPr>
        <w:spacing w:before="0" w:beforeAutospacing="0" w:after="0" w:afterAutospacing="0"/>
        <w:ind w:firstLine="705"/>
        <w:textAlignment w:val="baseline"/>
        <w:rPr>
          <w:rFonts w:ascii="Calibri" w:hAnsi="Calibri" w:cs="Calibri"/>
        </w:rPr>
      </w:pPr>
      <w:r>
        <w:rPr>
          <w:rStyle w:val="normaltextrun"/>
          <w:rFonts w:ascii="Calibri" w:hAnsi="Calibri" w:cs="Calibri"/>
        </w:rPr>
        <w:t>b) El desempeño efectivo, la gestión responsable y el comportamiento ético.</w:t>
      </w:r>
      <w:r>
        <w:rPr>
          <w:rStyle w:val="eop"/>
          <w:rFonts w:ascii="Calibri" w:hAnsi="Calibri" w:cs="Calibri"/>
        </w:rPr>
        <w:t> </w:t>
      </w:r>
    </w:p>
    <w:p w14:paraId="112DA749" w14:textId="77777777" w:rsidR="00AE1F46" w:rsidRDefault="00AE1F46" w:rsidP="00AE1F46">
      <w:pPr>
        <w:pStyle w:val="paragraph"/>
        <w:numPr>
          <w:ilvl w:val="0"/>
          <w:numId w:val="7"/>
        </w:numPr>
        <w:spacing w:before="0" w:beforeAutospacing="0" w:after="0" w:afterAutospacing="0"/>
        <w:ind w:firstLine="705"/>
        <w:textAlignment w:val="baseline"/>
        <w:rPr>
          <w:rFonts w:ascii="Calibri" w:hAnsi="Calibri" w:cs="Calibri"/>
        </w:rPr>
      </w:pPr>
      <w:r>
        <w:rPr>
          <w:rStyle w:val="normaltextrun"/>
          <w:rFonts w:ascii="Calibri" w:hAnsi="Calibri" w:cs="Calibri"/>
        </w:rPr>
        <w:t>c) La externalización total de la ciberseguridad y el backup de datos.</w:t>
      </w:r>
      <w:r>
        <w:rPr>
          <w:rStyle w:val="eop"/>
          <w:rFonts w:ascii="Calibri" w:hAnsi="Calibri" w:cs="Calibri"/>
        </w:rPr>
        <w:t> </w:t>
      </w:r>
    </w:p>
    <w:p w14:paraId="1F77494E" w14:textId="77777777" w:rsidR="00AE1F46" w:rsidRDefault="00AE1F46" w:rsidP="00AE1F46">
      <w:pPr>
        <w:pStyle w:val="paragraph"/>
        <w:numPr>
          <w:ilvl w:val="0"/>
          <w:numId w:val="8"/>
        </w:numPr>
        <w:spacing w:before="0" w:beforeAutospacing="0" w:after="0" w:afterAutospacing="0"/>
        <w:ind w:firstLine="705"/>
        <w:textAlignment w:val="baseline"/>
        <w:rPr>
          <w:rFonts w:ascii="Calibri" w:hAnsi="Calibri" w:cs="Calibri"/>
        </w:rPr>
      </w:pPr>
      <w:r>
        <w:rPr>
          <w:rStyle w:val="normaltextrun"/>
          <w:rFonts w:ascii="Calibri" w:hAnsi="Calibri" w:cs="Calibri"/>
        </w:rPr>
        <w:t>d) La eliminación de los roles de gestión para agilizar la toma de decisiones.</w:t>
      </w:r>
      <w:r>
        <w:rPr>
          <w:rStyle w:val="eop"/>
          <w:rFonts w:ascii="Calibri" w:hAnsi="Calibri" w:cs="Calibri"/>
        </w:rPr>
        <w:t> </w:t>
      </w:r>
    </w:p>
    <w:p w14:paraId="3E43E823" w14:textId="765B9060"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4D2F2720" wp14:editId="06188965">
            <wp:extent cx="9525" cy="95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4E2D6666"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3.</w:t>
      </w:r>
      <w:r>
        <w:rPr>
          <w:rStyle w:val="normaltextrun"/>
          <w:rFonts w:ascii="Calibri" w:hAnsi="Calibri" w:cs="Calibri"/>
        </w:rPr>
        <w:t> Según el modelo de la norma, si el consejo directivo, al revisar los informes trimestrales, detecta que un proyecto de transformación digital no está generando el valor de negocio esperado y se están sobrepasando los riesgos aceptados. Aplicando estrictamente el modelo </w:t>
      </w:r>
      <w:r>
        <w:rPr>
          <w:rStyle w:val="normaltextrun"/>
          <w:rFonts w:ascii="Calibri" w:hAnsi="Calibri" w:cs="Calibri"/>
          <w:b/>
          <w:bCs/>
        </w:rPr>
        <w:t>E-D-M</w:t>
      </w:r>
      <w:r>
        <w:rPr>
          <w:rStyle w:val="normaltextrun"/>
          <w:rFonts w:ascii="Calibri" w:hAnsi="Calibri" w:cs="Calibri"/>
        </w:rPr>
        <w:t>, la acción que corresponde al rol de </w:t>
      </w:r>
      <w:r>
        <w:rPr>
          <w:rStyle w:val="normaltextrun"/>
          <w:rFonts w:ascii="Calibri" w:hAnsi="Calibri" w:cs="Calibri"/>
          <w:b/>
          <w:bCs/>
        </w:rPr>
        <w:t>"Monitorear" (Monitor)</w:t>
      </w:r>
      <w:r>
        <w:rPr>
          <w:rStyle w:val="normaltextrun"/>
          <w:rFonts w:ascii="Calibri" w:hAnsi="Calibri" w:cs="Calibri"/>
        </w:rPr>
        <w:t> es:</w:t>
      </w:r>
      <w:r>
        <w:rPr>
          <w:rStyle w:val="eop"/>
          <w:rFonts w:ascii="Calibri" w:hAnsi="Calibri" w:cs="Calibri"/>
        </w:rPr>
        <w:t> </w:t>
      </w:r>
    </w:p>
    <w:p w14:paraId="3EBE2F2C" w14:textId="77777777" w:rsidR="00AE1F46" w:rsidRDefault="00AE1F46" w:rsidP="00AE1F46">
      <w:pPr>
        <w:pStyle w:val="paragraph"/>
        <w:numPr>
          <w:ilvl w:val="0"/>
          <w:numId w:val="9"/>
        </w:numPr>
        <w:spacing w:before="0" w:beforeAutospacing="0" w:after="0" w:afterAutospacing="0"/>
        <w:ind w:firstLine="705"/>
        <w:textAlignment w:val="baseline"/>
        <w:rPr>
          <w:rFonts w:ascii="Calibri" w:hAnsi="Calibri" w:cs="Calibri"/>
        </w:rPr>
      </w:pPr>
      <w:r>
        <w:rPr>
          <w:rStyle w:val="normaltextrun"/>
          <w:rFonts w:ascii="Calibri" w:hAnsi="Calibri" w:cs="Calibri"/>
        </w:rPr>
        <w:t>a) Intervenir directamente y reasignar manualmente a los equipos de desarrollo.</w:t>
      </w:r>
      <w:r>
        <w:rPr>
          <w:rStyle w:val="eop"/>
          <w:rFonts w:ascii="Calibri" w:hAnsi="Calibri" w:cs="Calibri"/>
        </w:rPr>
        <w:t> </w:t>
      </w:r>
    </w:p>
    <w:p w14:paraId="212475D7" w14:textId="77777777" w:rsidR="00AE1F46" w:rsidRDefault="00AE1F46" w:rsidP="00AE1F46">
      <w:pPr>
        <w:pStyle w:val="paragraph"/>
        <w:numPr>
          <w:ilvl w:val="0"/>
          <w:numId w:val="10"/>
        </w:numPr>
        <w:spacing w:before="0" w:beforeAutospacing="0" w:after="0" w:afterAutospacing="0"/>
        <w:ind w:firstLine="705"/>
        <w:textAlignment w:val="baseline"/>
        <w:rPr>
          <w:rFonts w:ascii="Calibri" w:hAnsi="Calibri" w:cs="Calibri"/>
        </w:rPr>
      </w:pPr>
      <w:r>
        <w:rPr>
          <w:rStyle w:val="normaltextrun"/>
          <w:rFonts w:ascii="Calibri" w:hAnsi="Calibri" w:cs="Calibri"/>
        </w:rPr>
        <w:t>b) Evaluar los informes de auditoría y, en función de ello, redefinir las directrices estratégicas o solicitar un plan de mitigación a la gestión.</w:t>
      </w:r>
      <w:r>
        <w:rPr>
          <w:rStyle w:val="eop"/>
          <w:rFonts w:ascii="Calibri" w:hAnsi="Calibri" w:cs="Calibri"/>
        </w:rPr>
        <w:t> </w:t>
      </w:r>
    </w:p>
    <w:p w14:paraId="0EC97E31" w14:textId="77777777" w:rsidR="00AE1F46" w:rsidRDefault="00AE1F46" w:rsidP="00AE1F46">
      <w:pPr>
        <w:pStyle w:val="paragraph"/>
        <w:numPr>
          <w:ilvl w:val="0"/>
          <w:numId w:val="11"/>
        </w:numPr>
        <w:spacing w:before="0" w:beforeAutospacing="0" w:after="0" w:afterAutospacing="0"/>
        <w:ind w:firstLine="705"/>
        <w:textAlignment w:val="baseline"/>
        <w:rPr>
          <w:rFonts w:ascii="Calibri" w:hAnsi="Calibri" w:cs="Calibri"/>
        </w:rPr>
      </w:pPr>
      <w:r>
        <w:rPr>
          <w:rStyle w:val="normaltextrun"/>
          <w:rFonts w:ascii="Calibri" w:hAnsi="Calibri" w:cs="Calibri"/>
        </w:rPr>
        <w:t>c) Detener inmediatamente el proyecto y cancelar los contratos con los proveedores.</w:t>
      </w:r>
      <w:r>
        <w:rPr>
          <w:rStyle w:val="eop"/>
          <w:rFonts w:ascii="Calibri" w:hAnsi="Calibri" w:cs="Calibri"/>
        </w:rPr>
        <w:t> </w:t>
      </w:r>
    </w:p>
    <w:p w14:paraId="62FAE368" w14:textId="77777777" w:rsidR="00AE1F46" w:rsidRDefault="00AE1F46" w:rsidP="00AE1F46">
      <w:pPr>
        <w:pStyle w:val="paragraph"/>
        <w:numPr>
          <w:ilvl w:val="0"/>
          <w:numId w:val="12"/>
        </w:numPr>
        <w:spacing w:before="0" w:beforeAutospacing="0" w:after="0" w:afterAutospacing="0"/>
        <w:ind w:firstLine="705"/>
        <w:textAlignment w:val="baseline"/>
        <w:rPr>
          <w:rFonts w:ascii="Calibri" w:hAnsi="Calibri" w:cs="Calibri"/>
        </w:rPr>
      </w:pPr>
      <w:r>
        <w:rPr>
          <w:rStyle w:val="normaltextrun"/>
          <w:rFonts w:ascii="Calibri" w:hAnsi="Calibri" w:cs="Calibri"/>
        </w:rPr>
        <w:t>d) Aumentar el presupuesto del proyecto sin modificar la estrategia para acelerar los plazos.</w:t>
      </w:r>
      <w:r>
        <w:rPr>
          <w:rStyle w:val="eop"/>
          <w:rFonts w:ascii="Calibri" w:hAnsi="Calibri" w:cs="Calibri"/>
        </w:rPr>
        <w:t> </w:t>
      </w:r>
    </w:p>
    <w:p w14:paraId="4DF3032B"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7ECD6228" w14:textId="77777777" w:rsidR="00AE1F46" w:rsidRDefault="00AE1F46" w:rsidP="00AE1F46">
      <w:pPr>
        <w:pStyle w:val="paragraph"/>
        <w:spacing w:before="0" w:beforeAutospacing="0" w:after="0" w:afterAutospacing="0"/>
        <w:textAlignment w:val="baseline"/>
        <w:rPr>
          <w:rFonts w:ascii="Segoe UI" w:hAnsi="Segoe UI" w:cs="Segoe UI"/>
          <w:sz w:val="18"/>
          <w:szCs w:val="18"/>
          <w:lang w:val="es-ES"/>
        </w:rPr>
      </w:pPr>
      <w:r>
        <w:rPr>
          <w:rStyle w:val="eop"/>
          <w:rFonts w:ascii="Calibri" w:hAnsi="Calibri" w:cs="Calibri"/>
          <w:lang w:val="es-ES"/>
        </w:rPr>
        <w:t> </w:t>
      </w:r>
    </w:p>
    <w:p w14:paraId="283B9B0F"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4.</w:t>
      </w:r>
      <w:r>
        <w:rPr>
          <w:rStyle w:val="normaltextrun"/>
          <w:rFonts w:ascii="Calibri" w:hAnsi="Calibri" w:cs="Calibri"/>
        </w:rPr>
        <w:t> La distinción fundamental entre la </w:t>
      </w:r>
      <w:r>
        <w:rPr>
          <w:rStyle w:val="normaltextrun"/>
          <w:rFonts w:ascii="Calibri" w:hAnsi="Calibri" w:cs="Calibri"/>
          <w:b/>
          <w:bCs/>
        </w:rPr>
        <w:t>ISO/IEC 38500</w:t>
      </w:r>
      <w:r>
        <w:rPr>
          <w:rStyle w:val="normaltextrun"/>
          <w:rFonts w:ascii="Calibri" w:hAnsi="Calibri" w:cs="Calibri"/>
        </w:rPr>
        <w:t> y el marco de trabajo </w:t>
      </w:r>
      <w:r>
        <w:rPr>
          <w:rStyle w:val="normaltextrun"/>
          <w:rFonts w:ascii="Calibri" w:hAnsi="Calibri" w:cs="Calibri"/>
          <w:b/>
          <w:bCs/>
        </w:rPr>
        <w:t>ITIL</w:t>
      </w:r>
      <w:r>
        <w:rPr>
          <w:rStyle w:val="normaltextrun"/>
          <w:rFonts w:ascii="Calibri" w:hAnsi="Calibri" w:cs="Calibri"/>
        </w:rPr>
        <w:t> radica en que:</w:t>
      </w:r>
      <w:r>
        <w:rPr>
          <w:rStyle w:val="eop"/>
          <w:rFonts w:ascii="Calibri" w:hAnsi="Calibri" w:cs="Calibri"/>
        </w:rPr>
        <w:t> </w:t>
      </w:r>
    </w:p>
    <w:p w14:paraId="11B8521D" w14:textId="77777777" w:rsidR="00AE1F46" w:rsidRDefault="00AE1F46" w:rsidP="00AE1F46">
      <w:pPr>
        <w:pStyle w:val="paragraph"/>
        <w:numPr>
          <w:ilvl w:val="0"/>
          <w:numId w:val="13"/>
        </w:numPr>
        <w:spacing w:before="0" w:beforeAutospacing="0" w:after="0" w:afterAutospacing="0"/>
        <w:ind w:firstLine="705"/>
        <w:textAlignment w:val="baseline"/>
        <w:rPr>
          <w:rFonts w:ascii="Calibri" w:hAnsi="Calibri" w:cs="Calibri"/>
        </w:rPr>
      </w:pPr>
      <w:r>
        <w:rPr>
          <w:rStyle w:val="normaltextrun"/>
          <w:rFonts w:ascii="Calibri" w:hAnsi="Calibri" w:cs="Calibri"/>
        </w:rPr>
        <w:t>a) ISO 38500 es un estándar internacional obligatorio, mientras que ITIL es una recomendación opcional.</w:t>
      </w:r>
      <w:r>
        <w:rPr>
          <w:rStyle w:val="eop"/>
          <w:rFonts w:ascii="Calibri" w:hAnsi="Calibri" w:cs="Calibri"/>
        </w:rPr>
        <w:t> </w:t>
      </w:r>
    </w:p>
    <w:p w14:paraId="6732D6D5" w14:textId="77777777" w:rsidR="00AE1F46" w:rsidRDefault="00AE1F46" w:rsidP="00AE1F46">
      <w:pPr>
        <w:pStyle w:val="paragraph"/>
        <w:numPr>
          <w:ilvl w:val="0"/>
          <w:numId w:val="14"/>
        </w:numPr>
        <w:spacing w:before="0" w:beforeAutospacing="0" w:after="0" w:afterAutospacing="0"/>
        <w:ind w:firstLine="705"/>
        <w:textAlignment w:val="baseline"/>
        <w:rPr>
          <w:rFonts w:ascii="Calibri" w:hAnsi="Calibri" w:cs="Calibri"/>
        </w:rPr>
      </w:pPr>
      <w:r>
        <w:rPr>
          <w:rStyle w:val="normaltextrun"/>
          <w:rFonts w:ascii="Calibri" w:hAnsi="Calibri" w:cs="Calibri"/>
        </w:rPr>
        <w:t>b) ISO 38500 establece los principios de gobierno para la alta dirección (el "qué" y "por qué"), mientras que ITIL proporciona prácticas detalladas para la gestión de servicios de TI (el "cómo").</w:t>
      </w:r>
      <w:r>
        <w:rPr>
          <w:rStyle w:val="eop"/>
          <w:rFonts w:ascii="Calibri" w:hAnsi="Calibri" w:cs="Calibri"/>
        </w:rPr>
        <w:t> </w:t>
      </w:r>
    </w:p>
    <w:p w14:paraId="2468A157" w14:textId="77777777" w:rsidR="00AE1F46" w:rsidRDefault="00AE1F46" w:rsidP="00AE1F46">
      <w:pPr>
        <w:pStyle w:val="paragraph"/>
        <w:numPr>
          <w:ilvl w:val="0"/>
          <w:numId w:val="15"/>
        </w:numPr>
        <w:spacing w:before="0" w:beforeAutospacing="0" w:after="0" w:afterAutospacing="0"/>
        <w:ind w:firstLine="705"/>
        <w:textAlignment w:val="baseline"/>
        <w:rPr>
          <w:rFonts w:ascii="Calibri" w:hAnsi="Calibri" w:cs="Calibri"/>
        </w:rPr>
      </w:pPr>
      <w:r>
        <w:rPr>
          <w:rStyle w:val="normaltextrun"/>
          <w:rFonts w:ascii="Calibri" w:hAnsi="Calibri" w:cs="Calibri"/>
        </w:rPr>
        <w:t>c) ITIL se aplica exclusivamente a empresas de telecomunicaciones, mientras que ISO 38500 es universal.</w:t>
      </w:r>
      <w:r>
        <w:rPr>
          <w:rStyle w:val="eop"/>
          <w:rFonts w:ascii="Calibri" w:hAnsi="Calibri" w:cs="Calibri"/>
        </w:rPr>
        <w:t> </w:t>
      </w:r>
    </w:p>
    <w:p w14:paraId="5D025906" w14:textId="77777777" w:rsidR="00AE1F46" w:rsidRDefault="00AE1F46" w:rsidP="00AE1F46">
      <w:pPr>
        <w:pStyle w:val="paragraph"/>
        <w:numPr>
          <w:ilvl w:val="0"/>
          <w:numId w:val="16"/>
        </w:numPr>
        <w:spacing w:before="0" w:beforeAutospacing="0" w:after="0" w:afterAutospacing="0"/>
        <w:ind w:firstLine="705"/>
        <w:textAlignment w:val="baseline"/>
        <w:rPr>
          <w:rFonts w:ascii="Calibri" w:hAnsi="Calibri" w:cs="Calibri"/>
        </w:rPr>
      </w:pPr>
      <w:r>
        <w:rPr>
          <w:rStyle w:val="normaltextrun"/>
          <w:rFonts w:ascii="Calibri" w:hAnsi="Calibri" w:cs="Calibri"/>
        </w:rPr>
        <w:t>d) ISO 38500 reemplaza completamente a ITIL en todas las organizaciones que buscan certificación.</w:t>
      </w:r>
      <w:r>
        <w:rPr>
          <w:rStyle w:val="eop"/>
          <w:rFonts w:ascii="Calibri" w:hAnsi="Calibri" w:cs="Calibri"/>
        </w:rPr>
        <w:t> </w:t>
      </w:r>
    </w:p>
    <w:p w14:paraId="3E1E33E4" w14:textId="52C900E1"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24FCD855" wp14:editId="7DF24834">
            <wp:extent cx="9525" cy="95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normaltextrun"/>
          <w:rFonts w:ascii="Calibri" w:hAnsi="Calibri" w:cs="Calibri"/>
          <w:b/>
          <w:bCs/>
        </w:rPr>
        <w:t>5.</w:t>
      </w:r>
      <w:r>
        <w:rPr>
          <w:rStyle w:val="normaltextrun"/>
          <w:rFonts w:ascii="Calibri" w:hAnsi="Calibri" w:cs="Calibri"/>
        </w:rPr>
        <w:t> El principio de </w:t>
      </w:r>
      <w:r>
        <w:rPr>
          <w:rStyle w:val="normaltextrun"/>
          <w:rFonts w:ascii="Calibri" w:hAnsi="Calibri" w:cs="Calibri"/>
          <w:b/>
          <w:bCs/>
        </w:rPr>
        <w:t>"Adquisición" (Acquisition)</w:t>
      </w:r>
      <w:r>
        <w:rPr>
          <w:rStyle w:val="normaltextrun"/>
          <w:rFonts w:ascii="Calibri" w:hAnsi="Calibri" w:cs="Calibri"/>
        </w:rPr>
        <w:t> en la ISO 38500 exige que las decisiones sobre inversiones en TI sean:</w:t>
      </w:r>
      <w:r>
        <w:rPr>
          <w:rStyle w:val="eop"/>
          <w:rFonts w:ascii="Calibri" w:hAnsi="Calibri" w:cs="Calibri"/>
        </w:rPr>
        <w:t> </w:t>
      </w:r>
    </w:p>
    <w:p w14:paraId="27B97D35" w14:textId="77777777" w:rsidR="00AE1F46" w:rsidRDefault="00AE1F46" w:rsidP="00AE1F46">
      <w:pPr>
        <w:pStyle w:val="paragraph"/>
        <w:numPr>
          <w:ilvl w:val="0"/>
          <w:numId w:val="17"/>
        </w:numPr>
        <w:spacing w:before="0" w:beforeAutospacing="0" w:after="0" w:afterAutospacing="0"/>
        <w:ind w:firstLine="705"/>
        <w:textAlignment w:val="baseline"/>
        <w:rPr>
          <w:rFonts w:ascii="Calibri" w:hAnsi="Calibri" w:cs="Calibri"/>
        </w:rPr>
      </w:pPr>
      <w:r>
        <w:rPr>
          <w:rStyle w:val="normaltextrun"/>
          <w:rFonts w:ascii="Calibri" w:hAnsi="Calibri" w:cs="Calibri"/>
        </w:rPr>
        <w:t>a) Tomadas unilateralmente por el departamento de compras para agilizar los procesos.</w:t>
      </w:r>
      <w:r>
        <w:rPr>
          <w:rStyle w:val="eop"/>
          <w:rFonts w:ascii="Calibri" w:hAnsi="Calibri" w:cs="Calibri"/>
        </w:rPr>
        <w:t> </w:t>
      </w:r>
    </w:p>
    <w:p w14:paraId="120529C2" w14:textId="77777777" w:rsidR="00AE1F46" w:rsidRDefault="00AE1F46" w:rsidP="00AE1F46">
      <w:pPr>
        <w:pStyle w:val="paragraph"/>
        <w:numPr>
          <w:ilvl w:val="0"/>
          <w:numId w:val="18"/>
        </w:numPr>
        <w:spacing w:before="0" w:beforeAutospacing="0" w:after="0" w:afterAutospacing="0"/>
        <w:ind w:firstLine="705"/>
        <w:textAlignment w:val="baseline"/>
        <w:rPr>
          <w:rFonts w:ascii="Calibri" w:hAnsi="Calibri" w:cs="Calibri"/>
        </w:rPr>
      </w:pPr>
      <w:r>
        <w:rPr>
          <w:rStyle w:val="normaltextrun"/>
          <w:rFonts w:ascii="Calibri" w:hAnsi="Calibri" w:cs="Calibri"/>
        </w:rPr>
        <w:t>b) Basadas exclusivamente en el menor costo de adquisición y mantenimiento.</w:t>
      </w:r>
      <w:r>
        <w:rPr>
          <w:rStyle w:val="eop"/>
          <w:rFonts w:ascii="Calibri" w:hAnsi="Calibri" w:cs="Calibri"/>
        </w:rPr>
        <w:t> </w:t>
      </w:r>
    </w:p>
    <w:p w14:paraId="6B1FA03C" w14:textId="77777777" w:rsidR="00AE1F46" w:rsidRDefault="00AE1F46" w:rsidP="00AE1F46">
      <w:pPr>
        <w:pStyle w:val="paragraph"/>
        <w:numPr>
          <w:ilvl w:val="0"/>
          <w:numId w:val="19"/>
        </w:numPr>
        <w:spacing w:before="0" w:beforeAutospacing="0" w:after="0" w:afterAutospacing="0"/>
        <w:ind w:firstLine="705"/>
        <w:textAlignment w:val="baseline"/>
        <w:rPr>
          <w:rFonts w:ascii="Calibri" w:hAnsi="Calibri" w:cs="Calibri"/>
        </w:rPr>
      </w:pPr>
      <w:r>
        <w:rPr>
          <w:rStyle w:val="normaltextrun"/>
          <w:rFonts w:ascii="Calibri" w:hAnsi="Calibri" w:cs="Calibri"/>
        </w:rPr>
        <w:t>c) Realizadas con un análisis transparente de costos, beneficios y riesgos, y por razones válidas para el negocio.</w:t>
      </w:r>
      <w:r>
        <w:rPr>
          <w:rStyle w:val="eop"/>
          <w:rFonts w:ascii="Calibri" w:hAnsi="Calibri" w:cs="Calibri"/>
        </w:rPr>
        <w:t> </w:t>
      </w:r>
    </w:p>
    <w:p w14:paraId="375316CF" w14:textId="77777777" w:rsidR="00AE1F46" w:rsidRDefault="00AE1F46" w:rsidP="00AE1F46">
      <w:pPr>
        <w:pStyle w:val="paragraph"/>
        <w:numPr>
          <w:ilvl w:val="0"/>
          <w:numId w:val="20"/>
        </w:numPr>
        <w:spacing w:before="0" w:beforeAutospacing="0" w:after="0" w:afterAutospacing="0"/>
        <w:ind w:firstLine="705"/>
        <w:textAlignment w:val="baseline"/>
        <w:rPr>
          <w:rFonts w:ascii="Calibri" w:hAnsi="Calibri" w:cs="Calibri"/>
        </w:rPr>
      </w:pPr>
      <w:r>
        <w:rPr>
          <w:rStyle w:val="normaltextrun"/>
          <w:rFonts w:ascii="Calibri" w:hAnsi="Calibri" w:cs="Calibri"/>
        </w:rPr>
        <w:lastRenderedPageBreak/>
        <w:t>d) Aprobadas únicamente por el equipo de arquitectura empresarial, sin intervención del negocio.</w:t>
      </w:r>
      <w:r>
        <w:rPr>
          <w:rStyle w:val="eop"/>
          <w:rFonts w:ascii="Calibri" w:hAnsi="Calibri" w:cs="Calibri"/>
        </w:rPr>
        <w:t> </w:t>
      </w:r>
    </w:p>
    <w:p w14:paraId="099EC42A" w14:textId="3AEFC7E6"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13040953" wp14:editId="774F5EAB">
            <wp:extent cx="9525" cy="95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normaltextrun"/>
          <w:rFonts w:ascii="Calibri" w:hAnsi="Calibri" w:cs="Calibri"/>
          <w:b/>
          <w:bCs/>
        </w:rPr>
        <w:t>6.</w:t>
      </w:r>
      <w:r>
        <w:rPr>
          <w:rStyle w:val="normaltextrun"/>
          <w:rFonts w:ascii="Calibri" w:hAnsi="Calibri" w:cs="Calibri"/>
        </w:rPr>
        <w:t> ¿Cuál de los siguientes escenarios representa una </w:t>
      </w:r>
      <w:r>
        <w:rPr>
          <w:rStyle w:val="normaltextrun"/>
          <w:rFonts w:ascii="Calibri" w:hAnsi="Calibri" w:cs="Calibri"/>
          <w:b/>
          <w:bCs/>
        </w:rPr>
        <w:t>violación directa</w:t>
      </w:r>
      <w:r>
        <w:rPr>
          <w:rStyle w:val="normaltextrun"/>
          <w:rFonts w:ascii="Calibri" w:hAnsi="Calibri" w:cs="Calibri"/>
        </w:rPr>
        <w:t> del principio de </w:t>
      </w:r>
      <w:r>
        <w:rPr>
          <w:rStyle w:val="normaltextrun"/>
          <w:rFonts w:ascii="Calibri" w:hAnsi="Calibri" w:cs="Calibri"/>
          <w:b/>
          <w:bCs/>
        </w:rPr>
        <w:t>"Comportamiento Humano" (Human Behavior)</w:t>
      </w:r>
      <w:r>
        <w:rPr>
          <w:rStyle w:val="normaltextrun"/>
          <w:rFonts w:ascii="Calibri" w:hAnsi="Calibri" w:cs="Calibri"/>
        </w:rPr>
        <w:t> en su interpretación más actualizada?</w:t>
      </w:r>
      <w:r>
        <w:rPr>
          <w:rStyle w:val="eop"/>
          <w:rFonts w:ascii="Calibri" w:hAnsi="Calibri" w:cs="Calibri"/>
        </w:rPr>
        <w:t> </w:t>
      </w:r>
    </w:p>
    <w:p w14:paraId="2AD8453E" w14:textId="77777777" w:rsidR="00AE1F46" w:rsidRDefault="00AE1F46" w:rsidP="00AE1F46">
      <w:pPr>
        <w:pStyle w:val="paragraph"/>
        <w:numPr>
          <w:ilvl w:val="0"/>
          <w:numId w:val="21"/>
        </w:numPr>
        <w:spacing w:before="0" w:beforeAutospacing="0" w:after="0" w:afterAutospacing="0"/>
        <w:ind w:firstLine="705"/>
        <w:textAlignment w:val="baseline"/>
        <w:rPr>
          <w:rFonts w:ascii="Calibri" w:hAnsi="Calibri" w:cs="Calibri"/>
        </w:rPr>
      </w:pPr>
      <w:r>
        <w:rPr>
          <w:rStyle w:val="normaltextrun"/>
          <w:rFonts w:ascii="Calibri" w:hAnsi="Calibri" w:cs="Calibri"/>
        </w:rPr>
        <w:t>a) Implementar un sistema de monitoreo de actividad en estaciones de trabajo que registra capturas de pantalla y pulsaciones de teclado sin previo aviso ni consentimiento informado de los empleados.</w:t>
      </w:r>
      <w:r>
        <w:rPr>
          <w:rStyle w:val="eop"/>
          <w:rFonts w:ascii="Calibri" w:hAnsi="Calibri" w:cs="Calibri"/>
        </w:rPr>
        <w:t> </w:t>
      </w:r>
    </w:p>
    <w:p w14:paraId="45E52806" w14:textId="77777777" w:rsidR="00AE1F46" w:rsidRDefault="00AE1F46" w:rsidP="00AE1F46">
      <w:pPr>
        <w:pStyle w:val="paragraph"/>
        <w:numPr>
          <w:ilvl w:val="0"/>
          <w:numId w:val="22"/>
        </w:numPr>
        <w:spacing w:before="0" w:beforeAutospacing="0" w:after="0" w:afterAutospacing="0"/>
        <w:ind w:firstLine="705"/>
        <w:textAlignment w:val="baseline"/>
        <w:rPr>
          <w:rFonts w:ascii="Calibri" w:hAnsi="Calibri" w:cs="Calibri"/>
        </w:rPr>
      </w:pPr>
      <w:r>
        <w:rPr>
          <w:rStyle w:val="normaltextrun"/>
          <w:rFonts w:ascii="Calibri" w:hAnsi="Calibri" w:cs="Calibri"/>
        </w:rPr>
        <w:t>b) Actualizar los sistemas operativos de los servidores durante el fin de semana.</w:t>
      </w:r>
      <w:r>
        <w:rPr>
          <w:rStyle w:val="eop"/>
          <w:rFonts w:ascii="Calibri" w:hAnsi="Calibri" w:cs="Calibri"/>
        </w:rPr>
        <w:t> </w:t>
      </w:r>
    </w:p>
    <w:p w14:paraId="033D597B" w14:textId="77777777" w:rsidR="00AE1F46" w:rsidRDefault="00AE1F46" w:rsidP="00AE1F46">
      <w:pPr>
        <w:pStyle w:val="paragraph"/>
        <w:numPr>
          <w:ilvl w:val="0"/>
          <w:numId w:val="23"/>
        </w:numPr>
        <w:spacing w:before="0" w:beforeAutospacing="0" w:after="0" w:afterAutospacing="0"/>
        <w:ind w:firstLine="705"/>
        <w:textAlignment w:val="baseline"/>
        <w:rPr>
          <w:rFonts w:ascii="Calibri" w:hAnsi="Calibri" w:cs="Calibri"/>
        </w:rPr>
      </w:pPr>
      <w:r>
        <w:rPr>
          <w:rStyle w:val="normaltextrun"/>
          <w:rFonts w:ascii="Calibri" w:hAnsi="Calibri" w:cs="Calibri"/>
        </w:rPr>
        <w:t>c) Reducir el número de licencias de software para ahorrar costos.</w:t>
      </w:r>
      <w:r>
        <w:rPr>
          <w:rStyle w:val="eop"/>
          <w:rFonts w:ascii="Calibri" w:hAnsi="Calibri" w:cs="Calibri"/>
        </w:rPr>
        <w:t> </w:t>
      </w:r>
    </w:p>
    <w:p w14:paraId="639E7B5A" w14:textId="77777777" w:rsidR="00AE1F46" w:rsidRDefault="00AE1F46" w:rsidP="00AE1F46">
      <w:pPr>
        <w:pStyle w:val="paragraph"/>
        <w:numPr>
          <w:ilvl w:val="0"/>
          <w:numId w:val="24"/>
        </w:numPr>
        <w:spacing w:before="0" w:beforeAutospacing="0" w:after="0" w:afterAutospacing="0"/>
        <w:ind w:firstLine="705"/>
        <w:textAlignment w:val="baseline"/>
        <w:rPr>
          <w:rFonts w:ascii="Calibri" w:hAnsi="Calibri" w:cs="Calibri"/>
        </w:rPr>
      </w:pPr>
      <w:r>
        <w:rPr>
          <w:rStyle w:val="normaltextrun"/>
          <w:rFonts w:ascii="Calibri" w:hAnsi="Calibri" w:cs="Calibri"/>
        </w:rPr>
        <w:t>d) Contratar personal externo para un proyecto de migración de datos.</w:t>
      </w:r>
      <w:r>
        <w:rPr>
          <w:rStyle w:val="eop"/>
          <w:rFonts w:ascii="Calibri" w:hAnsi="Calibri" w:cs="Calibri"/>
        </w:rPr>
        <w:t> </w:t>
      </w:r>
    </w:p>
    <w:p w14:paraId="51EF2A53" w14:textId="0E6F2D54"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1CE683D4" wp14:editId="291E6757">
            <wp:extent cx="9525" cy="9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5F37A1F2"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7.</w:t>
      </w:r>
      <w:r>
        <w:rPr>
          <w:rStyle w:val="normaltextrun"/>
          <w:rFonts w:ascii="Calibri" w:hAnsi="Calibri" w:cs="Calibri"/>
        </w:rPr>
        <w:t> En la estructura de gobierno de la ISO 38500, la tarea de </w:t>
      </w:r>
      <w:r>
        <w:rPr>
          <w:rStyle w:val="normaltextrun"/>
          <w:rFonts w:ascii="Calibri" w:hAnsi="Calibri" w:cs="Calibri"/>
          <w:b/>
          <w:bCs/>
        </w:rPr>
        <w:t>"Dirigir" (Direct)</w:t>
      </w:r>
      <w:r>
        <w:rPr>
          <w:rStyle w:val="normaltextrun"/>
          <w:rFonts w:ascii="Calibri" w:hAnsi="Calibri" w:cs="Calibri"/>
        </w:rPr>
        <w:t> implica principalmente:</w:t>
      </w:r>
      <w:r>
        <w:rPr>
          <w:rStyle w:val="eop"/>
          <w:rFonts w:ascii="Calibri" w:hAnsi="Calibri" w:cs="Calibri"/>
        </w:rPr>
        <w:t> </w:t>
      </w:r>
    </w:p>
    <w:p w14:paraId="744C9B0D" w14:textId="77777777" w:rsidR="00AE1F46" w:rsidRDefault="00AE1F46" w:rsidP="00AE1F46">
      <w:pPr>
        <w:pStyle w:val="paragraph"/>
        <w:numPr>
          <w:ilvl w:val="0"/>
          <w:numId w:val="25"/>
        </w:numPr>
        <w:spacing w:before="0" w:beforeAutospacing="0" w:after="0" w:afterAutospacing="0"/>
        <w:ind w:firstLine="705"/>
        <w:textAlignment w:val="baseline"/>
        <w:rPr>
          <w:rFonts w:ascii="Calibri" w:hAnsi="Calibri" w:cs="Calibri"/>
        </w:rPr>
      </w:pPr>
      <w:r>
        <w:rPr>
          <w:rStyle w:val="normaltextrun"/>
          <w:rFonts w:ascii="Calibri" w:hAnsi="Calibri" w:cs="Calibri"/>
        </w:rPr>
        <w:t>a) Ejecutar las consultas SQL necesarias para extraer reportes operativos.</w:t>
      </w:r>
      <w:r>
        <w:rPr>
          <w:rStyle w:val="eop"/>
          <w:rFonts w:ascii="Calibri" w:hAnsi="Calibri" w:cs="Calibri"/>
        </w:rPr>
        <w:t> </w:t>
      </w:r>
    </w:p>
    <w:p w14:paraId="39E52F45" w14:textId="77777777" w:rsidR="00AE1F46" w:rsidRDefault="00AE1F46" w:rsidP="00AE1F46">
      <w:pPr>
        <w:pStyle w:val="paragraph"/>
        <w:numPr>
          <w:ilvl w:val="0"/>
          <w:numId w:val="26"/>
        </w:numPr>
        <w:spacing w:before="0" w:beforeAutospacing="0" w:after="0" w:afterAutospacing="0"/>
        <w:ind w:firstLine="705"/>
        <w:textAlignment w:val="baseline"/>
        <w:rPr>
          <w:rFonts w:ascii="Calibri" w:hAnsi="Calibri" w:cs="Calibri"/>
        </w:rPr>
      </w:pPr>
      <w:r>
        <w:rPr>
          <w:rStyle w:val="normaltextrun"/>
          <w:rFonts w:ascii="Calibri" w:hAnsi="Calibri" w:cs="Calibri"/>
        </w:rPr>
        <w:t>b) Establecer políticas, aprobar planes estratégicos y asignar responsabilidades claras para asegurar que el uso de TI cumpla con los objetivos del negocio.</w:t>
      </w:r>
      <w:r>
        <w:rPr>
          <w:rStyle w:val="eop"/>
          <w:rFonts w:ascii="Calibri" w:hAnsi="Calibri" w:cs="Calibri"/>
        </w:rPr>
        <w:t> </w:t>
      </w:r>
    </w:p>
    <w:p w14:paraId="28533320" w14:textId="77777777" w:rsidR="00AE1F46" w:rsidRDefault="00AE1F46" w:rsidP="00AE1F46">
      <w:pPr>
        <w:pStyle w:val="paragraph"/>
        <w:numPr>
          <w:ilvl w:val="0"/>
          <w:numId w:val="27"/>
        </w:numPr>
        <w:spacing w:before="0" w:beforeAutospacing="0" w:after="0" w:afterAutospacing="0"/>
        <w:ind w:firstLine="705"/>
        <w:textAlignment w:val="baseline"/>
        <w:rPr>
          <w:rFonts w:ascii="Calibri" w:hAnsi="Calibri" w:cs="Calibri"/>
        </w:rPr>
      </w:pPr>
      <w:r>
        <w:rPr>
          <w:rStyle w:val="normaltextrun"/>
          <w:rFonts w:ascii="Calibri" w:hAnsi="Calibri" w:cs="Calibri"/>
        </w:rPr>
        <w:t>c) Supervisar la temperatura y el consumo eléctrico de los centros de datos.</w:t>
      </w:r>
      <w:r>
        <w:rPr>
          <w:rStyle w:val="eop"/>
          <w:rFonts w:ascii="Calibri" w:hAnsi="Calibri" w:cs="Calibri"/>
        </w:rPr>
        <w:t> </w:t>
      </w:r>
    </w:p>
    <w:p w14:paraId="1ADD09ED" w14:textId="77777777" w:rsidR="00AE1F46" w:rsidRDefault="00AE1F46" w:rsidP="00AE1F46">
      <w:pPr>
        <w:pStyle w:val="paragraph"/>
        <w:numPr>
          <w:ilvl w:val="0"/>
          <w:numId w:val="28"/>
        </w:numPr>
        <w:spacing w:before="0" w:beforeAutospacing="0" w:after="0" w:afterAutospacing="0"/>
        <w:ind w:firstLine="705"/>
        <w:textAlignment w:val="baseline"/>
        <w:rPr>
          <w:rFonts w:ascii="Calibri" w:hAnsi="Calibri" w:cs="Calibri"/>
        </w:rPr>
      </w:pPr>
      <w:r>
        <w:rPr>
          <w:rStyle w:val="normaltextrun"/>
          <w:rFonts w:ascii="Calibri" w:hAnsi="Calibri" w:cs="Calibri"/>
        </w:rPr>
        <w:t>d) Desarrollar el código fuente de las aplicaciones misionales de la empresa.</w:t>
      </w:r>
      <w:r>
        <w:rPr>
          <w:rStyle w:val="eop"/>
          <w:rFonts w:ascii="Calibri" w:hAnsi="Calibri" w:cs="Calibri"/>
        </w:rPr>
        <w:t> </w:t>
      </w:r>
    </w:p>
    <w:p w14:paraId="2CD27E86" w14:textId="21647123"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525C2B37" wp14:editId="123549FF">
            <wp:extent cx="9525" cy="9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224CA1B7"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8.</w:t>
      </w:r>
      <w:r>
        <w:rPr>
          <w:rStyle w:val="normaltextrun"/>
          <w:rFonts w:ascii="Calibri" w:hAnsi="Calibri" w:cs="Calibri"/>
        </w:rPr>
        <w:t> Un directorio aprueba la compra de un ecosistema de nube híbrida. Bajo el principio de </w:t>
      </w:r>
      <w:r>
        <w:rPr>
          <w:rStyle w:val="normaltextrun"/>
          <w:rFonts w:ascii="Calibri" w:hAnsi="Calibri" w:cs="Calibri"/>
          <w:b/>
          <w:bCs/>
        </w:rPr>
        <w:t>"Estrategia" (Strategy)</w:t>
      </w:r>
      <w:r>
        <w:rPr>
          <w:rStyle w:val="normaltextrun"/>
          <w:rFonts w:ascii="Calibri" w:hAnsi="Calibri" w:cs="Calibri"/>
        </w:rPr>
        <w:t>, antes de la aprobación, el órgano de gobierno debe verificar prioritariamente que:</w:t>
      </w:r>
      <w:r>
        <w:rPr>
          <w:rStyle w:val="eop"/>
          <w:rFonts w:ascii="Calibri" w:hAnsi="Calibri" w:cs="Calibri"/>
        </w:rPr>
        <w:t> </w:t>
      </w:r>
    </w:p>
    <w:p w14:paraId="70E4A472" w14:textId="77777777" w:rsidR="00AE1F46" w:rsidRDefault="00AE1F46" w:rsidP="00AE1F46">
      <w:pPr>
        <w:pStyle w:val="paragraph"/>
        <w:numPr>
          <w:ilvl w:val="0"/>
          <w:numId w:val="29"/>
        </w:numPr>
        <w:spacing w:before="0" w:beforeAutospacing="0" w:after="0" w:afterAutospacing="0"/>
        <w:ind w:firstLine="705"/>
        <w:textAlignment w:val="baseline"/>
        <w:rPr>
          <w:rFonts w:ascii="Calibri" w:hAnsi="Calibri" w:cs="Calibri"/>
        </w:rPr>
      </w:pPr>
      <w:r>
        <w:rPr>
          <w:rStyle w:val="normaltextrun"/>
          <w:rFonts w:ascii="Calibri" w:hAnsi="Calibri" w:cs="Calibri"/>
        </w:rPr>
        <w:t>a) El proveedor de la nube tenga certificación ISO 27001.</w:t>
      </w:r>
      <w:r>
        <w:rPr>
          <w:rStyle w:val="eop"/>
          <w:rFonts w:ascii="Calibri" w:hAnsi="Calibri" w:cs="Calibri"/>
        </w:rPr>
        <w:t> </w:t>
      </w:r>
    </w:p>
    <w:p w14:paraId="0E85A7BF" w14:textId="77777777" w:rsidR="00AE1F46" w:rsidRDefault="00AE1F46" w:rsidP="00AE1F46">
      <w:pPr>
        <w:pStyle w:val="paragraph"/>
        <w:numPr>
          <w:ilvl w:val="0"/>
          <w:numId w:val="30"/>
        </w:numPr>
        <w:spacing w:before="0" w:beforeAutospacing="0" w:after="0" w:afterAutospacing="0"/>
        <w:ind w:firstLine="705"/>
        <w:textAlignment w:val="baseline"/>
        <w:rPr>
          <w:rFonts w:ascii="Calibri" w:hAnsi="Calibri" w:cs="Calibri"/>
        </w:rPr>
      </w:pPr>
      <w:r>
        <w:rPr>
          <w:rStyle w:val="normaltextrun"/>
          <w:rFonts w:ascii="Calibri" w:hAnsi="Calibri" w:cs="Calibri"/>
        </w:rPr>
        <w:t>b) Las capacidades de la nube híbrida estén explícitamente contempladas en el plan estratégico de negocio y que el plan de implementación de TI esté alineado con dicho plan.</w:t>
      </w:r>
      <w:r>
        <w:rPr>
          <w:rStyle w:val="eop"/>
          <w:rFonts w:ascii="Calibri" w:hAnsi="Calibri" w:cs="Calibri"/>
        </w:rPr>
        <w:t> </w:t>
      </w:r>
    </w:p>
    <w:p w14:paraId="38810774" w14:textId="77777777" w:rsidR="00AE1F46" w:rsidRDefault="00AE1F46" w:rsidP="00AE1F46">
      <w:pPr>
        <w:pStyle w:val="paragraph"/>
        <w:numPr>
          <w:ilvl w:val="0"/>
          <w:numId w:val="31"/>
        </w:numPr>
        <w:spacing w:before="0" w:beforeAutospacing="0" w:after="0" w:afterAutospacing="0"/>
        <w:ind w:firstLine="705"/>
        <w:textAlignment w:val="baseline"/>
        <w:rPr>
          <w:rFonts w:ascii="Calibri" w:hAnsi="Calibri" w:cs="Calibri"/>
        </w:rPr>
      </w:pPr>
      <w:r>
        <w:rPr>
          <w:rStyle w:val="normaltextrun"/>
          <w:rFonts w:ascii="Calibri" w:hAnsi="Calibri" w:cs="Calibri"/>
        </w:rPr>
        <w:t>c) La interfaz de usuario sea intuitiva para los empleados.</w:t>
      </w:r>
      <w:r>
        <w:rPr>
          <w:rStyle w:val="eop"/>
          <w:rFonts w:ascii="Calibri" w:hAnsi="Calibri" w:cs="Calibri"/>
        </w:rPr>
        <w:t> </w:t>
      </w:r>
    </w:p>
    <w:p w14:paraId="4907C867" w14:textId="77777777" w:rsidR="00AE1F46" w:rsidRDefault="00AE1F46" w:rsidP="00AE1F46">
      <w:pPr>
        <w:pStyle w:val="paragraph"/>
        <w:numPr>
          <w:ilvl w:val="0"/>
          <w:numId w:val="32"/>
        </w:numPr>
        <w:spacing w:before="0" w:beforeAutospacing="0" w:after="0" w:afterAutospacing="0"/>
        <w:ind w:firstLine="705"/>
        <w:textAlignment w:val="baseline"/>
        <w:rPr>
          <w:rFonts w:ascii="Calibri" w:hAnsi="Calibri" w:cs="Calibri"/>
        </w:rPr>
      </w:pPr>
      <w:r>
        <w:rPr>
          <w:rStyle w:val="normaltextrun"/>
          <w:rFonts w:ascii="Calibri" w:hAnsi="Calibri" w:cs="Calibri"/>
        </w:rPr>
        <w:t>d) El costo mensual sea inferior al del proveedor competidor.</w:t>
      </w:r>
      <w:r>
        <w:rPr>
          <w:rStyle w:val="eop"/>
          <w:rFonts w:ascii="Calibri" w:hAnsi="Calibri" w:cs="Calibri"/>
        </w:rPr>
        <w:t> </w:t>
      </w:r>
    </w:p>
    <w:p w14:paraId="4A9FFA66" w14:textId="12DF33FA"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34F2B699" wp14:editId="5640E6B3">
            <wp:extent cx="9525" cy="9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Calibri" w:hAnsi="Calibri" w:cs="Calibri"/>
        </w:rPr>
        <w:t> </w:t>
      </w:r>
    </w:p>
    <w:p w14:paraId="7655F2DE" w14:textId="77777777" w:rsidR="00AE1F46" w:rsidRDefault="00AE1F46" w:rsidP="00AE1F4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9.</w:t>
      </w:r>
      <w:r>
        <w:rPr>
          <w:rStyle w:val="normaltextrun"/>
          <w:rFonts w:ascii="Calibri" w:hAnsi="Calibri" w:cs="Calibri"/>
        </w:rPr>
        <w:t> Aunque la ISO 38500 establece que el gobierno de TI es responsabilidad indelegable de los órganos de gobierno (Directorio o Consejo), si estos deciden delegar ciertas tareas operativas en la gestión (CIO, gerentes), la norma enfatiza que:</w:t>
      </w:r>
      <w:r>
        <w:rPr>
          <w:rStyle w:val="eop"/>
          <w:rFonts w:ascii="Calibri" w:hAnsi="Calibri" w:cs="Calibri"/>
        </w:rPr>
        <w:t> </w:t>
      </w:r>
    </w:p>
    <w:p w14:paraId="5A532A5B" w14:textId="77777777" w:rsidR="00AE1F46" w:rsidRDefault="00AE1F46" w:rsidP="00AE1F46">
      <w:pPr>
        <w:pStyle w:val="paragraph"/>
        <w:numPr>
          <w:ilvl w:val="0"/>
          <w:numId w:val="33"/>
        </w:numPr>
        <w:spacing w:before="0" w:beforeAutospacing="0" w:after="0" w:afterAutospacing="0"/>
        <w:ind w:firstLine="705"/>
        <w:textAlignment w:val="baseline"/>
        <w:rPr>
          <w:rFonts w:ascii="Calibri" w:hAnsi="Calibri" w:cs="Calibri"/>
        </w:rPr>
      </w:pPr>
      <w:r>
        <w:rPr>
          <w:rStyle w:val="normaltextrun"/>
          <w:rFonts w:ascii="Calibri" w:hAnsi="Calibri" w:cs="Calibri"/>
        </w:rPr>
        <w:t>a) La responsabilidad final sobre el gobierno de TI se transfiere completamente al CIO.</w:t>
      </w:r>
      <w:r>
        <w:rPr>
          <w:rStyle w:val="eop"/>
          <w:rFonts w:ascii="Calibri" w:hAnsi="Calibri" w:cs="Calibri"/>
        </w:rPr>
        <w:t> </w:t>
      </w:r>
    </w:p>
    <w:p w14:paraId="438CBAB4" w14:textId="77777777" w:rsidR="00AE1F46" w:rsidRDefault="00AE1F46" w:rsidP="00AE1F46">
      <w:pPr>
        <w:pStyle w:val="paragraph"/>
        <w:numPr>
          <w:ilvl w:val="0"/>
          <w:numId w:val="34"/>
        </w:numPr>
        <w:spacing w:before="0" w:beforeAutospacing="0" w:after="0" w:afterAutospacing="0"/>
        <w:ind w:firstLine="705"/>
        <w:textAlignment w:val="baseline"/>
        <w:rPr>
          <w:rFonts w:ascii="Calibri" w:hAnsi="Calibri" w:cs="Calibri"/>
        </w:rPr>
      </w:pPr>
      <w:r>
        <w:rPr>
          <w:rStyle w:val="normaltextrun"/>
          <w:rFonts w:ascii="Calibri" w:hAnsi="Calibri" w:cs="Calibri"/>
        </w:rPr>
        <w:t>b) La responsabilidad final y la rendición de cuentas (accountability) siguen siendo indelegables y recaen en el órgano de gobierno.</w:t>
      </w:r>
      <w:r>
        <w:rPr>
          <w:rStyle w:val="eop"/>
          <w:rFonts w:ascii="Calibri" w:hAnsi="Calibri" w:cs="Calibri"/>
        </w:rPr>
        <w:t> </w:t>
      </w:r>
    </w:p>
    <w:p w14:paraId="08E35679" w14:textId="77777777" w:rsidR="00AE1F46" w:rsidRDefault="00AE1F46" w:rsidP="00AE1F46">
      <w:pPr>
        <w:pStyle w:val="paragraph"/>
        <w:numPr>
          <w:ilvl w:val="0"/>
          <w:numId w:val="35"/>
        </w:numPr>
        <w:spacing w:before="0" w:beforeAutospacing="0" w:after="0" w:afterAutospacing="0"/>
        <w:ind w:firstLine="705"/>
        <w:textAlignment w:val="baseline"/>
        <w:rPr>
          <w:rFonts w:ascii="Calibri" w:hAnsi="Calibri" w:cs="Calibri"/>
        </w:rPr>
      </w:pPr>
      <w:r>
        <w:rPr>
          <w:rStyle w:val="normaltextrun"/>
          <w:rFonts w:ascii="Calibri" w:hAnsi="Calibri" w:cs="Calibri"/>
        </w:rPr>
        <w:t>c) La responsabilidad se diluye entre todos los empleados de la organización.</w:t>
      </w:r>
      <w:r>
        <w:rPr>
          <w:rStyle w:val="eop"/>
          <w:rFonts w:ascii="Calibri" w:hAnsi="Calibri" w:cs="Calibri"/>
        </w:rPr>
        <w:t> </w:t>
      </w:r>
    </w:p>
    <w:p w14:paraId="14791396" w14:textId="77777777" w:rsidR="00AE1F46" w:rsidRDefault="00AE1F46" w:rsidP="00AE1F46">
      <w:pPr>
        <w:pStyle w:val="paragraph"/>
        <w:numPr>
          <w:ilvl w:val="0"/>
          <w:numId w:val="36"/>
        </w:numPr>
        <w:spacing w:before="0" w:beforeAutospacing="0" w:after="0" w:afterAutospacing="0"/>
        <w:ind w:firstLine="705"/>
        <w:textAlignment w:val="baseline"/>
        <w:rPr>
          <w:rFonts w:ascii="Calibri" w:hAnsi="Calibri" w:cs="Calibri"/>
        </w:rPr>
      </w:pPr>
      <w:r>
        <w:rPr>
          <w:rStyle w:val="normaltextrun"/>
          <w:rFonts w:ascii="Calibri" w:hAnsi="Calibri" w:cs="Calibri"/>
        </w:rPr>
        <w:lastRenderedPageBreak/>
        <w:t>d) La responsabilidad recae en los auditores externos contratados para la certificación.</w:t>
      </w:r>
      <w:r>
        <w:rPr>
          <w:rStyle w:val="eop"/>
          <w:rFonts w:ascii="Calibri" w:hAnsi="Calibri" w:cs="Calibri"/>
        </w:rPr>
        <w:t> </w:t>
      </w:r>
    </w:p>
    <w:p w14:paraId="03F11ABE" w14:textId="6110323F" w:rsidR="00AE1F46" w:rsidRDefault="00AE1F46" w:rsidP="00AE1F46">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5E53C859" wp14:editId="788352E6">
            <wp:extent cx="9525" cy="9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normaltextrun"/>
          <w:rFonts w:ascii="Calibri" w:hAnsi="Calibri" w:cs="Calibri"/>
          <w:b/>
          <w:bCs/>
        </w:rPr>
        <w:t>10.</w:t>
      </w:r>
      <w:r>
        <w:rPr>
          <w:rStyle w:val="normaltextrun"/>
          <w:rFonts w:ascii="Calibri" w:hAnsi="Calibri" w:cs="Calibri"/>
        </w:rPr>
        <w:t> En una organización que adopta metodologías ágiles (Scrum/Kanban), el </w:t>
      </w:r>
      <w:r>
        <w:rPr>
          <w:rStyle w:val="normaltextrun"/>
          <w:rFonts w:ascii="Calibri" w:hAnsi="Calibri" w:cs="Calibri"/>
          <w:b/>
          <w:bCs/>
        </w:rPr>
        <w:t>"Monitoreo" (Monitor)</w:t>
      </w:r>
      <w:r>
        <w:rPr>
          <w:rStyle w:val="normaltextrun"/>
          <w:rFonts w:ascii="Calibri" w:hAnsi="Calibri" w:cs="Calibri"/>
        </w:rPr>
        <w:t> desde la perspectiva del gobierno de la ISO 38500 debe centrarse en:</w:t>
      </w:r>
      <w:r>
        <w:rPr>
          <w:rStyle w:val="eop"/>
          <w:rFonts w:ascii="Calibri" w:hAnsi="Calibri" w:cs="Calibri"/>
        </w:rPr>
        <w:t> </w:t>
      </w:r>
    </w:p>
    <w:p w14:paraId="539B95CE" w14:textId="77777777" w:rsidR="00AE1F46" w:rsidRDefault="00AE1F46" w:rsidP="00AE1F46">
      <w:pPr>
        <w:pStyle w:val="paragraph"/>
        <w:numPr>
          <w:ilvl w:val="0"/>
          <w:numId w:val="37"/>
        </w:numPr>
        <w:spacing w:before="0" w:beforeAutospacing="0" w:after="0" w:afterAutospacing="0"/>
        <w:ind w:firstLine="705"/>
        <w:textAlignment w:val="baseline"/>
        <w:rPr>
          <w:rFonts w:ascii="Calibri" w:hAnsi="Calibri" w:cs="Calibri"/>
        </w:rPr>
      </w:pPr>
      <w:r>
        <w:rPr>
          <w:rStyle w:val="normaltextrun"/>
          <w:rFonts w:ascii="Calibri" w:hAnsi="Calibri" w:cs="Calibri"/>
        </w:rPr>
        <w:t>a) La velocidad (velocity) de entrega de los sprints y el cumplimiento de fechas.</w:t>
      </w:r>
      <w:r>
        <w:rPr>
          <w:rStyle w:val="eop"/>
          <w:rFonts w:ascii="Calibri" w:hAnsi="Calibri" w:cs="Calibri"/>
        </w:rPr>
        <w:t> </w:t>
      </w:r>
    </w:p>
    <w:p w14:paraId="12CEF52D" w14:textId="77777777" w:rsidR="00AE1F46" w:rsidRDefault="00AE1F46" w:rsidP="00AE1F46">
      <w:pPr>
        <w:pStyle w:val="paragraph"/>
        <w:numPr>
          <w:ilvl w:val="0"/>
          <w:numId w:val="38"/>
        </w:numPr>
        <w:spacing w:before="0" w:beforeAutospacing="0" w:after="0" w:afterAutospacing="0"/>
        <w:ind w:firstLine="705"/>
        <w:textAlignment w:val="baseline"/>
        <w:rPr>
          <w:rFonts w:ascii="Calibri" w:hAnsi="Calibri" w:cs="Calibri"/>
        </w:rPr>
      </w:pPr>
      <w:r>
        <w:rPr>
          <w:rStyle w:val="normaltextrun"/>
          <w:rFonts w:ascii="Calibri" w:hAnsi="Calibri" w:cs="Calibri"/>
        </w:rPr>
        <w:t>b) Si el backlog del producto refleja adecuadamente las prioridades estratégicas evaluadas por la dirección y si los entregables generan el valor de negocio esperado dentro de los parámetros de riesgo y cumplimiento.</w:t>
      </w:r>
      <w:r>
        <w:rPr>
          <w:rStyle w:val="eop"/>
          <w:rFonts w:ascii="Calibri" w:hAnsi="Calibri" w:cs="Calibri"/>
        </w:rPr>
        <w:t> </w:t>
      </w:r>
    </w:p>
    <w:p w14:paraId="28A0840F" w14:textId="77777777" w:rsidR="00AE1F46" w:rsidRDefault="00AE1F46" w:rsidP="00AE1F46">
      <w:pPr>
        <w:pStyle w:val="paragraph"/>
        <w:numPr>
          <w:ilvl w:val="0"/>
          <w:numId w:val="39"/>
        </w:numPr>
        <w:spacing w:before="0" w:beforeAutospacing="0" w:after="0" w:afterAutospacing="0"/>
        <w:ind w:firstLine="705"/>
        <w:textAlignment w:val="baseline"/>
        <w:rPr>
          <w:rFonts w:ascii="Calibri" w:hAnsi="Calibri" w:cs="Calibri"/>
        </w:rPr>
      </w:pPr>
      <w:r>
        <w:rPr>
          <w:rStyle w:val="normaltextrun"/>
          <w:rFonts w:ascii="Calibri" w:hAnsi="Calibri" w:cs="Calibri"/>
        </w:rPr>
        <w:t>c) El número de incidencias resueltas por el equipo de desarrollo.</w:t>
      </w:r>
      <w:r>
        <w:rPr>
          <w:rStyle w:val="eop"/>
          <w:rFonts w:ascii="Calibri" w:hAnsi="Calibri" w:cs="Calibri"/>
        </w:rPr>
        <w:t> </w:t>
      </w:r>
    </w:p>
    <w:p w14:paraId="30F6FC95" w14:textId="77777777" w:rsidR="00AE1F46" w:rsidRDefault="00AE1F46" w:rsidP="00AE1F46">
      <w:pPr>
        <w:pStyle w:val="paragraph"/>
        <w:numPr>
          <w:ilvl w:val="0"/>
          <w:numId w:val="40"/>
        </w:numPr>
        <w:spacing w:before="0" w:beforeAutospacing="0" w:after="0" w:afterAutospacing="0"/>
        <w:ind w:firstLine="705"/>
        <w:textAlignment w:val="baseline"/>
        <w:rPr>
          <w:rFonts w:ascii="Calibri" w:hAnsi="Calibri" w:cs="Calibri"/>
        </w:rPr>
      </w:pPr>
      <w:r>
        <w:rPr>
          <w:rStyle w:val="normaltextrun"/>
          <w:rFonts w:ascii="Calibri" w:hAnsi="Calibri" w:cs="Calibri"/>
        </w:rPr>
        <w:t>d) La cobertura de código en las pruebas unitarias automatizadas.</w:t>
      </w:r>
      <w:r>
        <w:rPr>
          <w:rStyle w:val="eop"/>
          <w:rFonts w:ascii="Calibri" w:hAnsi="Calibri" w:cs="Calibri"/>
        </w:rPr>
        <w:t> </w:t>
      </w:r>
    </w:p>
    <w:p w14:paraId="46EFEACF" w14:textId="77777777" w:rsidR="00756343" w:rsidRDefault="00756343"/>
    <w:sectPr w:rsidR="007563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5972"/>
    <w:multiLevelType w:val="multilevel"/>
    <w:tmpl w:val="64CE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136E9"/>
    <w:multiLevelType w:val="multilevel"/>
    <w:tmpl w:val="81D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6082E"/>
    <w:multiLevelType w:val="multilevel"/>
    <w:tmpl w:val="D5E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67FC8"/>
    <w:multiLevelType w:val="multilevel"/>
    <w:tmpl w:val="FC2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9F7A94"/>
    <w:multiLevelType w:val="multilevel"/>
    <w:tmpl w:val="BC3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BE7094"/>
    <w:multiLevelType w:val="multilevel"/>
    <w:tmpl w:val="765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072A1A"/>
    <w:multiLevelType w:val="multilevel"/>
    <w:tmpl w:val="B64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24717C"/>
    <w:multiLevelType w:val="multilevel"/>
    <w:tmpl w:val="D66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F8407F"/>
    <w:multiLevelType w:val="multilevel"/>
    <w:tmpl w:val="1EAE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7B4121"/>
    <w:multiLevelType w:val="multilevel"/>
    <w:tmpl w:val="7C0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130B93"/>
    <w:multiLevelType w:val="multilevel"/>
    <w:tmpl w:val="60C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54267C"/>
    <w:multiLevelType w:val="multilevel"/>
    <w:tmpl w:val="323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892BB7"/>
    <w:multiLevelType w:val="multilevel"/>
    <w:tmpl w:val="812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797452"/>
    <w:multiLevelType w:val="multilevel"/>
    <w:tmpl w:val="764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F4522C"/>
    <w:multiLevelType w:val="multilevel"/>
    <w:tmpl w:val="516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45A75"/>
    <w:multiLevelType w:val="multilevel"/>
    <w:tmpl w:val="2DEA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5356E"/>
    <w:multiLevelType w:val="multilevel"/>
    <w:tmpl w:val="FD9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D73586"/>
    <w:multiLevelType w:val="multilevel"/>
    <w:tmpl w:val="49C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77735B"/>
    <w:multiLevelType w:val="multilevel"/>
    <w:tmpl w:val="6542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AC5B8E"/>
    <w:multiLevelType w:val="multilevel"/>
    <w:tmpl w:val="2AF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717E5"/>
    <w:multiLevelType w:val="multilevel"/>
    <w:tmpl w:val="BDA0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F0037F"/>
    <w:multiLevelType w:val="multilevel"/>
    <w:tmpl w:val="AA9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010090"/>
    <w:multiLevelType w:val="multilevel"/>
    <w:tmpl w:val="AA4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0304F0"/>
    <w:multiLevelType w:val="multilevel"/>
    <w:tmpl w:val="176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4749EB"/>
    <w:multiLevelType w:val="multilevel"/>
    <w:tmpl w:val="E6F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F836A9"/>
    <w:multiLevelType w:val="multilevel"/>
    <w:tmpl w:val="6EF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8D01D7"/>
    <w:multiLevelType w:val="multilevel"/>
    <w:tmpl w:val="92E4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C029BF"/>
    <w:multiLevelType w:val="multilevel"/>
    <w:tmpl w:val="845A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88021C"/>
    <w:multiLevelType w:val="multilevel"/>
    <w:tmpl w:val="43F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9A1F31"/>
    <w:multiLevelType w:val="multilevel"/>
    <w:tmpl w:val="B25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70F90"/>
    <w:multiLevelType w:val="multilevel"/>
    <w:tmpl w:val="64E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A732D1"/>
    <w:multiLevelType w:val="multilevel"/>
    <w:tmpl w:val="7A94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B05E6E"/>
    <w:multiLevelType w:val="multilevel"/>
    <w:tmpl w:val="E846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F4277E"/>
    <w:multiLevelType w:val="multilevel"/>
    <w:tmpl w:val="695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836EFF"/>
    <w:multiLevelType w:val="multilevel"/>
    <w:tmpl w:val="01E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C20161"/>
    <w:multiLevelType w:val="multilevel"/>
    <w:tmpl w:val="07D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893660"/>
    <w:multiLevelType w:val="multilevel"/>
    <w:tmpl w:val="7DD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D13104"/>
    <w:multiLevelType w:val="multilevel"/>
    <w:tmpl w:val="239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5628FD"/>
    <w:multiLevelType w:val="multilevel"/>
    <w:tmpl w:val="59E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716FCB"/>
    <w:multiLevelType w:val="multilevel"/>
    <w:tmpl w:val="24E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34"/>
  </w:num>
  <w:num w:numId="3">
    <w:abstractNumId w:val="32"/>
  </w:num>
  <w:num w:numId="4">
    <w:abstractNumId w:val="33"/>
  </w:num>
  <w:num w:numId="5">
    <w:abstractNumId w:val="21"/>
  </w:num>
  <w:num w:numId="6">
    <w:abstractNumId w:val="24"/>
  </w:num>
  <w:num w:numId="7">
    <w:abstractNumId w:val="8"/>
  </w:num>
  <w:num w:numId="8">
    <w:abstractNumId w:val="36"/>
  </w:num>
  <w:num w:numId="9">
    <w:abstractNumId w:val="0"/>
  </w:num>
  <w:num w:numId="10">
    <w:abstractNumId w:val="35"/>
  </w:num>
  <w:num w:numId="11">
    <w:abstractNumId w:val="39"/>
  </w:num>
  <w:num w:numId="12">
    <w:abstractNumId w:val="7"/>
  </w:num>
  <w:num w:numId="13">
    <w:abstractNumId w:val="2"/>
  </w:num>
  <w:num w:numId="14">
    <w:abstractNumId w:val="13"/>
  </w:num>
  <w:num w:numId="15">
    <w:abstractNumId w:val="6"/>
  </w:num>
  <w:num w:numId="16">
    <w:abstractNumId w:val="20"/>
  </w:num>
  <w:num w:numId="17">
    <w:abstractNumId w:val="28"/>
  </w:num>
  <w:num w:numId="18">
    <w:abstractNumId w:val="1"/>
  </w:num>
  <w:num w:numId="19">
    <w:abstractNumId w:val="30"/>
  </w:num>
  <w:num w:numId="20">
    <w:abstractNumId w:val="22"/>
  </w:num>
  <w:num w:numId="21">
    <w:abstractNumId w:val="26"/>
  </w:num>
  <w:num w:numId="22">
    <w:abstractNumId w:val="27"/>
  </w:num>
  <w:num w:numId="23">
    <w:abstractNumId w:val="31"/>
  </w:num>
  <w:num w:numId="24">
    <w:abstractNumId w:val="19"/>
  </w:num>
  <w:num w:numId="25">
    <w:abstractNumId w:val="25"/>
  </w:num>
  <w:num w:numId="26">
    <w:abstractNumId w:val="10"/>
  </w:num>
  <w:num w:numId="27">
    <w:abstractNumId w:val="29"/>
  </w:num>
  <w:num w:numId="28">
    <w:abstractNumId w:val="16"/>
  </w:num>
  <w:num w:numId="29">
    <w:abstractNumId w:val="18"/>
  </w:num>
  <w:num w:numId="30">
    <w:abstractNumId w:val="17"/>
  </w:num>
  <w:num w:numId="31">
    <w:abstractNumId w:val="37"/>
  </w:num>
  <w:num w:numId="32">
    <w:abstractNumId w:val="12"/>
  </w:num>
  <w:num w:numId="33">
    <w:abstractNumId w:val="38"/>
  </w:num>
  <w:num w:numId="34">
    <w:abstractNumId w:val="9"/>
  </w:num>
  <w:num w:numId="35">
    <w:abstractNumId w:val="14"/>
  </w:num>
  <w:num w:numId="36">
    <w:abstractNumId w:val="3"/>
  </w:num>
  <w:num w:numId="37">
    <w:abstractNumId w:val="5"/>
  </w:num>
  <w:num w:numId="38">
    <w:abstractNumId w:val="11"/>
  </w:num>
  <w:num w:numId="39">
    <w:abstractNumId w:val="15"/>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46"/>
    <w:rsid w:val="00756343"/>
    <w:rsid w:val="00921681"/>
    <w:rsid w:val="00AE1F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9719"/>
  <w15:chartTrackingRefBased/>
  <w15:docId w15:val="{324BC527-E203-4291-8E2D-4DC5B3AA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AE1F4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AE1F46"/>
  </w:style>
  <w:style w:type="character" w:customStyle="1" w:styleId="eop">
    <w:name w:val="eop"/>
    <w:basedOn w:val="Fuentedeprrafopredeter"/>
    <w:rsid w:val="00AE1F46"/>
  </w:style>
  <w:style w:type="character" w:customStyle="1" w:styleId="scxw32512297">
    <w:name w:val="scxw32512297"/>
    <w:basedOn w:val="Fuentedeprrafopredeter"/>
    <w:rsid w:val="00AE1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281983">
      <w:bodyDiv w:val="1"/>
      <w:marLeft w:val="0"/>
      <w:marRight w:val="0"/>
      <w:marTop w:val="0"/>
      <w:marBottom w:val="0"/>
      <w:divBdr>
        <w:top w:val="none" w:sz="0" w:space="0" w:color="auto"/>
        <w:left w:val="none" w:sz="0" w:space="0" w:color="auto"/>
        <w:bottom w:val="none" w:sz="0" w:space="0" w:color="auto"/>
        <w:right w:val="none" w:sz="0" w:space="0" w:color="auto"/>
      </w:divBdr>
      <w:divsChild>
        <w:div w:id="1891381596">
          <w:marLeft w:val="0"/>
          <w:marRight w:val="0"/>
          <w:marTop w:val="0"/>
          <w:marBottom w:val="0"/>
          <w:divBdr>
            <w:top w:val="none" w:sz="0" w:space="0" w:color="auto"/>
            <w:left w:val="none" w:sz="0" w:space="0" w:color="auto"/>
            <w:bottom w:val="none" w:sz="0" w:space="0" w:color="auto"/>
            <w:right w:val="none" w:sz="0" w:space="0" w:color="auto"/>
          </w:divBdr>
          <w:divsChild>
            <w:div w:id="120078930">
              <w:marLeft w:val="0"/>
              <w:marRight w:val="0"/>
              <w:marTop w:val="0"/>
              <w:marBottom w:val="0"/>
              <w:divBdr>
                <w:top w:val="none" w:sz="0" w:space="0" w:color="auto"/>
                <w:left w:val="none" w:sz="0" w:space="0" w:color="auto"/>
                <w:bottom w:val="none" w:sz="0" w:space="0" w:color="auto"/>
                <w:right w:val="none" w:sz="0" w:space="0" w:color="auto"/>
              </w:divBdr>
            </w:div>
            <w:div w:id="1792895272">
              <w:marLeft w:val="0"/>
              <w:marRight w:val="0"/>
              <w:marTop w:val="0"/>
              <w:marBottom w:val="0"/>
              <w:divBdr>
                <w:top w:val="none" w:sz="0" w:space="0" w:color="auto"/>
                <w:left w:val="none" w:sz="0" w:space="0" w:color="auto"/>
                <w:bottom w:val="none" w:sz="0" w:space="0" w:color="auto"/>
                <w:right w:val="none" w:sz="0" w:space="0" w:color="auto"/>
              </w:divBdr>
            </w:div>
            <w:div w:id="1170756666">
              <w:marLeft w:val="0"/>
              <w:marRight w:val="0"/>
              <w:marTop w:val="0"/>
              <w:marBottom w:val="0"/>
              <w:divBdr>
                <w:top w:val="none" w:sz="0" w:space="0" w:color="auto"/>
                <w:left w:val="none" w:sz="0" w:space="0" w:color="auto"/>
                <w:bottom w:val="none" w:sz="0" w:space="0" w:color="auto"/>
                <w:right w:val="none" w:sz="0" w:space="0" w:color="auto"/>
              </w:divBdr>
            </w:div>
            <w:div w:id="1643735495">
              <w:marLeft w:val="0"/>
              <w:marRight w:val="0"/>
              <w:marTop w:val="0"/>
              <w:marBottom w:val="0"/>
              <w:divBdr>
                <w:top w:val="none" w:sz="0" w:space="0" w:color="auto"/>
                <w:left w:val="none" w:sz="0" w:space="0" w:color="auto"/>
                <w:bottom w:val="none" w:sz="0" w:space="0" w:color="auto"/>
                <w:right w:val="none" w:sz="0" w:space="0" w:color="auto"/>
              </w:divBdr>
            </w:div>
            <w:div w:id="711661013">
              <w:marLeft w:val="0"/>
              <w:marRight w:val="0"/>
              <w:marTop w:val="0"/>
              <w:marBottom w:val="0"/>
              <w:divBdr>
                <w:top w:val="none" w:sz="0" w:space="0" w:color="auto"/>
                <w:left w:val="none" w:sz="0" w:space="0" w:color="auto"/>
                <w:bottom w:val="none" w:sz="0" w:space="0" w:color="auto"/>
                <w:right w:val="none" w:sz="0" w:space="0" w:color="auto"/>
              </w:divBdr>
            </w:div>
            <w:div w:id="435103671">
              <w:marLeft w:val="0"/>
              <w:marRight w:val="0"/>
              <w:marTop w:val="0"/>
              <w:marBottom w:val="0"/>
              <w:divBdr>
                <w:top w:val="none" w:sz="0" w:space="0" w:color="auto"/>
                <w:left w:val="none" w:sz="0" w:space="0" w:color="auto"/>
                <w:bottom w:val="none" w:sz="0" w:space="0" w:color="auto"/>
                <w:right w:val="none" w:sz="0" w:space="0" w:color="auto"/>
              </w:divBdr>
            </w:div>
            <w:div w:id="480466648">
              <w:marLeft w:val="0"/>
              <w:marRight w:val="0"/>
              <w:marTop w:val="0"/>
              <w:marBottom w:val="0"/>
              <w:divBdr>
                <w:top w:val="none" w:sz="0" w:space="0" w:color="auto"/>
                <w:left w:val="none" w:sz="0" w:space="0" w:color="auto"/>
                <w:bottom w:val="none" w:sz="0" w:space="0" w:color="auto"/>
                <w:right w:val="none" w:sz="0" w:space="0" w:color="auto"/>
              </w:divBdr>
            </w:div>
            <w:div w:id="1099333048">
              <w:marLeft w:val="0"/>
              <w:marRight w:val="0"/>
              <w:marTop w:val="0"/>
              <w:marBottom w:val="0"/>
              <w:divBdr>
                <w:top w:val="none" w:sz="0" w:space="0" w:color="auto"/>
                <w:left w:val="none" w:sz="0" w:space="0" w:color="auto"/>
                <w:bottom w:val="none" w:sz="0" w:space="0" w:color="auto"/>
                <w:right w:val="none" w:sz="0" w:space="0" w:color="auto"/>
              </w:divBdr>
            </w:div>
            <w:div w:id="953514839">
              <w:marLeft w:val="0"/>
              <w:marRight w:val="0"/>
              <w:marTop w:val="0"/>
              <w:marBottom w:val="0"/>
              <w:divBdr>
                <w:top w:val="none" w:sz="0" w:space="0" w:color="auto"/>
                <w:left w:val="none" w:sz="0" w:space="0" w:color="auto"/>
                <w:bottom w:val="none" w:sz="0" w:space="0" w:color="auto"/>
                <w:right w:val="none" w:sz="0" w:space="0" w:color="auto"/>
              </w:divBdr>
            </w:div>
            <w:div w:id="1638485412">
              <w:marLeft w:val="0"/>
              <w:marRight w:val="0"/>
              <w:marTop w:val="0"/>
              <w:marBottom w:val="0"/>
              <w:divBdr>
                <w:top w:val="none" w:sz="0" w:space="0" w:color="auto"/>
                <w:left w:val="none" w:sz="0" w:space="0" w:color="auto"/>
                <w:bottom w:val="none" w:sz="0" w:space="0" w:color="auto"/>
                <w:right w:val="none" w:sz="0" w:space="0" w:color="auto"/>
              </w:divBdr>
            </w:div>
            <w:div w:id="669214421">
              <w:marLeft w:val="0"/>
              <w:marRight w:val="0"/>
              <w:marTop w:val="0"/>
              <w:marBottom w:val="0"/>
              <w:divBdr>
                <w:top w:val="none" w:sz="0" w:space="0" w:color="auto"/>
                <w:left w:val="none" w:sz="0" w:space="0" w:color="auto"/>
                <w:bottom w:val="none" w:sz="0" w:space="0" w:color="auto"/>
                <w:right w:val="none" w:sz="0" w:space="0" w:color="auto"/>
              </w:divBdr>
            </w:div>
            <w:div w:id="695471959">
              <w:marLeft w:val="0"/>
              <w:marRight w:val="0"/>
              <w:marTop w:val="0"/>
              <w:marBottom w:val="0"/>
              <w:divBdr>
                <w:top w:val="none" w:sz="0" w:space="0" w:color="auto"/>
                <w:left w:val="none" w:sz="0" w:space="0" w:color="auto"/>
                <w:bottom w:val="none" w:sz="0" w:space="0" w:color="auto"/>
                <w:right w:val="none" w:sz="0" w:space="0" w:color="auto"/>
              </w:divBdr>
            </w:div>
            <w:div w:id="1997218666">
              <w:marLeft w:val="0"/>
              <w:marRight w:val="0"/>
              <w:marTop w:val="0"/>
              <w:marBottom w:val="0"/>
              <w:divBdr>
                <w:top w:val="none" w:sz="0" w:space="0" w:color="auto"/>
                <w:left w:val="none" w:sz="0" w:space="0" w:color="auto"/>
                <w:bottom w:val="none" w:sz="0" w:space="0" w:color="auto"/>
                <w:right w:val="none" w:sz="0" w:space="0" w:color="auto"/>
              </w:divBdr>
            </w:div>
            <w:div w:id="754058781">
              <w:marLeft w:val="0"/>
              <w:marRight w:val="0"/>
              <w:marTop w:val="0"/>
              <w:marBottom w:val="0"/>
              <w:divBdr>
                <w:top w:val="none" w:sz="0" w:space="0" w:color="auto"/>
                <w:left w:val="none" w:sz="0" w:space="0" w:color="auto"/>
                <w:bottom w:val="none" w:sz="0" w:space="0" w:color="auto"/>
                <w:right w:val="none" w:sz="0" w:space="0" w:color="auto"/>
              </w:divBdr>
            </w:div>
            <w:div w:id="490408067">
              <w:marLeft w:val="0"/>
              <w:marRight w:val="0"/>
              <w:marTop w:val="0"/>
              <w:marBottom w:val="0"/>
              <w:divBdr>
                <w:top w:val="none" w:sz="0" w:space="0" w:color="auto"/>
                <w:left w:val="none" w:sz="0" w:space="0" w:color="auto"/>
                <w:bottom w:val="none" w:sz="0" w:space="0" w:color="auto"/>
                <w:right w:val="none" w:sz="0" w:space="0" w:color="auto"/>
              </w:divBdr>
            </w:div>
            <w:div w:id="300353530">
              <w:marLeft w:val="0"/>
              <w:marRight w:val="0"/>
              <w:marTop w:val="0"/>
              <w:marBottom w:val="0"/>
              <w:divBdr>
                <w:top w:val="none" w:sz="0" w:space="0" w:color="auto"/>
                <w:left w:val="none" w:sz="0" w:space="0" w:color="auto"/>
                <w:bottom w:val="none" w:sz="0" w:space="0" w:color="auto"/>
                <w:right w:val="none" w:sz="0" w:space="0" w:color="auto"/>
              </w:divBdr>
            </w:div>
            <w:div w:id="119109243">
              <w:marLeft w:val="0"/>
              <w:marRight w:val="0"/>
              <w:marTop w:val="0"/>
              <w:marBottom w:val="0"/>
              <w:divBdr>
                <w:top w:val="none" w:sz="0" w:space="0" w:color="auto"/>
                <w:left w:val="none" w:sz="0" w:space="0" w:color="auto"/>
                <w:bottom w:val="none" w:sz="0" w:space="0" w:color="auto"/>
                <w:right w:val="none" w:sz="0" w:space="0" w:color="auto"/>
              </w:divBdr>
            </w:div>
            <w:div w:id="1759791353">
              <w:marLeft w:val="0"/>
              <w:marRight w:val="0"/>
              <w:marTop w:val="0"/>
              <w:marBottom w:val="0"/>
              <w:divBdr>
                <w:top w:val="none" w:sz="0" w:space="0" w:color="auto"/>
                <w:left w:val="none" w:sz="0" w:space="0" w:color="auto"/>
                <w:bottom w:val="none" w:sz="0" w:space="0" w:color="auto"/>
                <w:right w:val="none" w:sz="0" w:space="0" w:color="auto"/>
              </w:divBdr>
            </w:div>
            <w:div w:id="526679968">
              <w:marLeft w:val="0"/>
              <w:marRight w:val="0"/>
              <w:marTop w:val="0"/>
              <w:marBottom w:val="0"/>
              <w:divBdr>
                <w:top w:val="none" w:sz="0" w:space="0" w:color="auto"/>
                <w:left w:val="none" w:sz="0" w:space="0" w:color="auto"/>
                <w:bottom w:val="none" w:sz="0" w:space="0" w:color="auto"/>
                <w:right w:val="none" w:sz="0" w:space="0" w:color="auto"/>
              </w:divBdr>
            </w:div>
            <w:div w:id="1479345041">
              <w:marLeft w:val="0"/>
              <w:marRight w:val="0"/>
              <w:marTop w:val="0"/>
              <w:marBottom w:val="0"/>
              <w:divBdr>
                <w:top w:val="none" w:sz="0" w:space="0" w:color="auto"/>
                <w:left w:val="none" w:sz="0" w:space="0" w:color="auto"/>
                <w:bottom w:val="none" w:sz="0" w:space="0" w:color="auto"/>
                <w:right w:val="none" w:sz="0" w:space="0" w:color="auto"/>
              </w:divBdr>
            </w:div>
            <w:div w:id="1262761796">
              <w:marLeft w:val="0"/>
              <w:marRight w:val="0"/>
              <w:marTop w:val="0"/>
              <w:marBottom w:val="0"/>
              <w:divBdr>
                <w:top w:val="none" w:sz="0" w:space="0" w:color="auto"/>
                <w:left w:val="none" w:sz="0" w:space="0" w:color="auto"/>
                <w:bottom w:val="none" w:sz="0" w:space="0" w:color="auto"/>
                <w:right w:val="none" w:sz="0" w:space="0" w:color="auto"/>
              </w:divBdr>
            </w:div>
            <w:div w:id="1867325008">
              <w:marLeft w:val="0"/>
              <w:marRight w:val="0"/>
              <w:marTop w:val="0"/>
              <w:marBottom w:val="0"/>
              <w:divBdr>
                <w:top w:val="none" w:sz="0" w:space="0" w:color="auto"/>
                <w:left w:val="none" w:sz="0" w:space="0" w:color="auto"/>
                <w:bottom w:val="none" w:sz="0" w:space="0" w:color="auto"/>
                <w:right w:val="none" w:sz="0" w:space="0" w:color="auto"/>
              </w:divBdr>
            </w:div>
            <w:div w:id="561335024">
              <w:marLeft w:val="0"/>
              <w:marRight w:val="0"/>
              <w:marTop w:val="0"/>
              <w:marBottom w:val="0"/>
              <w:divBdr>
                <w:top w:val="none" w:sz="0" w:space="0" w:color="auto"/>
                <w:left w:val="none" w:sz="0" w:space="0" w:color="auto"/>
                <w:bottom w:val="none" w:sz="0" w:space="0" w:color="auto"/>
                <w:right w:val="none" w:sz="0" w:space="0" w:color="auto"/>
              </w:divBdr>
            </w:div>
            <w:div w:id="1803881742">
              <w:marLeft w:val="0"/>
              <w:marRight w:val="0"/>
              <w:marTop w:val="0"/>
              <w:marBottom w:val="0"/>
              <w:divBdr>
                <w:top w:val="none" w:sz="0" w:space="0" w:color="auto"/>
                <w:left w:val="none" w:sz="0" w:space="0" w:color="auto"/>
                <w:bottom w:val="none" w:sz="0" w:space="0" w:color="auto"/>
                <w:right w:val="none" w:sz="0" w:space="0" w:color="auto"/>
              </w:divBdr>
            </w:div>
            <w:div w:id="440611009">
              <w:marLeft w:val="0"/>
              <w:marRight w:val="0"/>
              <w:marTop w:val="0"/>
              <w:marBottom w:val="0"/>
              <w:divBdr>
                <w:top w:val="none" w:sz="0" w:space="0" w:color="auto"/>
                <w:left w:val="none" w:sz="0" w:space="0" w:color="auto"/>
                <w:bottom w:val="none" w:sz="0" w:space="0" w:color="auto"/>
                <w:right w:val="none" w:sz="0" w:space="0" w:color="auto"/>
              </w:divBdr>
            </w:div>
            <w:div w:id="1684477407">
              <w:marLeft w:val="0"/>
              <w:marRight w:val="0"/>
              <w:marTop w:val="0"/>
              <w:marBottom w:val="0"/>
              <w:divBdr>
                <w:top w:val="none" w:sz="0" w:space="0" w:color="auto"/>
                <w:left w:val="none" w:sz="0" w:space="0" w:color="auto"/>
                <w:bottom w:val="none" w:sz="0" w:space="0" w:color="auto"/>
                <w:right w:val="none" w:sz="0" w:space="0" w:color="auto"/>
              </w:divBdr>
            </w:div>
            <w:div w:id="704067136">
              <w:marLeft w:val="0"/>
              <w:marRight w:val="0"/>
              <w:marTop w:val="0"/>
              <w:marBottom w:val="0"/>
              <w:divBdr>
                <w:top w:val="none" w:sz="0" w:space="0" w:color="auto"/>
                <w:left w:val="none" w:sz="0" w:space="0" w:color="auto"/>
                <w:bottom w:val="none" w:sz="0" w:space="0" w:color="auto"/>
                <w:right w:val="none" w:sz="0" w:space="0" w:color="auto"/>
              </w:divBdr>
            </w:div>
            <w:div w:id="1069307331">
              <w:marLeft w:val="0"/>
              <w:marRight w:val="0"/>
              <w:marTop w:val="0"/>
              <w:marBottom w:val="0"/>
              <w:divBdr>
                <w:top w:val="none" w:sz="0" w:space="0" w:color="auto"/>
                <w:left w:val="none" w:sz="0" w:space="0" w:color="auto"/>
                <w:bottom w:val="none" w:sz="0" w:space="0" w:color="auto"/>
                <w:right w:val="none" w:sz="0" w:space="0" w:color="auto"/>
              </w:divBdr>
            </w:div>
            <w:div w:id="885216178">
              <w:marLeft w:val="0"/>
              <w:marRight w:val="0"/>
              <w:marTop w:val="0"/>
              <w:marBottom w:val="0"/>
              <w:divBdr>
                <w:top w:val="none" w:sz="0" w:space="0" w:color="auto"/>
                <w:left w:val="none" w:sz="0" w:space="0" w:color="auto"/>
                <w:bottom w:val="none" w:sz="0" w:space="0" w:color="auto"/>
                <w:right w:val="none" w:sz="0" w:space="0" w:color="auto"/>
              </w:divBdr>
            </w:div>
          </w:divsChild>
        </w:div>
        <w:div w:id="1261988643">
          <w:marLeft w:val="0"/>
          <w:marRight w:val="0"/>
          <w:marTop w:val="0"/>
          <w:marBottom w:val="0"/>
          <w:divBdr>
            <w:top w:val="none" w:sz="0" w:space="0" w:color="auto"/>
            <w:left w:val="none" w:sz="0" w:space="0" w:color="auto"/>
            <w:bottom w:val="none" w:sz="0" w:space="0" w:color="auto"/>
            <w:right w:val="none" w:sz="0" w:space="0" w:color="auto"/>
          </w:divBdr>
          <w:divsChild>
            <w:div w:id="556281839">
              <w:marLeft w:val="0"/>
              <w:marRight w:val="0"/>
              <w:marTop w:val="0"/>
              <w:marBottom w:val="0"/>
              <w:divBdr>
                <w:top w:val="none" w:sz="0" w:space="0" w:color="auto"/>
                <w:left w:val="none" w:sz="0" w:space="0" w:color="auto"/>
                <w:bottom w:val="none" w:sz="0" w:space="0" w:color="auto"/>
                <w:right w:val="none" w:sz="0" w:space="0" w:color="auto"/>
              </w:divBdr>
            </w:div>
            <w:div w:id="1985426640">
              <w:marLeft w:val="0"/>
              <w:marRight w:val="0"/>
              <w:marTop w:val="0"/>
              <w:marBottom w:val="0"/>
              <w:divBdr>
                <w:top w:val="none" w:sz="0" w:space="0" w:color="auto"/>
                <w:left w:val="none" w:sz="0" w:space="0" w:color="auto"/>
                <w:bottom w:val="none" w:sz="0" w:space="0" w:color="auto"/>
                <w:right w:val="none" w:sz="0" w:space="0" w:color="auto"/>
              </w:divBdr>
            </w:div>
            <w:div w:id="951326116">
              <w:marLeft w:val="0"/>
              <w:marRight w:val="0"/>
              <w:marTop w:val="0"/>
              <w:marBottom w:val="0"/>
              <w:divBdr>
                <w:top w:val="none" w:sz="0" w:space="0" w:color="auto"/>
                <w:left w:val="none" w:sz="0" w:space="0" w:color="auto"/>
                <w:bottom w:val="none" w:sz="0" w:space="0" w:color="auto"/>
                <w:right w:val="none" w:sz="0" w:space="0" w:color="auto"/>
              </w:divBdr>
            </w:div>
            <w:div w:id="1396509870">
              <w:marLeft w:val="0"/>
              <w:marRight w:val="0"/>
              <w:marTop w:val="0"/>
              <w:marBottom w:val="0"/>
              <w:divBdr>
                <w:top w:val="none" w:sz="0" w:space="0" w:color="auto"/>
                <w:left w:val="none" w:sz="0" w:space="0" w:color="auto"/>
                <w:bottom w:val="none" w:sz="0" w:space="0" w:color="auto"/>
                <w:right w:val="none" w:sz="0" w:space="0" w:color="auto"/>
              </w:divBdr>
            </w:div>
            <w:div w:id="684095496">
              <w:marLeft w:val="0"/>
              <w:marRight w:val="0"/>
              <w:marTop w:val="0"/>
              <w:marBottom w:val="0"/>
              <w:divBdr>
                <w:top w:val="none" w:sz="0" w:space="0" w:color="auto"/>
                <w:left w:val="none" w:sz="0" w:space="0" w:color="auto"/>
                <w:bottom w:val="none" w:sz="0" w:space="0" w:color="auto"/>
                <w:right w:val="none" w:sz="0" w:space="0" w:color="auto"/>
              </w:divBdr>
            </w:div>
            <w:div w:id="401948426">
              <w:marLeft w:val="0"/>
              <w:marRight w:val="0"/>
              <w:marTop w:val="0"/>
              <w:marBottom w:val="0"/>
              <w:divBdr>
                <w:top w:val="none" w:sz="0" w:space="0" w:color="auto"/>
                <w:left w:val="none" w:sz="0" w:space="0" w:color="auto"/>
                <w:bottom w:val="none" w:sz="0" w:space="0" w:color="auto"/>
                <w:right w:val="none" w:sz="0" w:space="0" w:color="auto"/>
              </w:divBdr>
            </w:div>
            <w:div w:id="1781411984">
              <w:marLeft w:val="0"/>
              <w:marRight w:val="0"/>
              <w:marTop w:val="0"/>
              <w:marBottom w:val="0"/>
              <w:divBdr>
                <w:top w:val="none" w:sz="0" w:space="0" w:color="auto"/>
                <w:left w:val="none" w:sz="0" w:space="0" w:color="auto"/>
                <w:bottom w:val="none" w:sz="0" w:space="0" w:color="auto"/>
                <w:right w:val="none" w:sz="0" w:space="0" w:color="auto"/>
              </w:divBdr>
            </w:div>
            <w:div w:id="786003586">
              <w:marLeft w:val="0"/>
              <w:marRight w:val="0"/>
              <w:marTop w:val="0"/>
              <w:marBottom w:val="0"/>
              <w:divBdr>
                <w:top w:val="none" w:sz="0" w:space="0" w:color="auto"/>
                <w:left w:val="none" w:sz="0" w:space="0" w:color="auto"/>
                <w:bottom w:val="none" w:sz="0" w:space="0" w:color="auto"/>
                <w:right w:val="none" w:sz="0" w:space="0" w:color="auto"/>
              </w:divBdr>
            </w:div>
            <w:div w:id="242498397">
              <w:marLeft w:val="0"/>
              <w:marRight w:val="0"/>
              <w:marTop w:val="0"/>
              <w:marBottom w:val="0"/>
              <w:divBdr>
                <w:top w:val="none" w:sz="0" w:space="0" w:color="auto"/>
                <w:left w:val="none" w:sz="0" w:space="0" w:color="auto"/>
                <w:bottom w:val="none" w:sz="0" w:space="0" w:color="auto"/>
                <w:right w:val="none" w:sz="0" w:space="0" w:color="auto"/>
              </w:divBdr>
            </w:div>
            <w:div w:id="284904">
              <w:marLeft w:val="0"/>
              <w:marRight w:val="0"/>
              <w:marTop w:val="0"/>
              <w:marBottom w:val="0"/>
              <w:divBdr>
                <w:top w:val="none" w:sz="0" w:space="0" w:color="auto"/>
                <w:left w:val="none" w:sz="0" w:space="0" w:color="auto"/>
                <w:bottom w:val="none" w:sz="0" w:space="0" w:color="auto"/>
                <w:right w:val="none" w:sz="0" w:space="0" w:color="auto"/>
              </w:divBdr>
            </w:div>
            <w:div w:id="1352874342">
              <w:marLeft w:val="0"/>
              <w:marRight w:val="0"/>
              <w:marTop w:val="0"/>
              <w:marBottom w:val="0"/>
              <w:divBdr>
                <w:top w:val="none" w:sz="0" w:space="0" w:color="auto"/>
                <w:left w:val="none" w:sz="0" w:space="0" w:color="auto"/>
                <w:bottom w:val="none" w:sz="0" w:space="0" w:color="auto"/>
                <w:right w:val="none" w:sz="0" w:space="0" w:color="auto"/>
              </w:divBdr>
            </w:div>
            <w:div w:id="1372538018">
              <w:marLeft w:val="0"/>
              <w:marRight w:val="0"/>
              <w:marTop w:val="0"/>
              <w:marBottom w:val="0"/>
              <w:divBdr>
                <w:top w:val="none" w:sz="0" w:space="0" w:color="auto"/>
                <w:left w:val="none" w:sz="0" w:space="0" w:color="auto"/>
                <w:bottom w:val="none" w:sz="0" w:space="0" w:color="auto"/>
                <w:right w:val="none" w:sz="0" w:space="0" w:color="auto"/>
              </w:divBdr>
            </w:div>
            <w:div w:id="462163743">
              <w:marLeft w:val="0"/>
              <w:marRight w:val="0"/>
              <w:marTop w:val="0"/>
              <w:marBottom w:val="0"/>
              <w:divBdr>
                <w:top w:val="none" w:sz="0" w:space="0" w:color="auto"/>
                <w:left w:val="none" w:sz="0" w:space="0" w:color="auto"/>
                <w:bottom w:val="none" w:sz="0" w:space="0" w:color="auto"/>
                <w:right w:val="none" w:sz="0" w:space="0" w:color="auto"/>
              </w:divBdr>
            </w:div>
            <w:div w:id="1264725991">
              <w:marLeft w:val="0"/>
              <w:marRight w:val="0"/>
              <w:marTop w:val="0"/>
              <w:marBottom w:val="0"/>
              <w:divBdr>
                <w:top w:val="none" w:sz="0" w:space="0" w:color="auto"/>
                <w:left w:val="none" w:sz="0" w:space="0" w:color="auto"/>
                <w:bottom w:val="none" w:sz="0" w:space="0" w:color="auto"/>
                <w:right w:val="none" w:sz="0" w:space="0" w:color="auto"/>
              </w:divBdr>
            </w:div>
            <w:div w:id="326523174">
              <w:marLeft w:val="0"/>
              <w:marRight w:val="0"/>
              <w:marTop w:val="0"/>
              <w:marBottom w:val="0"/>
              <w:divBdr>
                <w:top w:val="none" w:sz="0" w:space="0" w:color="auto"/>
                <w:left w:val="none" w:sz="0" w:space="0" w:color="auto"/>
                <w:bottom w:val="none" w:sz="0" w:space="0" w:color="auto"/>
                <w:right w:val="none" w:sz="0" w:space="0" w:color="auto"/>
              </w:divBdr>
            </w:div>
            <w:div w:id="582639628">
              <w:marLeft w:val="0"/>
              <w:marRight w:val="0"/>
              <w:marTop w:val="0"/>
              <w:marBottom w:val="0"/>
              <w:divBdr>
                <w:top w:val="none" w:sz="0" w:space="0" w:color="auto"/>
                <w:left w:val="none" w:sz="0" w:space="0" w:color="auto"/>
                <w:bottom w:val="none" w:sz="0" w:space="0" w:color="auto"/>
                <w:right w:val="none" w:sz="0" w:space="0" w:color="auto"/>
              </w:divBdr>
            </w:div>
            <w:div w:id="1278179740">
              <w:marLeft w:val="0"/>
              <w:marRight w:val="0"/>
              <w:marTop w:val="0"/>
              <w:marBottom w:val="0"/>
              <w:divBdr>
                <w:top w:val="none" w:sz="0" w:space="0" w:color="auto"/>
                <w:left w:val="none" w:sz="0" w:space="0" w:color="auto"/>
                <w:bottom w:val="none" w:sz="0" w:space="0" w:color="auto"/>
                <w:right w:val="none" w:sz="0" w:space="0" w:color="auto"/>
              </w:divBdr>
            </w:div>
            <w:div w:id="1761292110">
              <w:marLeft w:val="0"/>
              <w:marRight w:val="0"/>
              <w:marTop w:val="0"/>
              <w:marBottom w:val="0"/>
              <w:divBdr>
                <w:top w:val="none" w:sz="0" w:space="0" w:color="auto"/>
                <w:left w:val="none" w:sz="0" w:space="0" w:color="auto"/>
                <w:bottom w:val="none" w:sz="0" w:space="0" w:color="auto"/>
                <w:right w:val="none" w:sz="0" w:space="0" w:color="auto"/>
              </w:divBdr>
            </w:div>
            <w:div w:id="1337341154">
              <w:marLeft w:val="0"/>
              <w:marRight w:val="0"/>
              <w:marTop w:val="0"/>
              <w:marBottom w:val="0"/>
              <w:divBdr>
                <w:top w:val="none" w:sz="0" w:space="0" w:color="auto"/>
                <w:left w:val="none" w:sz="0" w:space="0" w:color="auto"/>
                <w:bottom w:val="none" w:sz="0" w:space="0" w:color="auto"/>
                <w:right w:val="none" w:sz="0" w:space="0" w:color="auto"/>
              </w:divBdr>
            </w:div>
            <w:div w:id="1433479830">
              <w:marLeft w:val="0"/>
              <w:marRight w:val="0"/>
              <w:marTop w:val="0"/>
              <w:marBottom w:val="0"/>
              <w:divBdr>
                <w:top w:val="none" w:sz="0" w:space="0" w:color="auto"/>
                <w:left w:val="none" w:sz="0" w:space="0" w:color="auto"/>
                <w:bottom w:val="none" w:sz="0" w:space="0" w:color="auto"/>
                <w:right w:val="none" w:sz="0" w:space="0" w:color="auto"/>
              </w:divBdr>
            </w:div>
          </w:divsChild>
        </w:div>
        <w:div w:id="591277753">
          <w:marLeft w:val="0"/>
          <w:marRight w:val="0"/>
          <w:marTop w:val="0"/>
          <w:marBottom w:val="0"/>
          <w:divBdr>
            <w:top w:val="none" w:sz="0" w:space="0" w:color="auto"/>
            <w:left w:val="none" w:sz="0" w:space="0" w:color="auto"/>
            <w:bottom w:val="none" w:sz="0" w:space="0" w:color="auto"/>
            <w:right w:val="none" w:sz="0" w:space="0" w:color="auto"/>
          </w:divBdr>
          <w:divsChild>
            <w:div w:id="1026440068">
              <w:marLeft w:val="0"/>
              <w:marRight w:val="0"/>
              <w:marTop w:val="0"/>
              <w:marBottom w:val="0"/>
              <w:divBdr>
                <w:top w:val="none" w:sz="0" w:space="0" w:color="auto"/>
                <w:left w:val="none" w:sz="0" w:space="0" w:color="auto"/>
                <w:bottom w:val="none" w:sz="0" w:space="0" w:color="auto"/>
                <w:right w:val="none" w:sz="0" w:space="0" w:color="auto"/>
              </w:divBdr>
            </w:div>
            <w:div w:id="1029792260">
              <w:marLeft w:val="0"/>
              <w:marRight w:val="0"/>
              <w:marTop w:val="0"/>
              <w:marBottom w:val="0"/>
              <w:divBdr>
                <w:top w:val="none" w:sz="0" w:space="0" w:color="auto"/>
                <w:left w:val="none" w:sz="0" w:space="0" w:color="auto"/>
                <w:bottom w:val="none" w:sz="0" w:space="0" w:color="auto"/>
                <w:right w:val="none" w:sz="0" w:space="0" w:color="auto"/>
              </w:divBdr>
            </w:div>
            <w:div w:id="1864588494">
              <w:marLeft w:val="0"/>
              <w:marRight w:val="0"/>
              <w:marTop w:val="0"/>
              <w:marBottom w:val="0"/>
              <w:divBdr>
                <w:top w:val="none" w:sz="0" w:space="0" w:color="auto"/>
                <w:left w:val="none" w:sz="0" w:space="0" w:color="auto"/>
                <w:bottom w:val="none" w:sz="0" w:space="0" w:color="auto"/>
                <w:right w:val="none" w:sz="0" w:space="0" w:color="auto"/>
              </w:divBdr>
            </w:div>
            <w:div w:id="589310820">
              <w:marLeft w:val="0"/>
              <w:marRight w:val="0"/>
              <w:marTop w:val="0"/>
              <w:marBottom w:val="0"/>
              <w:divBdr>
                <w:top w:val="none" w:sz="0" w:space="0" w:color="auto"/>
                <w:left w:val="none" w:sz="0" w:space="0" w:color="auto"/>
                <w:bottom w:val="none" w:sz="0" w:space="0" w:color="auto"/>
                <w:right w:val="none" w:sz="0" w:space="0" w:color="auto"/>
              </w:divBdr>
            </w:div>
            <w:div w:id="208686454">
              <w:marLeft w:val="0"/>
              <w:marRight w:val="0"/>
              <w:marTop w:val="0"/>
              <w:marBottom w:val="0"/>
              <w:divBdr>
                <w:top w:val="none" w:sz="0" w:space="0" w:color="auto"/>
                <w:left w:val="none" w:sz="0" w:space="0" w:color="auto"/>
                <w:bottom w:val="none" w:sz="0" w:space="0" w:color="auto"/>
                <w:right w:val="none" w:sz="0" w:space="0" w:color="auto"/>
              </w:divBdr>
            </w:div>
            <w:div w:id="1201287882">
              <w:marLeft w:val="0"/>
              <w:marRight w:val="0"/>
              <w:marTop w:val="0"/>
              <w:marBottom w:val="0"/>
              <w:divBdr>
                <w:top w:val="none" w:sz="0" w:space="0" w:color="auto"/>
                <w:left w:val="none" w:sz="0" w:space="0" w:color="auto"/>
                <w:bottom w:val="none" w:sz="0" w:space="0" w:color="auto"/>
                <w:right w:val="none" w:sz="0" w:space="0" w:color="auto"/>
              </w:divBdr>
            </w:div>
            <w:div w:id="2138638999">
              <w:marLeft w:val="0"/>
              <w:marRight w:val="0"/>
              <w:marTop w:val="0"/>
              <w:marBottom w:val="0"/>
              <w:divBdr>
                <w:top w:val="none" w:sz="0" w:space="0" w:color="auto"/>
                <w:left w:val="none" w:sz="0" w:space="0" w:color="auto"/>
                <w:bottom w:val="none" w:sz="0" w:space="0" w:color="auto"/>
                <w:right w:val="none" w:sz="0" w:space="0" w:color="auto"/>
              </w:divBdr>
            </w:div>
            <w:div w:id="1414889018">
              <w:marLeft w:val="0"/>
              <w:marRight w:val="0"/>
              <w:marTop w:val="0"/>
              <w:marBottom w:val="0"/>
              <w:divBdr>
                <w:top w:val="none" w:sz="0" w:space="0" w:color="auto"/>
                <w:left w:val="none" w:sz="0" w:space="0" w:color="auto"/>
                <w:bottom w:val="none" w:sz="0" w:space="0" w:color="auto"/>
                <w:right w:val="none" w:sz="0" w:space="0" w:color="auto"/>
              </w:divBdr>
            </w:div>
            <w:div w:id="1231618664">
              <w:marLeft w:val="0"/>
              <w:marRight w:val="0"/>
              <w:marTop w:val="0"/>
              <w:marBottom w:val="0"/>
              <w:divBdr>
                <w:top w:val="none" w:sz="0" w:space="0" w:color="auto"/>
                <w:left w:val="none" w:sz="0" w:space="0" w:color="auto"/>
                <w:bottom w:val="none" w:sz="0" w:space="0" w:color="auto"/>
                <w:right w:val="none" w:sz="0" w:space="0" w:color="auto"/>
              </w:divBdr>
            </w:div>
            <w:div w:id="860362535">
              <w:marLeft w:val="0"/>
              <w:marRight w:val="0"/>
              <w:marTop w:val="0"/>
              <w:marBottom w:val="0"/>
              <w:divBdr>
                <w:top w:val="none" w:sz="0" w:space="0" w:color="auto"/>
                <w:left w:val="none" w:sz="0" w:space="0" w:color="auto"/>
                <w:bottom w:val="none" w:sz="0" w:space="0" w:color="auto"/>
                <w:right w:val="none" w:sz="0" w:space="0" w:color="auto"/>
              </w:divBdr>
            </w:div>
            <w:div w:id="326518593">
              <w:marLeft w:val="0"/>
              <w:marRight w:val="0"/>
              <w:marTop w:val="0"/>
              <w:marBottom w:val="0"/>
              <w:divBdr>
                <w:top w:val="none" w:sz="0" w:space="0" w:color="auto"/>
                <w:left w:val="none" w:sz="0" w:space="0" w:color="auto"/>
                <w:bottom w:val="none" w:sz="0" w:space="0" w:color="auto"/>
                <w:right w:val="none" w:sz="0" w:space="0" w:color="auto"/>
              </w:divBdr>
            </w:div>
            <w:div w:id="459809058">
              <w:marLeft w:val="0"/>
              <w:marRight w:val="0"/>
              <w:marTop w:val="0"/>
              <w:marBottom w:val="0"/>
              <w:divBdr>
                <w:top w:val="none" w:sz="0" w:space="0" w:color="auto"/>
                <w:left w:val="none" w:sz="0" w:space="0" w:color="auto"/>
                <w:bottom w:val="none" w:sz="0" w:space="0" w:color="auto"/>
                <w:right w:val="none" w:sz="0" w:space="0" w:color="auto"/>
              </w:divBdr>
            </w:div>
            <w:div w:id="888421552">
              <w:marLeft w:val="0"/>
              <w:marRight w:val="0"/>
              <w:marTop w:val="0"/>
              <w:marBottom w:val="0"/>
              <w:divBdr>
                <w:top w:val="none" w:sz="0" w:space="0" w:color="auto"/>
                <w:left w:val="none" w:sz="0" w:space="0" w:color="auto"/>
                <w:bottom w:val="none" w:sz="0" w:space="0" w:color="auto"/>
                <w:right w:val="none" w:sz="0" w:space="0" w:color="auto"/>
              </w:divBdr>
            </w:div>
            <w:div w:id="2016952950">
              <w:marLeft w:val="0"/>
              <w:marRight w:val="0"/>
              <w:marTop w:val="0"/>
              <w:marBottom w:val="0"/>
              <w:divBdr>
                <w:top w:val="none" w:sz="0" w:space="0" w:color="auto"/>
                <w:left w:val="none" w:sz="0" w:space="0" w:color="auto"/>
                <w:bottom w:val="none" w:sz="0" w:space="0" w:color="auto"/>
                <w:right w:val="none" w:sz="0" w:space="0" w:color="auto"/>
              </w:divBdr>
            </w:div>
            <w:div w:id="2049330495">
              <w:marLeft w:val="0"/>
              <w:marRight w:val="0"/>
              <w:marTop w:val="0"/>
              <w:marBottom w:val="0"/>
              <w:divBdr>
                <w:top w:val="none" w:sz="0" w:space="0" w:color="auto"/>
                <w:left w:val="none" w:sz="0" w:space="0" w:color="auto"/>
                <w:bottom w:val="none" w:sz="0" w:space="0" w:color="auto"/>
                <w:right w:val="none" w:sz="0" w:space="0" w:color="auto"/>
              </w:divBdr>
            </w:div>
            <w:div w:id="913006713">
              <w:marLeft w:val="0"/>
              <w:marRight w:val="0"/>
              <w:marTop w:val="0"/>
              <w:marBottom w:val="0"/>
              <w:divBdr>
                <w:top w:val="none" w:sz="0" w:space="0" w:color="auto"/>
                <w:left w:val="none" w:sz="0" w:space="0" w:color="auto"/>
                <w:bottom w:val="none" w:sz="0" w:space="0" w:color="auto"/>
                <w:right w:val="none" w:sz="0" w:space="0" w:color="auto"/>
              </w:divBdr>
            </w:div>
            <w:div w:id="240648428">
              <w:marLeft w:val="0"/>
              <w:marRight w:val="0"/>
              <w:marTop w:val="0"/>
              <w:marBottom w:val="0"/>
              <w:divBdr>
                <w:top w:val="none" w:sz="0" w:space="0" w:color="auto"/>
                <w:left w:val="none" w:sz="0" w:space="0" w:color="auto"/>
                <w:bottom w:val="none" w:sz="0" w:space="0" w:color="auto"/>
                <w:right w:val="none" w:sz="0" w:space="0" w:color="auto"/>
              </w:divBdr>
            </w:div>
            <w:div w:id="1598097673">
              <w:marLeft w:val="0"/>
              <w:marRight w:val="0"/>
              <w:marTop w:val="0"/>
              <w:marBottom w:val="0"/>
              <w:divBdr>
                <w:top w:val="none" w:sz="0" w:space="0" w:color="auto"/>
                <w:left w:val="none" w:sz="0" w:space="0" w:color="auto"/>
                <w:bottom w:val="none" w:sz="0" w:space="0" w:color="auto"/>
                <w:right w:val="none" w:sz="0" w:space="0" w:color="auto"/>
              </w:divBdr>
            </w:div>
            <w:div w:id="592933410">
              <w:marLeft w:val="0"/>
              <w:marRight w:val="0"/>
              <w:marTop w:val="0"/>
              <w:marBottom w:val="0"/>
              <w:divBdr>
                <w:top w:val="none" w:sz="0" w:space="0" w:color="auto"/>
                <w:left w:val="none" w:sz="0" w:space="0" w:color="auto"/>
                <w:bottom w:val="none" w:sz="0" w:space="0" w:color="auto"/>
                <w:right w:val="none" w:sz="0" w:space="0" w:color="auto"/>
              </w:divBdr>
            </w:div>
          </w:divsChild>
        </w:div>
        <w:div w:id="1621956527">
          <w:marLeft w:val="0"/>
          <w:marRight w:val="0"/>
          <w:marTop w:val="0"/>
          <w:marBottom w:val="0"/>
          <w:divBdr>
            <w:top w:val="none" w:sz="0" w:space="0" w:color="auto"/>
            <w:left w:val="none" w:sz="0" w:space="0" w:color="auto"/>
            <w:bottom w:val="none" w:sz="0" w:space="0" w:color="auto"/>
            <w:right w:val="none" w:sz="0" w:space="0" w:color="auto"/>
          </w:divBdr>
          <w:divsChild>
            <w:div w:id="2105683805">
              <w:marLeft w:val="0"/>
              <w:marRight w:val="0"/>
              <w:marTop w:val="0"/>
              <w:marBottom w:val="0"/>
              <w:divBdr>
                <w:top w:val="none" w:sz="0" w:space="0" w:color="auto"/>
                <w:left w:val="none" w:sz="0" w:space="0" w:color="auto"/>
                <w:bottom w:val="none" w:sz="0" w:space="0" w:color="auto"/>
                <w:right w:val="none" w:sz="0" w:space="0" w:color="auto"/>
              </w:divBdr>
            </w:div>
            <w:div w:id="325059151">
              <w:marLeft w:val="0"/>
              <w:marRight w:val="0"/>
              <w:marTop w:val="0"/>
              <w:marBottom w:val="0"/>
              <w:divBdr>
                <w:top w:val="none" w:sz="0" w:space="0" w:color="auto"/>
                <w:left w:val="none" w:sz="0" w:space="0" w:color="auto"/>
                <w:bottom w:val="none" w:sz="0" w:space="0" w:color="auto"/>
                <w:right w:val="none" w:sz="0" w:space="0" w:color="auto"/>
              </w:divBdr>
            </w:div>
            <w:div w:id="2019648643">
              <w:marLeft w:val="0"/>
              <w:marRight w:val="0"/>
              <w:marTop w:val="0"/>
              <w:marBottom w:val="0"/>
              <w:divBdr>
                <w:top w:val="none" w:sz="0" w:space="0" w:color="auto"/>
                <w:left w:val="none" w:sz="0" w:space="0" w:color="auto"/>
                <w:bottom w:val="none" w:sz="0" w:space="0" w:color="auto"/>
                <w:right w:val="none" w:sz="0" w:space="0" w:color="auto"/>
              </w:divBdr>
            </w:div>
            <w:div w:id="1697080935">
              <w:marLeft w:val="0"/>
              <w:marRight w:val="0"/>
              <w:marTop w:val="0"/>
              <w:marBottom w:val="0"/>
              <w:divBdr>
                <w:top w:val="none" w:sz="0" w:space="0" w:color="auto"/>
                <w:left w:val="none" w:sz="0" w:space="0" w:color="auto"/>
                <w:bottom w:val="none" w:sz="0" w:space="0" w:color="auto"/>
                <w:right w:val="none" w:sz="0" w:space="0" w:color="auto"/>
              </w:divBdr>
            </w:div>
            <w:div w:id="720206490">
              <w:marLeft w:val="0"/>
              <w:marRight w:val="0"/>
              <w:marTop w:val="0"/>
              <w:marBottom w:val="0"/>
              <w:divBdr>
                <w:top w:val="none" w:sz="0" w:space="0" w:color="auto"/>
                <w:left w:val="none" w:sz="0" w:space="0" w:color="auto"/>
                <w:bottom w:val="none" w:sz="0" w:space="0" w:color="auto"/>
                <w:right w:val="none" w:sz="0" w:space="0" w:color="auto"/>
              </w:divBdr>
            </w:div>
            <w:div w:id="455373266">
              <w:marLeft w:val="0"/>
              <w:marRight w:val="0"/>
              <w:marTop w:val="0"/>
              <w:marBottom w:val="0"/>
              <w:divBdr>
                <w:top w:val="none" w:sz="0" w:space="0" w:color="auto"/>
                <w:left w:val="none" w:sz="0" w:space="0" w:color="auto"/>
                <w:bottom w:val="none" w:sz="0" w:space="0" w:color="auto"/>
                <w:right w:val="none" w:sz="0" w:space="0" w:color="auto"/>
              </w:divBdr>
            </w:div>
            <w:div w:id="328290414">
              <w:marLeft w:val="0"/>
              <w:marRight w:val="0"/>
              <w:marTop w:val="0"/>
              <w:marBottom w:val="0"/>
              <w:divBdr>
                <w:top w:val="none" w:sz="0" w:space="0" w:color="auto"/>
                <w:left w:val="none" w:sz="0" w:space="0" w:color="auto"/>
                <w:bottom w:val="none" w:sz="0" w:space="0" w:color="auto"/>
                <w:right w:val="none" w:sz="0" w:space="0" w:color="auto"/>
              </w:divBdr>
            </w:div>
            <w:div w:id="392507462">
              <w:marLeft w:val="0"/>
              <w:marRight w:val="0"/>
              <w:marTop w:val="0"/>
              <w:marBottom w:val="0"/>
              <w:divBdr>
                <w:top w:val="none" w:sz="0" w:space="0" w:color="auto"/>
                <w:left w:val="none" w:sz="0" w:space="0" w:color="auto"/>
                <w:bottom w:val="none" w:sz="0" w:space="0" w:color="auto"/>
                <w:right w:val="none" w:sz="0" w:space="0" w:color="auto"/>
              </w:divBdr>
            </w:div>
            <w:div w:id="6587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1111</Words>
  <Characters>6114</Characters>
  <Application>Microsoft Office Word</Application>
  <DocSecurity>0</DocSecurity>
  <Lines>50</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Elio Cordero</dc:creator>
  <cp:keywords/>
  <dc:description/>
  <cp:lastModifiedBy>Lucas Elio Cordero</cp:lastModifiedBy>
  <cp:revision>2</cp:revision>
  <dcterms:created xsi:type="dcterms:W3CDTF">2026-09-19T15:39:00Z</dcterms:created>
  <dcterms:modified xsi:type="dcterms:W3CDTF">2026-09-19T15:39:00Z</dcterms:modified>
</cp:coreProperties>
</file>