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36"/>
                <w:szCs w:val="36"/>
              </w:rPr>
              <w:t>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基本信息：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姓名：</w:t>
            </w:r>
            <w: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hint="eastAsia"/>
              </w:rPr>
              <w:t>学号：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本实验通过碳排放、碳交易相关理论知识的讲授，掌握区域碳排放配额总量核定与初始分配方法、企业碳排放核算及报告编制、履约与处罚机制等。围绕“碳排放核算+碳配额发放+碳配额管理+碳配额交易”四大模块，对学生进行多方位虚拟仿真教学训练。掌握碳核算、碳配额分配、碳管理、碳交易整套流程，通过多次重复实验了解与实现利益最大化或成本最小化交易策略。掌握碳排放权市场交易规则和基本交易流程，包括开户、转账、交易方式、报价、行情解读等。激发学生对本专业课程的学习兴趣，提高学生的学习动力。践行绿色低碳理念、培养产业转型升级意识、坚定科技创新自信、提升生态文明素养。</w:t>
            </w: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实验原理：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碳评估及碳交易虚拟仿真实验项目是根据碳交易市场近年来的实践，抽象碳交易市场运行与管理机制，研究交易过程，运用3D场景、虚拟仿真情景在实验室重现碳交易运行机制。让学生身临其境、体验碳排放核算、碳配额发放、碳配额管理和碳配额交易具体情形。实验设计中运用了环境产权理论、环境公共治理理论、环境治理模式理论、低碳经济理论和交易理论等多学科的理论方法和工具。</w:t>
            </w: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  <w:p>
            <w:pPr>
              <w:spacing w:line="360" w:lineRule="auto"/>
              <w:ind w:firstLine="420" w:firstLineChars="20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实验器材：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计算机配置如下：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处理器：Inter（R）Core（TM）i5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主频：2.4GHz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内存：8GB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显卡：GTX 1050</w:t>
            </w: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实验考核明细：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uto"/>
          </w:tcPr>
          <w:tbl>
            <w:tblPr>
              <w:tblStyle w:val="4"/>
              <w:tblW w:w="7938" w:type="dxa"/>
              <w:tblInd w:w="15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47"/>
              <w:gridCol w:w="1750"/>
              <w:gridCol w:w="1087"/>
              <w:gridCol w:w="1488"/>
              <w:gridCol w:w="1482"/>
              <w:gridCol w:w="138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9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/>
                      <w:sz w:val="24"/>
                    </w:rPr>
                    <w:t>步骤序号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/>
                      <w:sz w:val="24"/>
                    </w:rPr>
                    <w:t>步骤目标要求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/>
                      <w:sz w:val="24"/>
                    </w:rPr>
                    <w:t>步骤合理用时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/>
                      <w:sz w:val="24"/>
                    </w:rPr>
                    <w:t>目标达成度赋分模型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/>
                      <w:sz w:val="24"/>
                    </w:rPr>
                    <w:t>步骤满分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rPr>
                      <w:rFonts w:hint="eastAsia" w:ascii="Times New Roman" w:hAnsi="Times New Roman" w:eastAsia="仿宋_GB2312"/>
                      <w:sz w:val="24"/>
                    </w:rPr>
                    <w:t>实际得分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第一模块</w:t>
                  </w:r>
                </w:p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实验简介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介绍实验的研究对象及培养学生的相关能力。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2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第一模块</w:t>
                  </w:r>
                </w:p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实验背景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介绍双碳背景、碳中和和碳达峰的概念、企业碳核算模式及方法以及什么事碳排放管理师。最后，完成考核题，题型为选择题（6*1分）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6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步骤一：初来乍到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引导学生代入角色“碳排放管理师”并引入系统引导角色“前辈”。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4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步骤二：企业上年度履约清缴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6分钟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进入场景“办公室”。点击触发电脑，登录企业一般账号，查看账户总览，填写递交配额（5分），按步骤完成履约递交。系统助手“前辈”演示企业首席代表的审核流程。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步骤三：开始碳评估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“前辈”向学生介绍碳评估的概念。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6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步骤四：基础理论学习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8分钟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以图文或视频的形式，学习企业碳排放核算边界、钢铁企业碳核算边界、钢铁企业碳排放核算方法、然后回答问题，题型为多选。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7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步骤五：企业上年度碳排放总量的计算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进入场景“钢铁厂”，根据“前辈”指引学习碳评估计算公式。根据小地图上的“！”找到需要学生触发的四个建筑物，每个建筑物可计算公式中的一类数据（4*3分）。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12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8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步骤六：填制企业碳排放总量报告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回到“办公室”场景，填写表格（4*2分）。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8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9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步骤七：递交核查与核查反馈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2分钟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与第三方机构的核查人员进行剧情对话。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2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10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步骤八：初始碳配额的计算与发放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使用“历史强度下降法”和“基准法”分别计算初始碳配额（5*2分）。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11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步骤九：预测企业当年度碳排放总量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按照系统提示，分别计算燃料燃烧排放二氧化碳、工业生产过程排放二氧化碳、净购入电力使用排放的二氧化碳、固碳产品隐含的排放（4*3分）。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12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t xml:space="preserve"> </w:t>
                  </w:r>
                  <w:r>
                    <w:t>12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12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第二模块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步骤十：碳交易成本估算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进入场景“办公室”，根据碳评估的结果，选择接下来的操作是“买入”或者“卖出”（5分）。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13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步骤十一：交易平台注册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了解交易规则，查看开户须知，并了解注册需要哪些资料。然后，填写预约注册信息。最后，根据“前辈”的提示来到“交易所”提交资料，通过邮件获得交易所需的配额账户和交易账户。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14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步骤十二：登录排放权交易所系统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回到场景“办公室”登录交易平台。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15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步骤十三：查看账户信息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查看本公司账户内的可交易额度。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16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步骤十四：交易方法介绍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学习三种交易方法。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17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步骤十五：选择交易方法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根据方法介绍，选择当前合适的交易方式（3分）。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3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18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步骤十六：大宗交易/电子竞价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①大宗交易：按照“前辈”提示完成大宗交易的流程，并选择最合适的报价进行交易。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②电子竞价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按照“前辈”提示完成大宗交易的流程，并选择最合适的报价进行交易。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15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15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19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第三模块考核题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10分钟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完成28道考核题，每题0.5分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14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0" w:hRule="atLeast"/>
              </w:trPr>
              <w:tc>
                <w:tcPr>
                  <w:tcW w:w="747" w:type="dxa"/>
                  <w:vAlign w:val="center"/>
                </w:tcPr>
                <w:p>
                  <w:pPr>
                    <w:spacing w:line="288" w:lineRule="auto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20</w:t>
                  </w:r>
                </w:p>
              </w:tc>
              <w:tc>
                <w:tcPr>
                  <w:tcW w:w="1750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第三模块</w:t>
                  </w:r>
                </w:p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步骤十七：实验结束并提交实验报告</w:t>
                  </w:r>
                </w:p>
              </w:tc>
              <w:tc>
                <w:tcPr>
                  <w:tcW w:w="1087" w:type="dxa"/>
                  <w:vAlign w:val="center"/>
                </w:tcPr>
                <w:p>
                  <w:pPr>
                    <w:spacing w:line="288" w:lineRule="auto"/>
                    <w:jc w:val="center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5分钟</w:t>
                  </w:r>
                </w:p>
              </w:tc>
              <w:tc>
                <w:tcPr>
                  <w:tcW w:w="1488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查看结束语并提交实验报告</w:t>
                  </w:r>
                </w:p>
              </w:tc>
              <w:tc>
                <w:tcPr>
                  <w:tcW w:w="1482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仿宋" w:hAnsi="仿宋" w:eastAsia="仿宋"/>
                      <w:szCs w:val="21"/>
                    </w:rPr>
                  </w:pPr>
                  <w:r>
                    <w:rPr>
                      <w:rFonts w:hint="eastAsia" w:ascii="仿宋" w:hAnsi="仿宋" w:eastAsia="仿宋"/>
                      <w:szCs w:val="21"/>
                    </w:rPr>
                    <w:t>0</w:t>
                  </w:r>
                </w:p>
              </w:tc>
              <w:tc>
                <w:tcPr>
                  <w:tcW w:w="1384" w:type="dxa"/>
                  <w:vAlign w:val="center"/>
                </w:tcPr>
                <w:p>
                  <w:pPr>
                    <w:spacing w:line="288" w:lineRule="auto"/>
                    <w:jc w:val="left"/>
                    <w:rPr>
                      <w:rFonts w:ascii="Times New Roman" w:hAnsi="Times New Roman" w:eastAsia="仿宋_GB2312"/>
                      <w:sz w:val="24"/>
                    </w:rPr>
                  </w:pPr>
                  <w:r>
                    <w:t xml:space="preserve"> </w:t>
                  </w:r>
                  <w:r>
                    <w:t>0</w:t>
                  </w:r>
                </w:p>
              </w:tc>
            </w:tr>
          </w:tbl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</w:rPr>
              <w:t>本实验满分100分，共20个实验步骤。</w:t>
            </w:r>
          </w:p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评语：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auto"/>
          </w:tcPr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t>良好：掌握了基本操作技能和基础知识，较好的完成碳评估和碳交易任务，达到大纲中规定的主要要求。</w:t>
            </w:r>
          </w:p>
          <w:p>
            <w:pPr>
              <w:spacing w:line="360" w:lineRule="auto"/>
              <w:rPr>
                <w:szCs w:val="21"/>
              </w:rPr>
            </w:pP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D7D7D7" w:themeFill="background1" w:themeFillShade="D8"/>
          </w:tcPr>
          <w:p>
            <w:pPr>
              <w:spacing w:line="360" w:lineRule="auto"/>
            </w:pPr>
            <w:r>
              <w:rPr>
                <w:rFonts w:hint="eastAsia"/>
              </w:rPr>
              <w:t>实验成绩：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auto"/>
          </w:tcPr>
          <w:p>
            <w:pPr>
              <w:spacing w:line="360" w:lineRule="auto"/>
              <w:rPr>
                <w:szCs w:val="21"/>
              </w:rPr>
            </w:pPr>
            <w:r>
              <w:t>75/满分100分</w:t>
            </w:r>
          </w:p>
        </w:tc>
      </w:tr>
    </w:tbl>
    <w:p/>
    <w:p>
      <w:pPr>
        <w:spacing w:line="360" w:lineRule="auto"/>
        <w:rPr>
          <w:b/>
          <w:bCs/>
          <w:sz w:val="32"/>
          <w:szCs w:val="32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3MTE0MzY4NGFkZDY0YWM3N2NiNmYzMTVjY2M1Y2YifQ=="/>
  </w:docVars>
  <w:rsids>
    <w:rsidRoot w:val="38AB78E5"/>
    <w:rsid w:val="000261B0"/>
    <w:rsid w:val="00101D17"/>
    <w:rsid w:val="001C4220"/>
    <w:rsid w:val="003C3CBE"/>
    <w:rsid w:val="00436D69"/>
    <w:rsid w:val="005C68D6"/>
    <w:rsid w:val="005D61C6"/>
    <w:rsid w:val="006E771D"/>
    <w:rsid w:val="007019F4"/>
    <w:rsid w:val="0076470E"/>
    <w:rsid w:val="009429B7"/>
    <w:rsid w:val="00996753"/>
    <w:rsid w:val="00A026A7"/>
    <w:rsid w:val="01CE6798"/>
    <w:rsid w:val="02502671"/>
    <w:rsid w:val="02CD3CC1"/>
    <w:rsid w:val="0A1C07F7"/>
    <w:rsid w:val="11C53FC9"/>
    <w:rsid w:val="13C7650B"/>
    <w:rsid w:val="16C531D6"/>
    <w:rsid w:val="17B31280"/>
    <w:rsid w:val="17F83137"/>
    <w:rsid w:val="1832236F"/>
    <w:rsid w:val="19257F5C"/>
    <w:rsid w:val="1F6707C5"/>
    <w:rsid w:val="203252E6"/>
    <w:rsid w:val="256A1AB8"/>
    <w:rsid w:val="28942A08"/>
    <w:rsid w:val="2F1562EC"/>
    <w:rsid w:val="31D20AC3"/>
    <w:rsid w:val="32340DB8"/>
    <w:rsid w:val="32E32C96"/>
    <w:rsid w:val="35DB7EC8"/>
    <w:rsid w:val="35F42D38"/>
    <w:rsid w:val="36CF2697"/>
    <w:rsid w:val="38AB78E5"/>
    <w:rsid w:val="3B514788"/>
    <w:rsid w:val="3D325B8E"/>
    <w:rsid w:val="3D490473"/>
    <w:rsid w:val="3F6902F3"/>
    <w:rsid w:val="41471C35"/>
    <w:rsid w:val="41525875"/>
    <w:rsid w:val="467F626F"/>
    <w:rsid w:val="46A936CA"/>
    <w:rsid w:val="49BD484D"/>
    <w:rsid w:val="4D4B1038"/>
    <w:rsid w:val="4E0F451C"/>
    <w:rsid w:val="4E4A473D"/>
    <w:rsid w:val="4EB90211"/>
    <w:rsid w:val="51385D77"/>
    <w:rsid w:val="546155E5"/>
    <w:rsid w:val="56B52866"/>
    <w:rsid w:val="5D424896"/>
    <w:rsid w:val="5DD46E27"/>
    <w:rsid w:val="5F4E7745"/>
    <w:rsid w:val="687E630D"/>
    <w:rsid w:val="6A002D52"/>
    <w:rsid w:val="6C50396F"/>
    <w:rsid w:val="6CA616DB"/>
    <w:rsid w:val="721E46BD"/>
    <w:rsid w:val="75DE663D"/>
    <w:rsid w:val="760A7432"/>
    <w:rsid w:val="77CF6DF8"/>
    <w:rsid w:val="799D05BD"/>
    <w:rsid w:val="7B0F7299"/>
    <w:rsid w:val="7CD741CA"/>
    <w:rsid w:val="7F7E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0"/>
    <w:rPr>
      <w:kern w:val="2"/>
      <w:sz w:val="18"/>
      <w:szCs w:val="18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footnotes" Target="footnotes.xml"/>
  <Relationship Id="rId4" Type="http://schemas.openxmlformats.org/officeDocument/2006/relationships/endnotes" Target="endnotes.xml"/>
  <Relationship Id="rId5" Type="http://schemas.openxmlformats.org/officeDocument/2006/relationships/theme" Target="theme/theme1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322</Words>
  <Characters>1839</Characters>
  <Lines>15</Lines>
  <Paragraphs>4</Paragraphs>
  <TotalTime>257</TotalTime>
  <ScaleCrop>false</ScaleCrop>
  <LinksUpToDate>false</LinksUpToDate>
  <CharactersWithSpaces>2157</CharactersWithSpaces>
  <Application>WPS Office_12.1.0.16729_F1E327BC-269C-435d-A152-05C5408002CA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2023-04-01T03:11:00Z</dcterms:created>
  <dc:creator>卷毛陈</dc:creator>
  <lastModifiedBy>WPS_1684833948</lastModifiedBy>
  <dcterms:modified xsi:type="dcterms:W3CDTF">2024-05-09T08:02:54Z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0BFD3A5568D64B51BB634EFDCD50DE9D</vt:lpwstr>
  </property>
</Properties>
</file>