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Gill Sans" w:cs="Gill Sans" w:eastAsia="Gill Sans" w:hAnsi="Gill Sans"/>
          <w:sz w:val="24"/>
          <w:szCs w:val="24"/>
        </w:rPr>
      </w:pPr>
      <w:r w:rsidDel="00000000" w:rsidR="00000000" w:rsidRPr="00000000">
        <w:rPr>
          <w:rFonts w:ascii="Gill Sans" w:cs="Gill Sans" w:eastAsia="Gill Sans" w:hAnsi="Gill Sans"/>
          <w:b w:val="1"/>
          <w:color w:val="000000"/>
          <w:rtl w:val="0"/>
        </w:rPr>
        <w:t xml:space="preserve">README: Updates to the 2019-20 Endline Report Template</w:t>
      </w:r>
      <w:r w:rsidDel="00000000" w:rsidR="00000000" w:rsidRPr="00000000">
        <w:rPr>
          <w:rtl w:val="0"/>
        </w:rPr>
      </w:r>
    </w:p>
    <w:p w:rsidR="00000000" w:rsidDel="00000000" w:rsidP="00000000" w:rsidRDefault="00000000" w:rsidRPr="00000000" w14:paraId="00000002">
      <w:pPr>
        <w:pageBreakBefore w:val="0"/>
        <w:spacing w:after="0" w:line="240"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Gill Sans" w:cs="Gill Sans" w:eastAsia="Gill Sans" w:hAnsi="Gill Sans"/>
          <w:sz w:val="24"/>
          <w:szCs w:val="24"/>
        </w:rPr>
      </w:pPr>
      <w:r w:rsidDel="00000000" w:rsidR="00000000" w:rsidRPr="00000000">
        <w:rPr>
          <w:rFonts w:ascii="Gill Sans" w:cs="Gill Sans" w:eastAsia="Gill Sans" w:hAnsi="Gill Sans"/>
          <w:color w:val="000000"/>
          <w:rtl w:val="0"/>
        </w:rPr>
        <w:t xml:space="preserve">This document logs any changes made to the Guide to Feed the Future 2019-20 Endline Report Template from the 30 January 2020 (which can be found in the archive subfolder):</w:t>
      </w:r>
      <w:r w:rsidDel="00000000" w:rsidR="00000000" w:rsidRPr="00000000">
        <w:rPr>
          <w:rtl w:val="0"/>
        </w:rPr>
      </w:r>
    </w:p>
    <w:p w:rsidR="00000000" w:rsidDel="00000000" w:rsidP="00000000" w:rsidRDefault="00000000" w:rsidRPr="00000000" w14:paraId="00000004">
      <w:pPr>
        <w:pageBreakBefore w:val="0"/>
        <w:spacing w:after="0" w:line="240" w:lineRule="auto"/>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5">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20221207 - </w:t>
      </w:r>
    </w:p>
    <w:p w:rsidR="00000000" w:rsidDel="00000000" w:rsidP="00000000" w:rsidRDefault="00000000" w:rsidRPr="00000000" w14:paraId="00000006">
      <w:pPr>
        <w:pageBreakBefore w:val="0"/>
        <w:numPr>
          <w:ilvl w:val="0"/>
          <w:numId w:val="3"/>
        </w:numPr>
        <w:spacing w:after="24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p-value and sig. level columns were removed from Table 4.1.2, as were table notes a and b because performing a statistical test of difference over time is not required. The following note was added: “</w:t>
      </w:r>
      <w:r w:rsidDel="00000000" w:rsidR="00000000" w:rsidRPr="00000000">
        <w:rPr>
          <w:rFonts w:ascii="Roboto" w:cs="Roboto" w:eastAsia="Roboto" w:hAnsi="Roboto"/>
          <w:sz w:val="20"/>
          <w:szCs w:val="20"/>
          <w:highlight w:val="white"/>
          <w:rtl w:val="0"/>
        </w:rPr>
        <w:t xml:space="preserve">Significance tests of difference over time were not performed due the lack of an appropriate test that accounts for the complex survey design. However, confidence intervals are presented to aid in the interpretation of the median estimates.”</w:t>
      </w:r>
      <w:r w:rsidDel="00000000" w:rsidR="00000000" w:rsidRPr="00000000">
        <w:rPr>
          <w:rtl w:val="0"/>
        </w:rPr>
      </w:r>
    </w:p>
    <w:p w:rsidR="00000000" w:rsidDel="00000000" w:rsidP="00000000" w:rsidRDefault="00000000" w:rsidRPr="00000000" w14:paraId="00000007">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20201210 -</w:t>
      </w:r>
    </w:p>
    <w:p w:rsidR="00000000" w:rsidDel="00000000" w:rsidP="00000000" w:rsidRDefault="00000000" w:rsidRPr="00000000" w14:paraId="00000008">
      <w:pPr>
        <w:pageBreakBefore w:val="0"/>
        <w:numPr>
          <w:ilvl w:val="0"/>
          <w:numId w:val="1"/>
        </w:numPr>
        <w:spacing w:after="0" w:afterAutospacing="0" w:line="240" w:lineRule="auto"/>
        <w:ind w:left="720" w:hanging="360"/>
        <w:rPr>
          <w:rFonts w:ascii="Arial" w:cs="Arial" w:eastAsia="Arial" w:hAnsi="Arial"/>
        </w:rPr>
      </w:pPr>
      <w:r w:rsidDel="00000000" w:rsidR="00000000" w:rsidRPr="00000000">
        <w:rPr>
          <w:rFonts w:ascii="Gill Sans" w:cs="Gill Sans" w:eastAsia="Gill Sans" w:hAnsi="Gill Sans"/>
          <w:rtl w:val="0"/>
        </w:rPr>
        <w:t xml:space="preserve">The following Chapter 3 tables were updated so that the n’s presented in tables where the results sum to 100% across all categories (e.g., educational attainment and age) are the total n’s—not the category n’s—because the %’s being compared over time are the %s of the total—not the individual categories:</w:t>
      </w:r>
    </w:p>
    <w:p w:rsidR="00000000" w:rsidDel="00000000" w:rsidP="00000000" w:rsidRDefault="00000000" w:rsidRPr="00000000" w14:paraId="00000009">
      <w:pPr>
        <w:pageBreakBefore w:val="0"/>
        <w:numPr>
          <w:ilvl w:val="1"/>
          <w:numId w:val="1"/>
        </w:numPr>
        <w:spacing w:after="0" w:afterAutospacing="0" w:line="240" w:lineRule="auto"/>
        <w:ind w:left="1440" w:hanging="360"/>
        <w:rPr>
          <w:rFonts w:ascii="Arial" w:cs="Arial" w:eastAsia="Arial" w:hAnsi="Arial"/>
        </w:rPr>
      </w:pPr>
      <w:r w:rsidDel="00000000" w:rsidR="00000000" w:rsidRPr="00000000">
        <w:rPr>
          <w:rFonts w:ascii="Gill Sans" w:cs="Gill Sans" w:eastAsia="Gill Sans" w:hAnsi="Gill Sans"/>
          <w:rtl w:val="0"/>
        </w:rPr>
        <w:t xml:space="preserve">Table 3.1.1 (HH educational attainment)</w:t>
      </w:r>
    </w:p>
    <w:p w:rsidR="00000000" w:rsidDel="00000000" w:rsidP="00000000" w:rsidRDefault="00000000" w:rsidRPr="00000000" w14:paraId="0000000A">
      <w:pPr>
        <w:pageBreakBefore w:val="0"/>
        <w:numPr>
          <w:ilvl w:val="1"/>
          <w:numId w:val="1"/>
        </w:numPr>
        <w:spacing w:after="0" w:afterAutospacing="0" w:line="240" w:lineRule="auto"/>
        <w:ind w:left="1440" w:hanging="360"/>
        <w:rPr>
          <w:rFonts w:ascii="Arial" w:cs="Arial" w:eastAsia="Arial" w:hAnsi="Arial"/>
        </w:rPr>
      </w:pPr>
      <w:r w:rsidDel="00000000" w:rsidR="00000000" w:rsidRPr="00000000">
        <w:rPr>
          <w:rFonts w:ascii="Gill Sans" w:cs="Gill Sans" w:eastAsia="Gill Sans" w:hAnsi="Gill Sans"/>
          <w:rtl w:val="0"/>
        </w:rPr>
        <w:t xml:space="preserve">Tables 3.1.2 &amp; 3.1.3 (characteristics of primary adult decision-makers)</w:t>
      </w:r>
    </w:p>
    <w:p w:rsidR="00000000" w:rsidDel="00000000" w:rsidP="00000000" w:rsidRDefault="00000000" w:rsidRPr="00000000" w14:paraId="0000000B">
      <w:pPr>
        <w:pageBreakBefore w:val="0"/>
        <w:numPr>
          <w:ilvl w:val="1"/>
          <w:numId w:val="1"/>
        </w:numPr>
        <w:spacing w:after="0" w:afterAutospacing="0" w:line="240" w:lineRule="auto"/>
        <w:ind w:left="1440" w:hanging="360"/>
        <w:rPr>
          <w:rFonts w:ascii="Arial" w:cs="Arial" w:eastAsia="Arial" w:hAnsi="Arial"/>
        </w:rPr>
      </w:pPr>
      <w:r w:rsidDel="00000000" w:rsidR="00000000" w:rsidRPr="00000000">
        <w:rPr>
          <w:rFonts w:ascii="Gill Sans" w:cs="Gill Sans" w:eastAsia="Gill Sans" w:hAnsi="Gill Sans"/>
          <w:rtl w:val="0"/>
        </w:rPr>
        <w:t xml:space="preserve">Table 3.2.3 (individual educational attainment)</w:t>
      </w:r>
    </w:p>
    <w:p w:rsidR="00000000" w:rsidDel="00000000" w:rsidP="00000000" w:rsidRDefault="00000000" w:rsidRPr="00000000" w14:paraId="0000000C">
      <w:pPr>
        <w:pageBreakBefore w:val="0"/>
        <w:numPr>
          <w:ilvl w:val="1"/>
          <w:numId w:val="1"/>
        </w:numPr>
        <w:spacing w:after="0" w:afterAutospacing="0" w:line="240" w:lineRule="auto"/>
        <w:ind w:left="1440" w:hanging="360"/>
        <w:rPr>
          <w:rFonts w:ascii="Arial" w:cs="Arial" w:eastAsia="Arial" w:hAnsi="Arial"/>
        </w:rPr>
      </w:pPr>
      <w:r w:rsidDel="00000000" w:rsidR="00000000" w:rsidRPr="00000000">
        <w:rPr>
          <w:rFonts w:ascii="Gill Sans" w:cs="Gill Sans" w:eastAsia="Gill Sans" w:hAnsi="Gill Sans"/>
          <w:rtl w:val="0"/>
        </w:rPr>
        <w:t xml:space="preserve">Table 3.3.1 (dwelling construction materials)</w:t>
      </w:r>
    </w:p>
    <w:p w:rsidR="00000000" w:rsidDel="00000000" w:rsidP="00000000" w:rsidRDefault="00000000" w:rsidRPr="00000000" w14:paraId="0000000D">
      <w:pPr>
        <w:pageBreakBefore w:val="0"/>
        <w:numPr>
          <w:ilvl w:val="1"/>
          <w:numId w:val="1"/>
        </w:numPr>
        <w:spacing w:after="0" w:line="240" w:lineRule="auto"/>
        <w:ind w:left="1440" w:hanging="360"/>
        <w:rPr>
          <w:rFonts w:ascii="Arial" w:cs="Arial" w:eastAsia="Arial" w:hAnsi="Arial"/>
        </w:rPr>
      </w:pPr>
      <w:r w:rsidDel="00000000" w:rsidR="00000000" w:rsidRPr="00000000">
        <w:rPr>
          <w:rFonts w:ascii="Gill Sans" w:cs="Gill Sans" w:eastAsia="Gill Sans" w:hAnsi="Gill Sans"/>
          <w:rtl w:val="0"/>
        </w:rPr>
        <w:t xml:space="preserve">Table 3.4.1 (source of drinking water &amp; main sanitation facility)</w:t>
      </w:r>
    </w:p>
    <w:p w:rsidR="00000000" w:rsidDel="00000000" w:rsidP="00000000" w:rsidRDefault="00000000" w:rsidRPr="00000000" w14:paraId="0000000E">
      <w:pPr>
        <w:pageBreakBefore w:val="0"/>
        <w:numPr>
          <w:ilvl w:val="0"/>
          <w:numId w:val="1"/>
        </w:numPr>
        <w:spacing w:after="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updates affected some of the table notes (content or order), so please check those as well.</w:t>
      </w:r>
    </w:p>
    <w:p w:rsidR="00000000" w:rsidDel="00000000" w:rsidP="00000000" w:rsidRDefault="00000000" w:rsidRPr="00000000" w14:paraId="0000000F">
      <w:pPr>
        <w:pageBreakBefore w:val="0"/>
        <w:spacing w:after="240" w:line="240" w:lineRule="auto"/>
        <w:ind w:left="720" w:firstLine="0"/>
        <w:rPr>
          <w:rFonts w:ascii="Gill Sans" w:cs="Gill Sans" w:eastAsia="Gill Sans" w:hAnsi="Gill Sans"/>
        </w:rPr>
      </w:pPr>
      <w:r w:rsidDel="00000000" w:rsidR="00000000" w:rsidRPr="00000000">
        <w:rPr>
          <w:rFonts w:ascii="Gill Sans" w:cs="Gill Sans" w:eastAsia="Gill Sans" w:hAnsi="Gill Sans"/>
          <w:rtl w:val="0"/>
        </w:rPr>
        <w:t xml:space="preserve">Note:  The estimates and accompanying statistics aren’t affected (unless the chi2 test of difference was not conducted because 1+ n was noted to be &lt;30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20201026 - </w:t>
      </w:r>
    </w:p>
    <w:p w:rsidR="00000000" w:rsidDel="00000000" w:rsidP="00000000" w:rsidRDefault="00000000" w:rsidRPr="00000000" w14:paraId="00000011">
      <w:pPr>
        <w:pageBreakBefore w:val="0"/>
        <w:numPr>
          <w:ilvl w:val="0"/>
          <w:numId w:val="6"/>
        </w:numPr>
        <w:spacing w:after="0" w:afterAutospacing="0" w:before="24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Updated Table 2.1.3 in the report template and Excel table shells to read “Number of eligible children whose caregiver was interviewed” for Children under 5 years of age and for Children under 2 years of age. The table had read “Number of caregivers of eligible children interviewed,” which is incorrect because one caregiver could have multiple eligible children.</w:t>
      </w:r>
    </w:p>
    <w:p w:rsidR="00000000" w:rsidDel="00000000" w:rsidP="00000000" w:rsidRDefault="00000000" w:rsidRPr="00000000" w14:paraId="00000012">
      <w:pPr>
        <w:pageBreakBefore w:val="0"/>
        <w:numPr>
          <w:ilvl w:val="0"/>
          <w:numId w:val="6"/>
        </w:numPr>
        <w:spacing w:after="0" w:afterAutospacing="0" w:before="0" w:beforeAutospacing="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Updated Table A1.2.1 to read:</w:t>
      </w:r>
    </w:p>
    <w:p w:rsidR="00000000" w:rsidDel="00000000" w:rsidP="00000000" w:rsidRDefault="00000000" w:rsidRPr="00000000" w14:paraId="00000013">
      <w:pPr>
        <w:pageBreakBefore w:val="0"/>
        <w:numPr>
          <w:ilvl w:val="1"/>
          <w:numId w:val="6"/>
        </w:numPr>
        <w:spacing w:after="0" w:afterAutospacing="0" w:before="0" w:beforeAutospacing="0" w:line="24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“Number of eligible children whose caregiver was interviewed” for Module 5. The table had read “Number of caregivers of eligible children interviewed,” which is incorrect because one caregiver could have multiple eligible children.</w:t>
      </w:r>
    </w:p>
    <w:p w:rsidR="00000000" w:rsidDel="00000000" w:rsidP="00000000" w:rsidRDefault="00000000" w:rsidRPr="00000000" w14:paraId="00000014">
      <w:pPr>
        <w:pageBreakBefore w:val="0"/>
        <w:numPr>
          <w:ilvl w:val="1"/>
          <w:numId w:val="6"/>
        </w:numPr>
        <w:spacing w:after="240" w:before="0" w:beforeAutospacing="0" w:line="240" w:lineRule="auto"/>
        <w:ind w:left="1440" w:hanging="360"/>
        <w:rPr>
          <w:rFonts w:ascii="Gill Sans" w:cs="Gill Sans" w:eastAsia="Gill Sans" w:hAnsi="Gill Sans"/>
        </w:rPr>
      </w:pPr>
      <w:r w:rsidDel="00000000" w:rsidR="00000000" w:rsidRPr="00000000">
        <w:rPr>
          <w:rFonts w:ascii="Gill Sans" w:cs="Gill Sans" w:eastAsia="Gill Sans" w:hAnsi="Gill Sans"/>
          <w:rtl w:val="0"/>
        </w:rPr>
        <w:t xml:space="preserve">“Number of eligible children measured” for Module 5A. The table had read “Number of caregivers of eligible children interviewed,” which is incorrect because the children themselves are measured/weighted in the module.</w:t>
      </w:r>
    </w:p>
    <w:p w:rsidR="00000000" w:rsidDel="00000000" w:rsidP="00000000" w:rsidRDefault="00000000" w:rsidRPr="00000000" w14:paraId="00000015">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20201016 -</w:t>
      </w:r>
    </w:p>
    <w:p w:rsidR="00000000" w:rsidDel="00000000" w:rsidP="00000000" w:rsidRDefault="00000000" w:rsidRPr="00000000" w14:paraId="00000016">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 was made to the report template and Excel table shells:</w:t>
      </w:r>
    </w:p>
    <w:p w:rsidR="00000000" w:rsidDel="00000000" w:rsidP="00000000" w:rsidRDefault="00000000" w:rsidRPr="00000000" w14:paraId="00000017">
      <w:pPr>
        <w:pageBreakBefore w:val="0"/>
        <w:numPr>
          <w:ilvl w:val="0"/>
          <w:numId w:val="8"/>
        </w:numPr>
        <w:spacing w:after="24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In table 5.2.2, the “Est.” column heading was changed to “%,” and the “a” footnote was moved from “Est.</w:t>
      </w:r>
      <w:r w:rsidDel="00000000" w:rsidR="00000000" w:rsidRPr="00000000">
        <w:rPr>
          <w:rFonts w:ascii="Gill Sans" w:cs="Gill Sans" w:eastAsia="Gill Sans" w:hAnsi="Gill Sans"/>
          <w:vertAlign w:val="superscript"/>
          <w:rtl w:val="0"/>
        </w:rPr>
        <w:t xml:space="preserve">a</w:t>
      </w:r>
      <w:r w:rsidDel="00000000" w:rsidR="00000000" w:rsidRPr="00000000">
        <w:rPr>
          <w:rFonts w:ascii="Gill Sans" w:cs="Gill Sans" w:eastAsia="Gill Sans" w:hAnsi="Gill Sans"/>
          <w:rtl w:val="0"/>
        </w:rPr>
        <w:t xml:space="preserve">” to “n</w:t>
      </w:r>
      <w:r w:rsidDel="00000000" w:rsidR="00000000" w:rsidRPr="00000000">
        <w:rPr>
          <w:rFonts w:ascii="Gill Sans" w:cs="Gill Sans" w:eastAsia="Gill Sans" w:hAnsi="Gill Sans"/>
          <w:vertAlign w:val="superscript"/>
          <w:rtl w:val="0"/>
        </w:rPr>
        <w:t xml:space="preserve">a</w:t>
      </w:r>
      <w:r w:rsidDel="00000000" w:rsidR="00000000" w:rsidRPr="00000000">
        <w:rPr>
          <w:rFonts w:ascii="Gill Sans" w:cs="Gill Sans" w:eastAsia="Gill Sans" w:hAnsi="Gill Sans"/>
          <w:rtl w:val="0"/>
        </w:rPr>
        <w:t xml:space="preserve">”.</w:t>
      </w:r>
    </w:p>
    <w:p w:rsidR="00000000" w:rsidDel="00000000" w:rsidP="00000000" w:rsidRDefault="00000000" w:rsidRPr="00000000" w14:paraId="00000018">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20200917 -</w:t>
      </w:r>
    </w:p>
    <w:p w:rsidR="00000000" w:rsidDel="00000000" w:rsidP="00000000" w:rsidRDefault="00000000" w:rsidRPr="00000000" w14:paraId="00000019">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updates were made to the report template and Excel table shells:</w:t>
      </w:r>
    </w:p>
    <w:p w:rsidR="00000000" w:rsidDel="00000000" w:rsidP="00000000" w:rsidRDefault="00000000" w:rsidRPr="00000000" w14:paraId="0000001A">
      <w:pPr>
        <w:pageBreakBefore w:val="0"/>
        <w:numPr>
          <w:ilvl w:val="0"/>
          <w:numId w:val="2"/>
        </w:numPr>
        <w:spacing w:after="24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Removed the intra-cluster correlation coefficient (ICC) column and footnote from Table A1.1. RFS is no longer requesting that the ICC be reported.</w:t>
      </w:r>
    </w:p>
    <w:p w:rsidR="00000000" w:rsidDel="00000000" w:rsidP="00000000" w:rsidRDefault="00000000" w:rsidRPr="00000000" w14:paraId="0000001B">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20200911 -</w:t>
      </w:r>
    </w:p>
    <w:p w:rsidR="00000000" w:rsidDel="00000000" w:rsidP="00000000" w:rsidRDefault="00000000" w:rsidRPr="00000000" w14:paraId="0000001C">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updates were made to the report template:</w:t>
      </w:r>
    </w:p>
    <w:p w:rsidR="00000000" w:rsidDel="00000000" w:rsidP="00000000" w:rsidRDefault="00000000" w:rsidRPr="00000000" w14:paraId="0000001D">
      <w:pPr>
        <w:pageBreakBefore w:val="0"/>
        <w:numPr>
          <w:ilvl w:val="0"/>
          <w:numId w:val="9"/>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footnotes revised in the 20200710 version of the report template were cleaned (e.g., ordering of footnotes and wording for consistency). NOTE: No substantial changes were made to the report content; this version is simply cleaner.</w:t>
      </w:r>
    </w:p>
    <w:p w:rsidR="00000000" w:rsidDel="00000000" w:rsidP="00000000" w:rsidRDefault="00000000" w:rsidRPr="00000000" w14:paraId="0000001E">
      <w:pPr>
        <w:pageBreakBefore w:val="0"/>
        <w:numPr>
          <w:ilvl w:val="0"/>
          <w:numId w:val="9"/>
        </w:numPr>
        <w:spacing w:after="24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In the notes for Table A1.1, for the ICC acronym, “intercorrelation coefficient” was corrected to be “intra-correlation coefficient.”</w:t>
      </w:r>
    </w:p>
    <w:p w:rsidR="00000000" w:rsidDel="00000000" w:rsidP="00000000" w:rsidRDefault="00000000" w:rsidRPr="00000000" w14:paraId="0000001F">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updates were made to the Excel table shells, in alignment with the revisions made to the 20200710 and 20200911 versions of the report template:</w:t>
      </w:r>
    </w:p>
    <w:p w:rsidR="00000000" w:rsidDel="00000000" w:rsidP="00000000" w:rsidRDefault="00000000" w:rsidRPr="00000000" w14:paraId="00000020">
      <w:pPr>
        <w:pageBreakBefore w:val="0"/>
        <w:numPr>
          <w:ilvl w:val="0"/>
          <w:numId w:val="4"/>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shading in all p-value and “Sig.” fields in results tables that had been greyed out for disaggregate categories has been removed because they should be populated when completing the tables.</w:t>
      </w:r>
    </w:p>
    <w:p w:rsidR="00000000" w:rsidDel="00000000" w:rsidP="00000000" w:rsidRDefault="00000000" w:rsidRPr="00000000" w14:paraId="00000021">
      <w:pPr>
        <w:pageBreakBefore w:val="0"/>
        <w:numPr>
          <w:ilvl w:val="0"/>
          <w:numId w:val="4"/>
        </w:numPr>
        <w:spacing w:after="0" w:afterAutospacing="0" w:before="0" w:beforeAutospacing="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The footnotes for results tables have been updated to more clearly reflect which estimates and disaggregate categories are based on de jure and de facto household members.</w:t>
      </w:r>
    </w:p>
    <w:p w:rsidR="00000000" w:rsidDel="00000000" w:rsidP="00000000" w:rsidRDefault="00000000" w:rsidRPr="00000000" w14:paraId="00000022">
      <w:pPr>
        <w:pageBreakBefore w:val="0"/>
        <w:numPr>
          <w:ilvl w:val="0"/>
          <w:numId w:val="4"/>
        </w:numPr>
        <w:spacing w:after="0" w:afterAutospacing="0" w:before="0" w:beforeAutospacing="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The footnotes revised in the 20200710 version of the report template were cleaned (e.g., ordering of footnotes and wording for consistency).</w:t>
      </w:r>
    </w:p>
    <w:p w:rsidR="00000000" w:rsidDel="00000000" w:rsidP="00000000" w:rsidRDefault="00000000" w:rsidRPr="00000000" w14:paraId="00000023">
      <w:pPr>
        <w:pageBreakBefore w:val="0"/>
        <w:numPr>
          <w:ilvl w:val="0"/>
          <w:numId w:val="4"/>
        </w:numPr>
        <w:spacing w:after="240" w:before="0" w:beforeAutospacing="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In the notes for Table A1.1, for the ICC acronym, “intercorrelation coefficient” was corrected to be “intra-correlation coefficient.”</w:t>
      </w:r>
    </w:p>
    <w:p w:rsidR="00000000" w:rsidDel="00000000" w:rsidP="00000000" w:rsidRDefault="00000000" w:rsidRPr="00000000" w14:paraId="00000024">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20200710 - </w:t>
      </w:r>
    </w:p>
    <w:p w:rsidR="00000000" w:rsidDel="00000000" w:rsidP="00000000" w:rsidRDefault="00000000" w:rsidRPr="00000000" w14:paraId="00000025">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The following updates were made to the report template. Please note that the Excel file has not yet been updated.</w:t>
      </w:r>
    </w:p>
    <w:p w:rsidR="00000000" w:rsidDel="00000000" w:rsidP="00000000" w:rsidRDefault="00000000" w:rsidRPr="00000000" w14:paraId="00000026">
      <w:pPr>
        <w:pageBreakBefore w:val="0"/>
        <w:numPr>
          <w:ilvl w:val="0"/>
          <w:numId w:val="5"/>
        </w:numPr>
        <w:spacing w:after="0" w:afterAutospacing="0" w:before="24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shading in all p-value and “Sig.” fields in results tables that had been greyed out for disaggregate categories has been removed because they should be populated when completing the tables.</w:t>
      </w:r>
    </w:p>
    <w:p w:rsidR="00000000" w:rsidDel="00000000" w:rsidP="00000000" w:rsidRDefault="00000000" w:rsidRPr="00000000" w14:paraId="00000027">
      <w:pPr>
        <w:pageBreakBefore w:val="0"/>
        <w:numPr>
          <w:ilvl w:val="0"/>
          <w:numId w:val="5"/>
        </w:numPr>
        <w:spacing w:after="240" w:before="0" w:beforeAutospacing="0" w:line="240"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footnotes for results tables have been updated to more clearly reflect which estimates and disaggregate categories are based on de jure and de facto household members.</w:t>
      </w:r>
    </w:p>
    <w:p w:rsidR="00000000" w:rsidDel="00000000" w:rsidP="00000000" w:rsidRDefault="00000000" w:rsidRPr="00000000" w14:paraId="00000028">
      <w:pPr>
        <w:pageBreakBefore w:val="0"/>
        <w:spacing w:after="240" w:before="240" w:line="240" w:lineRule="auto"/>
        <w:rPr>
          <w:rFonts w:ascii="Gill Sans" w:cs="Gill Sans" w:eastAsia="Gill Sans" w:hAnsi="Gill Sans"/>
        </w:rPr>
      </w:pPr>
      <w:r w:rsidDel="00000000" w:rsidR="00000000" w:rsidRPr="00000000">
        <w:rPr>
          <w:rFonts w:ascii="Gill Sans" w:cs="Gill Sans" w:eastAsia="Gill Sans" w:hAnsi="Gill Sans"/>
          <w:rtl w:val="0"/>
        </w:rPr>
        <w:t xml:space="preserve">20200601 - </w:t>
      </w:r>
    </w:p>
    <w:p w:rsidR="00000000" w:rsidDel="00000000" w:rsidP="00000000" w:rsidRDefault="00000000" w:rsidRPr="00000000" w14:paraId="00000029">
      <w:pPr>
        <w:pageBreakBefore w:val="0"/>
        <w:shd w:fill="ffffff" w:val="clear"/>
        <w:spacing w:after="0" w:line="276" w:lineRule="auto"/>
        <w:ind w:left="0" w:firstLine="0"/>
        <w:rPr>
          <w:rFonts w:ascii="Gill Sans" w:cs="Gill Sans" w:eastAsia="Gill Sans" w:hAnsi="Gill Sans"/>
        </w:rPr>
      </w:pPr>
      <w:r w:rsidDel="00000000" w:rsidR="00000000" w:rsidRPr="00000000">
        <w:rPr>
          <w:rFonts w:ascii="Gill Sans" w:cs="Gill Sans" w:eastAsia="Gill Sans" w:hAnsi="Gill Sans"/>
          <w:rtl w:val="0"/>
        </w:rPr>
        <w:t xml:space="preserve">The following updates were made to the specified report tables in the report template and in the Excel file:</w:t>
      </w:r>
    </w:p>
    <w:p w:rsidR="00000000" w:rsidDel="00000000" w:rsidP="00000000" w:rsidRDefault="00000000" w:rsidRPr="00000000" w14:paraId="0000002A">
      <w:pPr>
        <w:pageBreakBefore w:val="0"/>
        <w:numPr>
          <w:ilvl w:val="0"/>
          <w:numId w:val="7"/>
        </w:numPr>
        <w:shd w:fill="ffffff" w:val="clear"/>
        <w:spacing w:after="0" w:line="276"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Updated the titles of Table A1.4.1.1 and Table A1.4.1.2 to specify the $1.25 poverty threshold rather than the national extreme poverty threshold (which is the subject of Table A1.4.2.1 and Table A1.4.2.2)</w:t>
      </w:r>
    </w:p>
    <w:p w:rsidR="00000000" w:rsidDel="00000000" w:rsidP="00000000" w:rsidRDefault="00000000" w:rsidRPr="00000000" w14:paraId="0000002B">
      <w:pPr>
        <w:pageBreakBefore w:val="0"/>
        <w:numPr>
          <w:ilvl w:val="0"/>
          <w:numId w:val="7"/>
        </w:numPr>
        <w:shd w:fill="ffffff" w:val="clear"/>
        <w:spacing w:after="0" w:line="276" w:lineRule="auto"/>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Updated the titles of Tables A1.4.2.1 and A1.4.3.1 to specify in “in [year LCU]” rather than “in USD (2005 PPP)”</w:t>
      </w:r>
    </w:p>
    <w:p w:rsidR="00000000" w:rsidDel="00000000" w:rsidP="00000000" w:rsidRDefault="00000000" w:rsidRPr="00000000" w14:paraId="0000002C">
      <w:pPr>
        <w:pageBreakBefore w:val="0"/>
        <w:numPr>
          <w:ilvl w:val="0"/>
          <w:numId w:val="7"/>
        </w:numPr>
        <w:shd w:fill="ffffff" w:val="clear"/>
        <w:spacing w:after="0" w:line="276"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The units in Tables 4.2.6, 4.2.9, A1.4.2.1, and A1.4.1.3 were updated to specify “[Year LCU]” rather than “USD (2005 PPP)” </w:t>
      </w:r>
    </w:p>
    <w:p w:rsidR="00000000" w:rsidDel="00000000" w:rsidP="00000000" w:rsidRDefault="00000000" w:rsidRPr="00000000" w14:paraId="0000002D">
      <w:pPr>
        <w:pageBreakBefore w:val="0"/>
        <w:spacing w:after="240" w:before="240" w:line="240" w:lineRule="auto"/>
        <w:rPr>
          <w:rFonts w:ascii="Gill Sans" w:cs="Gill Sans" w:eastAsia="Gill Sans" w:hAnsi="Gill Sans"/>
          <w:sz w:val="24"/>
          <w:szCs w:val="24"/>
        </w:rPr>
      </w:pPr>
      <w:r w:rsidDel="00000000" w:rsidR="00000000" w:rsidRPr="00000000">
        <w:rPr>
          <w:rFonts w:ascii="Gill Sans" w:cs="Gill Sans" w:eastAsia="Gill Sans" w:hAnsi="Gill Sans"/>
          <w:color w:val="000000"/>
          <w:rtl w:val="0"/>
        </w:rPr>
        <w:t xml:space="preserve">20200207 -</w:t>
      </w:r>
      <w:r w:rsidDel="00000000" w:rsidR="00000000" w:rsidRPr="00000000">
        <w:rPr>
          <w:rtl w:val="0"/>
        </w:rPr>
      </w:r>
    </w:p>
    <w:p w:rsidR="00000000" w:rsidDel="00000000" w:rsidP="00000000" w:rsidRDefault="00000000" w:rsidRPr="00000000" w14:paraId="0000002E">
      <w:pPr>
        <w:pageBreakBefore w:val="0"/>
        <w:spacing w:after="280" w:before="280" w:line="240" w:lineRule="auto"/>
        <w:rPr>
          <w:rFonts w:ascii="Gill Sans" w:cs="Gill Sans" w:eastAsia="Gill Sans" w:hAnsi="Gill Sans"/>
        </w:rPr>
      </w:pPr>
      <w:bookmarkStart w:colFirst="0" w:colLast="0" w:name="_heading=h.gjdgxs" w:id="0"/>
      <w:bookmarkEnd w:id="0"/>
      <w:r w:rsidDel="00000000" w:rsidR="00000000" w:rsidRPr="00000000">
        <w:rPr>
          <w:rFonts w:ascii="Gill Sans" w:cs="Gill Sans" w:eastAsia="Gill Sans" w:hAnsi="Gill Sans"/>
          <w:rtl w:val="0"/>
        </w:rPr>
        <w:t xml:space="preserve">The following updates were made to the specified report tables:</w:t>
      </w:r>
    </w:p>
    <w:p w:rsidR="00000000" w:rsidDel="00000000" w:rsidP="00000000" w:rsidRDefault="00000000" w:rsidRPr="00000000" w14:paraId="0000002F">
      <w:pPr>
        <w:pageBreakBefore w:val="0"/>
        <w:numPr>
          <w:ilvl w:val="0"/>
          <w:numId w:val="10"/>
        </w:numPr>
        <w:spacing w:after="0" w:before="28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T2.1.2: Capitalized “used” in the table title.</w:t>
      </w:r>
    </w:p>
    <w:p w:rsidR="00000000" w:rsidDel="00000000" w:rsidP="00000000" w:rsidRDefault="00000000" w:rsidRPr="00000000" w14:paraId="00000030">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T3.1.3: Added “Participation in economic activity by type</w:t>
      </w:r>
      <w:r w:rsidDel="00000000" w:rsidR="00000000" w:rsidRPr="00000000">
        <w:rPr>
          <w:rFonts w:ascii="Gill Sans" w:cs="Gill Sans" w:eastAsia="Gill Sans" w:hAnsi="Gill Sans"/>
          <w:vertAlign w:val="superscript"/>
          <w:rtl w:val="0"/>
        </w:rPr>
        <w:t xml:space="preserve">e</w:t>
      </w:r>
      <w:r w:rsidDel="00000000" w:rsidR="00000000" w:rsidRPr="00000000">
        <w:rPr>
          <w:rFonts w:ascii="Gill Sans" w:cs="Gill Sans" w:eastAsia="Gill Sans" w:hAnsi="Gill Sans"/>
          <w:rtl w:val="0"/>
        </w:rPr>
        <w:t xml:space="preserve">” row header back into table—was included in T3.1.2 but missing from T3.1.3.</w:t>
      </w:r>
    </w:p>
    <w:p w:rsidR="00000000" w:rsidDel="00000000" w:rsidP="00000000" w:rsidRDefault="00000000" w:rsidRPr="00000000" w14:paraId="00000031">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T4.1.1 and T4.1.2: Removed “(no adults)” from the “Children only” category to be consistent with all other tables</w:t>
      </w:r>
    </w:p>
    <w:p w:rsidR="00000000" w:rsidDel="00000000" w:rsidP="00000000" w:rsidRDefault="00000000" w:rsidRPr="00000000" w14:paraId="00000032">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T5.2.2: Updated footnotes d and e to use consistent wording re: “primary caregivers” vs. “the primary caregiver.”</w:t>
      </w:r>
    </w:p>
    <w:p w:rsidR="00000000" w:rsidDel="00000000" w:rsidP="00000000" w:rsidRDefault="00000000" w:rsidRPr="00000000" w14:paraId="00000033">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T5.4.8: Re-lettered footnotes to begin with a. </w:t>
      </w:r>
    </w:p>
    <w:bookmarkStart w:colFirst="0" w:colLast="0" w:name="bookmark=id.30j0zll" w:id="1"/>
    <w:bookmarkEnd w:id="1"/>
    <w:p w:rsidR="00000000" w:rsidDel="00000000" w:rsidP="00000000" w:rsidRDefault="00000000" w:rsidRPr="00000000" w14:paraId="00000034">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T6.2.2: Removed the first ZOI reference from the title and added “Phase One” to reference that remained: “Comparison of Percent of Women of Reproductive Age in the </w:t>
      </w:r>
      <w:r w:rsidDel="00000000" w:rsidR="00000000" w:rsidRPr="00000000">
        <w:rPr>
          <w:rFonts w:ascii="Gill Sans" w:cs="Gill Sans" w:eastAsia="Gill Sans" w:hAnsi="Gill Sans"/>
          <w:color w:val="ff0000"/>
          <w:rtl w:val="0"/>
        </w:rPr>
        <w:t xml:space="preserve">Phase One ZOI </w:t>
      </w:r>
      <w:r w:rsidDel="00000000" w:rsidR="00000000" w:rsidRPr="00000000">
        <w:rPr>
          <w:rFonts w:ascii="Gill Sans" w:cs="Gill Sans" w:eastAsia="Gill Sans" w:hAnsi="Gill Sans"/>
          <w:rtl w:val="0"/>
        </w:rPr>
        <w:t xml:space="preserve">Who Consumed Specified Foods in the </w:t>
      </w:r>
      <w:r w:rsidDel="00000000" w:rsidR="00000000" w:rsidRPr="00000000">
        <w:rPr>
          <w:rFonts w:ascii="Gill Sans" w:cs="Gill Sans" w:eastAsia="Gill Sans" w:hAnsi="Gill Sans"/>
          <w:color w:val="ff0000"/>
          <w:rtl w:val="0"/>
        </w:rPr>
        <w:t xml:space="preserve">ZOI</w:t>
      </w:r>
      <w:r w:rsidDel="00000000" w:rsidR="00000000" w:rsidRPr="00000000">
        <w:rPr>
          <w:rFonts w:ascii="Gill Sans" w:cs="Gill Sans" w:eastAsia="Gill Sans" w:hAnsi="Gill Sans"/>
          <w:rtl w:val="0"/>
        </w:rPr>
        <w:t xml:space="preserve">, Feed the Future Phase One Baseline and Endline ZOI Surveys” </w:t>
      </w:r>
    </w:p>
    <w:p w:rsidR="00000000" w:rsidDel="00000000" w:rsidP="00000000" w:rsidRDefault="00000000" w:rsidRPr="00000000" w14:paraId="00000035">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T7.2.3 and TA1.3.2: Added “Phase One” to ZOI in the table title to be consistent in tables throughout the report</w:t>
      </w:r>
    </w:p>
    <w:p w:rsidR="00000000" w:rsidDel="00000000" w:rsidP="00000000" w:rsidRDefault="00000000" w:rsidRPr="00000000" w14:paraId="00000036">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TA1.5.3: Added “Est.=estimate” to key under table and spelled out “BL” and “EL” in source placeholder.</w:t>
      </w:r>
    </w:p>
    <w:p w:rsidR="00000000" w:rsidDel="00000000" w:rsidP="00000000" w:rsidRDefault="00000000" w:rsidRPr="00000000" w14:paraId="00000037">
      <w:pPr>
        <w:pageBreakBefore w:val="0"/>
        <w:numPr>
          <w:ilvl w:val="0"/>
          <w:numId w:val="10"/>
        </w:numPr>
        <w:spacing w:after="0" w:before="0" w:line="240" w:lineRule="auto"/>
        <w:ind w:left="720" w:hanging="360"/>
        <w:rPr>
          <w:rFonts w:ascii="Gill Sans" w:cs="Gill Sans" w:eastAsia="Gill Sans" w:hAnsi="Gill Sans"/>
        </w:rPr>
      </w:pPr>
      <w:r w:rsidDel="00000000" w:rsidR="00000000" w:rsidRPr="00000000">
        <w:rPr>
          <w:rFonts w:ascii="Gill Sans" w:cs="Gill Sans" w:eastAsia="Gill Sans" w:hAnsi="Gill Sans"/>
          <w:rtl w:val="0"/>
        </w:rPr>
        <w:t xml:space="preserve">TA1.6.2: Updated title to include “of age” and move “in the Phase One ZOI” as follows: “Comparison of Percent of All Children 6-23 Months </w:t>
      </w:r>
      <w:r w:rsidDel="00000000" w:rsidR="00000000" w:rsidRPr="00000000">
        <w:rPr>
          <w:rFonts w:ascii="Gill Sans" w:cs="Gill Sans" w:eastAsia="Gill Sans" w:hAnsi="Gill Sans"/>
          <w:color w:val="ff0000"/>
          <w:rtl w:val="0"/>
        </w:rPr>
        <w:t xml:space="preserve">of Age </w:t>
      </w:r>
      <w:r w:rsidDel="00000000" w:rsidR="00000000" w:rsidRPr="00000000">
        <w:rPr>
          <w:rFonts w:ascii="Gill Sans" w:cs="Gill Sans" w:eastAsia="Gill Sans" w:hAnsi="Gill Sans"/>
          <w:rtl w:val="0"/>
        </w:rPr>
        <w:t xml:space="preserve">Achieving Minimum Feeding Frequency, Dietary Diversity, and Consuming Specified Foods </w:t>
      </w:r>
      <w:r w:rsidDel="00000000" w:rsidR="00000000" w:rsidRPr="00000000">
        <w:rPr>
          <w:rFonts w:ascii="Gill Sans" w:cs="Gill Sans" w:eastAsia="Gill Sans" w:hAnsi="Gill Sans"/>
          <w:color w:val="ff0000"/>
          <w:rtl w:val="0"/>
        </w:rPr>
        <w:t xml:space="preserve">in the Phase One ZOI</w:t>
      </w:r>
      <w:r w:rsidDel="00000000" w:rsidR="00000000" w:rsidRPr="00000000">
        <w:rPr>
          <w:rFonts w:ascii="Gill Sans" w:cs="Gill Sans" w:eastAsia="Gill Sans" w:hAnsi="Gill Sans"/>
          <w:rtl w:val="0"/>
        </w:rPr>
        <w:t xml:space="preserve">, in Total and by Breastfeeding Status, Feed the Future Phase One Baseline and Endline ZOI Surveys”</w:t>
      </w:r>
    </w:p>
    <w:p w:rsidR="00000000" w:rsidDel="00000000" w:rsidP="00000000" w:rsidRDefault="00000000" w:rsidRPr="00000000" w14:paraId="00000038">
      <w:pPr>
        <w:pageBreakBefore w:val="0"/>
        <w:spacing w:after="280" w:before="280" w:lineRule="auto"/>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Gill San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61287"/>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6128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6128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Pmdmi+coWCd+RsbJeZGfdkqDQQ==">AMUW2mWJCHxOK+ZoAdtEHY7TS8u9CQAkEsiadvCSY/WloK7ykpolQFb/alD9xMymLKFlrmcomHw4nyY77P0rCUJLTETHzKKvIFqwZ8Mw+V1l3muc9Q/Df9LchcO0aYJrkp3MOlOcKVt++pCIwqrt6Qx9hOkiSebNKQ==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2A044D7-58EE-4289-9A2E-0EE2CAEBF129}"/>
</file>

<file path=customXML/itemProps3.xml><?xml version="1.0" encoding="utf-8"?>
<ds:datastoreItem xmlns:ds="http://schemas.openxmlformats.org/officeDocument/2006/customXml" ds:itemID="{04C052C7-89FA-4D2F-ACA6-8F46C953CF8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2020-02-07T13:56:00Z</dcterms:created>
  <dc:creator>Zalisk, Kirsten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0x0101002B2DBCC8A5E7ED47A7D5CBE7407F1D48</vt:lpwstr>
  </property>
</Properties>
</file>