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ill Sans" w:cs="Gill Sans" w:eastAsia="Gill Sans" w:hAnsi="Gill Sans"/>
          <w:b w:val="1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Revisions</w:t>
      </w: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 to Guidance on the Feed the Future </w:t>
      </w:r>
    </w:p>
    <w:p w:rsidR="00000000" w:rsidDel="00000000" w:rsidP="00000000" w:rsidRDefault="00000000" w:rsidRPr="00000000" w14:paraId="00000002">
      <w:pPr>
        <w:jc w:val="center"/>
        <w:rPr>
          <w:rFonts w:ascii="Gill Sans" w:cs="Gill Sans" w:eastAsia="Gill Sans" w:hAnsi="Gill Sans"/>
          <w:b w:val="1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Phase Two Zone of Influence Midline Indicator Assessment (July 2021)</w:t>
      </w:r>
    </w:p>
    <w:p w:rsidR="00000000" w:rsidDel="00000000" w:rsidP="00000000" w:rsidRDefault="00000000" w:rsidRPr="00000000" w14:paraId="00000003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ill Sans" w:cs="Gill Sans" w:eastAsia="Gill Sans" w:hAnsi="Gill Sans"/>
          <w:b w:val="1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u w:val="single"/>
          <w:rtl w:val="0"/>
        </w:rPr>
        <w:t xml:space="preserve">Revisions as of May 2022:</w:t>
      </w:r>
    </w:p>
    <w:p w:rsidR="00000000" w:rsidDel="00000000" w:rsidP="00000000" w:rsidRDefault="00000000" w:rsidRPr="00000000" w14:paraId="00000006">
      <w:pPr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Table 3: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Revised instructions for what to enter in the sample size calculation for Adjustments 1 and 2.</w:t>
      </w:r>
    </w:p>
    <w:p w:rsidR="00000000" w:rsidDel="00000000" w:rsidP="00000000" w:rsidRDefault="00000000" w:rsidRPr="00000000" w14:paraId="00000008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a) Clarified that Adjustment 1 (Adj 1) is required for EG.3-a, HL.9-a and HL.9-d.</w:t>
      </w:r>
    </w:p>
    <w:p w:rsidR="00000000" w:rsidDel="00000000" w:rsidP="00000000" w:rsidRDefault="00000000" w:rsidRPr="00000000" w14:paraId="00000009">
      <w:pPr>
        <w:ind w:left="72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b) Changed the tables from which to draw the required information to enter in the sample calculator</w:t>
      </w:r>
    </w:p>
    <w:p w:rsidR="00000000" w:rsidDel="00000000" w:rsidP="00000000" w:rsidRDefault="00000000" w:rsidRPr="00000000" w14:paraId="0000000A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c) Deleted the division by 100 in the calculation of the response rate </w:t>
      </w:r>
    </w:p>
    <w:p w:rsidR="00000000" w:rsidDel="00000000" w:rsidP="00000000" w:rsidRDefault="00000000" w:rsidRPr="00000000" w14:paraId="0000000B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Table 4: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Revised instructions for what to enter in the sample size calculation for Adjustment 2 (Adj 2). </w:t>
      </w:r>
    </w:p>
    <w:p w:rsidR="00000000" w:rsidDel="00000000" w:rsidP="00000000" w:rsidRDefault="00000000" w:rsidRPr="00000000" w14:paraId="0000000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a) Deleted the division by 100 in the calculation of the response rate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OvHKBRwFQEBEfZ5d6G6qcPiAg==">AMUW2mWgTQ51iJEjFOkgMuKi1WNIJIkZr45l+F9u2RC3XMriPoc+YLu/kUWXJGj5Y/wUrnPdGHza4FYWGHXRI7K8C4eBshqfXNaWe9XMfNnHBwXCzf0MuKg=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2" ma:contentTypeDescription="Create a new document." ma:contentTypeScope="" ma:versionID="45fa2a71bb5685042c59d1fbaafccb6b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3afdd82834536de8985540a519edf7e7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4E7AE19-ACD5-408A-9069-7942452DAEEC}"/>
</file>

<file path=customXML/itemProps3.xml><?xml version="1.0" encoding="utf-8"?>
<ds:datastoreItem xmlns:ds="http://schemas.openxmlformats.org/officeDocument/2006/customXml" ds:itemID="{08289AA5-B3FC-4657-82E7-1679190C5F1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2022-05-09T12:14:00Z</dcterms:created>
  <dc:creator>Anne Swindale</dc:creator>
</cp:coreProperties>
</file>