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UNYKORN BLACK - Editable Funding Proposal</w:t>
      </w:r>
    </w:p>
    <w:p>
      <w:r>
        <w:t>Premium event mobility launch package for Atlanta 2026. This editable file is prepared for lender and partner customization.</w:t>
      </w:r>
    </w:p>
    <w:p>
      <w:pPr>
        <w:pStyle w:val="Heading2"/>
      </w:pPr>
      <w:r>
        <w:t>Funding Request</w:t>
      </w:r>
    </w:p>
    <w:p>
      <w:r>
        <w:t>$650,000 controlled launch package for a 5-8 vehicle premium event fleet.</w:t>
      </w:r>
    </w:p>
    <w:p>
      <w:pPr>
        <w:pStyle w:val="Heading2"/>
      </w:pPr>
      <w:r>
        <w:t>Scenario Snapshot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Scenario</w:t>
            </w:r>
          </w:p>
        </w:tc>
        <w:tc>
          <w:tcPr>
            <w:tcW w:type="dxa" w:w="2160"/>
          </w:tcPr>
          <w:p>
            <w:r>
              <w:t>Fleet</w:t>
            </w:r>
          </w:p>
        </w:tc>
        <w:tc>
          <w:tcPr>
            <w:tcW w:type="dxa" w:w="2160"/>
          </w:tcPr>
          <w:p>
            <w:r>
              <w:t>Gross Revenue</w:t>
            </w:r>
          </w:p>
        </w:tc>
        <w:tc>
          <w:tcPr>
            <w:tcW w:type="dxa" w:w="2160"/>
          </w:tcPr>
          <w:p>
            <w:r>
              <w:t>DSCR</w:t>
            </w:r>
          </w:p>
        </w:tc>
      </w:tr>
      <w:tr>
        <w:tc>
          <w:tcPr>
            <w:tcW w:type="dxa" w:w="2160"/>
          </w:tcPr>
          <w:p>
            <w:r>
              <w:t>Lean</w:t>
            </w:r>
          </w:p>
        </w:tc>
        <w:tc>
          <w:tcPr>
            <w:tcW w:type="dxa" w:w="2160"/>
          </w:tcPr>
          <w:p>
            <w:r>
              <w:t>5 vehicles</w:t>
            </w:r>
          </w:p>
        </w:tc>
        <w:tc>
          <w:tcPr>
            <w:tcW w:type="dxa" w:w="2160"/>
          </w:tcPr>
          <w:p>
            <w:r>
              <w:t>$723,150</w:t>
            </w:r>
          </w:p>
        </w:tc>
        <w:tc>
          <w:tcPr>
            <w:tcW w:type="dxa" w:w="2160"/>
          </w:tcPr>
          <w:p>
            <w:r>
              <w:t>2.6x</w:t>
            </w:r>
          </w:p>
        </w:tc>
      </w:tr>
      <w:tr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6 vehicles</w:t>
            </w:r>
          </w:p>
        </w:tc>
        <w:tc>
          <w:tcPr>
            <w:tcW w:type="dxa" w:w="2160"/>
          </w:tcPr>
          <w:p>
            <w:r>
              <w:t>$1,414,200</w:t>
            </w:r>
          </w:p>
        </w:tc>
        <w:tc>
          <w:tcPr>
            <w:tcW w:type="dxa" w:w="2160"/>
          </w:tcPr>
          <w:p>
            <w:r>
              <w:t>7.2x</w:t>
            </w:r>
          </w:p>
        </w:tc>
      </w:tr>
      <w:tr>
        <w:tc>
          <w:tcPr>
            <w:tcW w:type="dxa" w:w="2160"/>
          </w:tcPr>
          <w:p>
            <w:r>
              <w:t>Growth</w:t>
            </w:r>
          </w:p>
        </w:tc>
        <w:tc>
          <w:tcPr>
            <w:tcW w:type="dxa" w:w="2160"/>
          </w:tcPr>
          <w:p>
            <w:r>
              <w:t>8 vehicles</w:t>
            </w:r>
          </w:p>
        </w:tc>
        <w:tc>
          <w:tcPr>
            <w:tcW w:type="dxa" w:w="2160"/>
          </w:tcPr>
          <w:p>
            <w:r>
              <w:t>$2,365,000</w:t>
            </w:r>
          </w:p>
        </w:tc>
        <w:tc>
          <w:tcPr>
            <w:tcW w:type="dxa" w:w="2160"/>
          </w:tcPr>
          <w:p>
            <w:r>
              <w:t>10.5x</w:t>
            </w:r>
          </w:p>
        </w:tc>
      </w:tr>
    </w:tbl>
    <w:p>
      <w:pPr>
        <w:pStyle w:val="Heading2"/>
      </w:pPr>
      <w:r>
        <w:t>Use of Funds</w:t>
      </w:r>
    </w:p>
    <w:p>
      <w:pPr>
        <w:pStyle w:val="ListBullet"/>
      </w:pPr>
      <w:r>
        <w:t>Vehicle acquisition / down payments: $115,000</w:t>
      </w:r>
    </w:p>
    <w:p>
      <w:pPr>
        <w:pStyle w:val="ListBullet"/>
      </w:pPr>
      <w:r>
        <w:t>Equipment / vehicle financing facility: $350,000</w:t>
      </w:r>
    </w:p>
    <w:p>
      <w:pPr>
        <w:pStyle w:val="ListBullet"/>
      </w:pPr>
      <w:r>
        <w:t>Insurance reserve: $45,000</w:t>
      </w:r>
    </w:p>
    <w:p>
      <w:pPr>
        <w:pStyle w:val="ListBullet"/>
      </w:pPr>
      <w:r>
        <w:t>Licensing, compliance, legal, accounting: $25,000</w:t>
      </w:r>
    </w:p>
    <w:p>
      <w:pPr>
        <w:pStyle w:val="ListBullet"/>
      </w:pPr>
      <w:r>
        <w:t>Website, app, dispatch buildout: $35,000</w:t>
      </w:r>
    </w:p>
    <w:p>
      <w:pPr>
        <w:pStyle w:val="ListBullet"/>
      </w:pPr>
      <w:r>
        <w:t>Branding, QR, sponsor materials: $20,000</w:t>
      </w:r>
    </w:p>
    <w:p>
      <w:pPr>
        <w:pStyle w:val="ListBullet"/>
      </w:pPr>
      <w:r>
        <w:t>Working capital reserve: $60,000</w:t>
      </w:r>
    </w:p>
    <w:p>
      <w:pPr>
        <w:pStyle w:val="Heading2"/>
      </w:pPr>
      <w:r>
        <w:t>Event Demand Window</w:t>
      </w:r>
    </w:p>
    <w:p>
      <w:r>
        <w:t>May 24, 2026 | Birthday Bash ATL | State Farm Arena | Tier B+ | Late-night VIP routes, after-event offers, sponsor nightlife traffic</w:t>
      </w:r>
    </w:p>
    <w:p>
      <w:r>
        <w:t>June 8-9, 2026 | Megan Moroney | State Farm Arena | Tier B | Concert transfers, hotel pickup, premium downtown routes</w:t>
      </w:r>
    </w:p>
    <w:p>
      <w:r>
        <w:t>June 9-14, 2026 | Atlanta Market + Atlanta Apparel | AmericasMart | Tier A | Buyers, vendors, showroom executives, airport and hotel routes</w:t>
      </w:r>
    </w:p>
    <w:p>
      <w:r>
        <w:t>June 15-July 15, 2026 | Atlanta World Cup match window | Atlanta Stadium / Mercedes-Benz Stadium | Tier A+ | VIP arrivals, hotel-stadium-dining loops, sponsors</w:t>
      </w:r>
    </w:p>
    <w:p>
      <w:r>
        <w:t>Aug. 21, 2026 | Chris Stapleton | Mercedes-Benz Stadium | Tier A | Stadium concert, suite guests, sponsor hospitality, reserved exits</w:t>
      </w:r>
    </w:p>
    <w:p>
      <w:r>
        <w:t>Aug. 26-30, 2026 | TOUR Championship | East Lake Golf Club | Tier A | Executive golf, sponsor hospitality, corporate blocks, airport transfers</w:t>
      </w:r>
    </w:p>
    <w:p>
      <w:r>
        <w:t>Aug. 27, 2026 | AC/DC POWER UP Tour | Mercedes-Benz Stadium | Tier A | Major stadium concert, premium arrivals and late-night exits</w:t>
      </w:r>
    </w:p>
    <w:p>
      <w:r>
        <w:t>Sept. 3-7, 2026 | Dragon Con | Downtown Atlanta | Tier A | Multi-day hotel corridor, fan groups, VIP events, merchant offers</w:t>
      </w:r>
    </w:p>
    <w:p>
      <w:r>
        <w:t>Sept. 18-20, 2026 | Shaky Knees | Piedmont Park | Tier A | Festival rides, hotel packages, sponsor QR offers, group exits</w:t>
      </w:r>
    </w:p>
    <w:p>
      <w:r>
        <w:t>Oct. 10-11, 2026 | Atlanta Pride | Piedmont Park | Tier B+ | Festival mobility, hotel routes, merchant and safety-oriented routing</w:t>
      </w:r>
    </w:p>
    <w:p>
      <w:r>
        <w:t>Nov. 10-11, 2026 | The R&amp;B Tour | Mercedes-Benz Stadium | Tier A | High-demand concert nights, suite guests, sponsors, premium exits</w:t>
      </w:r>
    </w:p>
    <w:p>
      <w:r>
        <w:t>Dec. 5, 2026 | SEC Championship | Mercedes-Benz Stadium | Tier A+ | Corporate hospitality, alumni groups, VIP fan travel, sponsor routes</w:t>
      </w:r>
    </w:p>
    <w:p>
      <w:r>
        <w:t>Powered by TROPTIONS reporting and WhichWay platform integration.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