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line="288"/>
        <w:jc w:val="center"/>
      </w:pPr>
      <w:r>
        <w:rPr>
          <w:b/>
          <w:bCs/>
          <w:sz w:val="28"/>
          <w:szCs w:val="28"/>
        </w:rPr>
        <w:t xml:space="preserve">FOREIGN TRADE UNIVERSITY</w:t>
      </w:r>
    </w:p>
    <w:p>
      <w:pPr>
        <w:spacing w:after="80" w:before="0" w:line="288"/>
        <w:jc w:val="center"/>
      </w:pPr>
      <w:r>
        <w:rPr>
          <w:b/>
          <w:bCs/>
          <w:sz w:val="28"/>
          <w:szCs w:val="28"/>
        </w:rPr>
        <w:t xml:space="preserve">FACULTY OF BANKING AND FINANCE</w:t>
      </w:r>
    </w:p>
    <w:p>
      <w:pPr>
        <w:spacing w:after="240" w:before="0" w:line="288"/>
        <w:jc w:val="center"/>
      </w:pPr>
      <w:r>
        <w:rPr>
          <w:b/>
          <w:bCs/>
          <w:sz w:val="24"/>
          <w:szCs w:val="24"/>
        </w:rPr>
        <w:t xml:space="preserve">=====o0o=====</w:t>
      </w:r>
    </w:p>
    <w:p>
      <w:pPr>
        <w:spacing w:after="480"/>
        <w:jc w:val="center"/>
      </w:pPr>
      <w:r>
        <w:drawing>
          <wp:inline distT="0" distB="0" distL="0" distR="0">
            <wp:extent cx="1905000" cy="1905000"/>
            <wp:effectExtent t="0" r="0" b="0" l="0"/>
            <wp:docPr id="1" name="logo" descr="Foreign Trade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160" w:before="0" w:line="288"/>
        <w:jc w:val="center"/>
      </w:pPr>
      <w:r>
        <w:rPr>
          <w:b/>
          <w:bCs/>
          <w:sz w:val="32"/>
          <w:szCs w:val="32"/>
        </w:rPr>
        <w:t xml:space="preserve">REPORT</w:t>
      </w:r>
    </w:p>
    <w:p>
      <w:pPr>
        <w:spacing w:after="720" w:before="0" w:line="288"/>
        <w:jc w:val="center"/>
      </w:pPr>
      <w:r>
        <w:rPr>
          <w:b/>
          <w:bCs/>
          <w:sz w:val="32"/>
          <w:szCs w:val="32"/>
        </w:rPr>
        <w:t xml:space="preserve">Project: FinFlow - Buy vs Rent</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5400"/>
      </w:tblGrid>
      <w:tr>
        <w:tc>
          <w:tcPr>
            <w:tcW w:type="dxa" w:w="2200"/>
            <w:tcBorders>
              <w:top w:val="none" w:color="FFFFFF" w:sz="0"/>
              <w:left w:val="none" w:color="FFFFFF" w:sz="0"/>
              <w:bottom w:val="none" w:color="FFFFFF" w:sz="0"/>
              <w:right w:val="none" w:color="FFFFFF" w:sz="0"/>
            </w:tcBorders>
          </w:tcPr>
          <w:p>
            <w:pPr>
              <w:spacing w:after="60"/>
            </w:pPr>
            <w:r>
              <w:rPr>
                <w:b/>
                <w:bCs/>
                <w:sz w:val="26"/>
                <w:szCs w:val="26"/>
              </w:rPr>
              <w:t xml:space="preserve">Class</w:t>
            </w:r>
          </w:p>
        </w:tc>
        <w:tc>
          <w:tcPr>
            <w:tcW w:type="dxa" w:w="400"/>
            <w:tcBorders>
              <w:top w:val="none" w:color="FFFFFF" w:sz="0"/>
              <w:left w:val="none" w:color="FFFFFF" w:sz="0"/>
              <w:bottom w:val="none" w:color="FFFFFF" w:sz="0"/>
              <w:right w:val="none" w:color="FFFFFF" w:sz="0"/>
            </w:tcBorders>
          </w:tcPr>
          <w:p>
            <w:pPr>
              <w:spacing w:after="60"/>
            </w:pPr>
            <w:r>
              <w:rPr>
                <w:b/>
                <w:bCs/>
                <w:sz w:val="26"/>
                <w:szCs w:val="26"/>
              </w:rPr>
              <w:t xml:space="preserve">:</w:t>
            </w:r>
          </w:p>
        </w:tc>
        <w:tc>
          <w:tcPr>
            <w:tcW w:type="dxa" w:w="5400"/>
            <w:tcBorders>
              <w:top w:val="none" w:color="FFFFFF" w:sz="0"/>
              <w:left w:val="none" w:color="FFFFFF" w:sz="0"/>
              <w:bottom w:val="none" w:color="FFFFFF" w:sz="0"/>
              <w:right w:val="none" w:color="FFFFFF" w:sz="0"/>
            </w:tcBorders>
          </w:tcPr>
          <w:p>
            <w:pPr>
              <w:spacing w:after="60"/>
            </w:pPr>
            <w:r>
              <w:rPr>
                <w:b/>
                <w:bCs/>
                <w:sz w:val="26"/>
                <w:szCs w:val="26"/>
              </w:rPr>
              <w:t xml:space="preserve">NHA408E</w:t>
            </w:r>
          </w:p>
        </w:tc>
      </w:tr>
      <w:tr>
        <w:tc>
          <w:tcPr>
            <w:tcW w:type="dxa" w:w="2200"/>
            <w:tcBorders>
              <w:top w:val="none" w:color="FFFFFF" w:sz="0"/>
              <w:left w:val="none" w:color="FFFFFF" w:sz="0"/>
              <w:bottom w:val="none" w:color="FFFFFF" w:sz="0"/>
              <w:right w:val="none" w:color="FFFFFF" w:sz="0"/>
            </w:tcBorders>
          </w:tcPr>
          <w:p>
            <w:pPr>
              <w:spacing w:after="60"/>
            </w:pPr>
            <w:r>
              <w:rPr>
                <w:b/>
                <w:bCs/>
                <w:sz w:val="26"/>
                <w:szCs w:val="26"/>
              </w:rPr>
              <w:t xml:space="preserve">Group</w:t>
            </w:r>
          </w:p>
        </w:tc>
        <w:tc>
          <w:tcPr>
            <w:tcW w:type="dxa" w:w="400"/>
            <w:tcBorders>
              <w:top w:val="none" w:color="FFFFFF" w:sz="0"/>
              <w:left w:val="none" w:color="FFFFFF" w:sz="0"/>
              <w:bottom w:val="none" w:color="FFFFFF" w:sz="0"/>
              <w:right w:val="none" w:color="FFFFFF" w:sz="0"/>
            </w:tcBorders>
          </w:tcPr>
          <w:p>
            <w:pPr>
              <w:spacing w:after="60"/>
            </w:pPr>
            <w:r>
              <w:rPr>
                <w:b/>
                <w:bCs/>
                <w:sz w:val="26"/>
                <w:szCs w:val="26"/>
              </w:rPr>
              <w:t xml:space="preserve">:</w:t>
            </w:r>
          </w:p>
        </w:tc>
        <w:tc>
          <w:tcPr>
            <w:tcW w:type="dxa" w:w="5400"/>
            <w:tcBorders>
              <w:top w:val="none" w:color="FFFFFF" w:sz="0"/>
              <w:left w:val="none" w:color="FFFFFF" w:sz="0"/>
              <w:bottom w:val="none" w:color="FFFFFF" w:sz="0"/>
              <w:right w:val="none" w:color="FFFFFF" w:sz="0"/>
            </w:tcBorders>
          </w:tcPr>
          <w:p>
            <w:pPr>
              <w:spacing w:after="60"/>
            </w:pPr>
            <w:r>
              <w:rPr>
                <w:b/>
                <w:bCs/>
                <w:sz w:val="26"/>
                <w:szCs w:val="26"/>
              </w:rPr>
              <w:t xml:space="preserve">04</w:t>
            </w:r>
          </w:p>
        </w:tc>
      </w:tr>
      <w:tr>
        <w:tc>
          <w:tcPr>
            <w:tcW w:type="dxa" w:w="2200"/>
            <w:tcBorders>
              <w:top w:val="none" w:color="FFFFFF" w:sz="0"/>
              <w:left w:val="none" w:color="FFFFFF" w:sz="0"/>
              <w:bottom w:val="none" w:color="FFFFFF" w:sz="0"/>
              <w:right w:val="none" w:color="FFFFFF" w:sz="0"/>
            </w:tcBorders>
          </w:tcPr>
          <w:p>
            <w:pPr>
              <w:spacing w:after="60"/>
            </w:pPr>
            <w:r>
              <w:rPr>
                <w:b/>
                <w:bCs/>
                <w:sz w:val="26"/>
                <w:szCs w:val="26"/>
              </w:rPr>
              <w:t xml:space="preserve">Instructor</w:t>
            </w:r>
          </w:p>
        </w:tc>
        <w:tc>
          <w:tcPr>
            <w:tcW w:type="dxa" w:w="400"/>
            <w:tcBorders>
              <w:top w:val="none" w:color="FFFFFF" w:sz="0"/>
              <w:left w:val="none" w:color="FFFFFF" w:sz="0"/>
              <w:bottom w:val="none" w:color="FFFFFF" w:sz="0"/>
              <w:right w:val="none" w:color="FFFFFF" w:sz="0"/>
            </w:tcBorders>
          </w:tcPr>
          <w:p>
            <w:pPr>
              <w:spacing w:after="60"/>
            </w:pPr>
            <w:r>
              <w:rPr>
                <w:b/>
                <w:bCs/>
                <w:sz w:val="26"/>
                <w:szCs w:val="26"/>
              </w:rPr>
              <w:t xml:space="preserve">:</w:t>
            </w:r>
          </w:p>
        </w:tc>
        <w:tc>
          <w:tcPr>
            <w:tcW w:type="dxa" w:w="5400"/>
            <w:tcBorders>
              <w:top w:val="none" w:color="FFFFFF" w:sz="0"/>
              <w:left w:val="none" w:color="FFFFFF" w:sz="0"/>
              <w:bottom w:val="none" w:color="FFFFFF" w:sz="0"/>
              <w:right w:val="none" w:color="FFFFFF" w:sz="0"/>
            </w:tcBorders>
          </w:tcPr>
          <w:p>
            <w:pPr>
              <w:spacing w:after="60"/>
            </w:pPr>
            <w:r>
              <w:rPr>
                <w:b/>
                <w:bCs/>
                <w:sz w:val="26"/>
                <w:szCs w:val="26"/>
              </w:rPr>
              <w:t xml:space="preserve">Assoc. Prof., Dr. Phan Tran Trung Dung</w:t>
            </w:r>
          </w:p>
        </w:tc>
      </w:tr>
    </w:tbl>
    <w:p>
      <w:pPr>
        <w:spacing w:after="80" w:before="1200" w:line="288"/>
        <w:jc w:val="center"/>
      </w:pPr>
      <w:r>
        <w:rPr>
          <w:b/>
          <w:bCs/>
          <w:sz w:val="26"/>
          <w:szCs w:val="26"/>
        </w:rPr>
        <w:t xml:space="preserve">Hanoi, 10/2026</w:t>
      </w:r>
    </w:p>
    <w:p>
      <w:pPr>
        <w:pageBreakBefore/>
        <w:spacing w:after="360"/>
        <w:jc w:val="center"/>
      </w:pPr>
      <w:r>
        <w:rPr>
          <w:b/>
          <w:bCs/>
          <w:sz w:val="32"/>
          <w:szCs w:val="32"/>
        </w:rPr>
        <w:t xml:space="preserve">GROUP 04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tblGrid>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bCs/>
                <w:sz w:val="24"/>
                <w:szCs w:val="24"/>
              </w:rPr>
              <w:t xml:space="preserve">STUDENT ID</w:t>
            </w:r>
          </w:p>
        </w:tc>
        <w:tc>
          <w:tcPr>
            <w:tcW w:type="dxa" w:w="43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bCs/>
                <w:sz w:val="24"/>
                <w:szCs w:val="24"/>
              </w:rPr>
              <w:t xml:space="preserve">NAME</w:t>
            </w:r>
          </w:p>
        </w:tc>
      </w:tr>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val="false"/>
                <w:bCs w:val="false"/>
                <w:sz w:val="24"/>
                <w:szCs w:val="24"/>
              </w:rPr>
              <w:t xml:space="preserve">2412380041</w:t>
            </w:r>
          </w:p>
        </w:tc>
        <w:tc>
          <w:tcPr>
            <w:tcW w:type="dxa" w:w="43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val="false"/>
                <w:bCs w:val="false"/>
                <w:sz w:val="24"/>
                <w:szCs w:val="24"/>
              </w:rPr>
              <w:t xml:space="preserve">PHẠM NAM PHƯƠNG</w:t>
            </w:r>
          </w:p>
        </w:tc>
      </w:tr>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val="false"/>
                <w:bCs w:val="false"/>
                <w:sz w:val="24"/>
                <w:szCs w:val="24"/>
              </w:rPr>
              <w:t xml:space="preserve">2412380003</w:t>
            </w:r>
          </w:p>
        </w:tc>
        <w:tc>
          <w:tcPr>
            <w:tcW w:type="dxa" w:w="43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val="false"/>
                <w:bCs w:val="false"/>
                <w:sz w:val="24"/>
                <w:szCs w:val="24"/>
              </w:rPr>
              <w:t xml:space="preserve">PHẠM THỊ KHÁNH AN</w:t>
            </w:r>
          </w:p>
        </w:tc>
      </w:tr>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val="false"/>
                <w:bCs w:val="false"/>
                <w:sz w:val="24"/>
                <w:szCs w:val="24"/>
              </w:rPr>
              <w:t xml:space="preserve">2413380004</w:t>
            </w:r>
          </w:p>
        </w:tc>
        <w:tc>
          <w:tcPr>
            <w:tcW w:type="dxa" w:w="43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val="false"/>
                <w:bCs w:val="false"/>
                <w:sz w:val="24"/>
                <w:szCs w:val="24"/>
              </w:rPr>
              <w:t xml:space="preserve">DƯƠNG PHƯƠNG ANH</w:t>
            </w:r>
          </w:p>
        </w:tc>
      </w:tr>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val="false"/>
                <w:bCs w:val="false"/>
                <w:sz w:val="24"/>
                <w:szCs w:val="24"/>
              </w:rPr>
              <w:t xml:space="preserve">2413380043</w:t>
            </w:r>
          </w:p>
        </w:tc>
        <w:tc>
          <w:tcPr>
            <w:tcW w:type="dxa" w:w="43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val="false"/>
                <w:bCs w:val="false"/>
                <w:sz w:val="24"/>
                <w:szCs w:val="24"/>
              </w:rPr>
              <w:t xml:space="preserve">NGUYỄN HẢI SƠN</w:t>
            </w:r>
          </w:p>
        </w:tc>
      </w:tr>
      <w:t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val="false"/>
                <w:bCs w:val="false"/>
                <w:sz w:val="24"/>
                <w:szCs w:val="24"/>
              </w:rPr>
              <w:t xml:space="preserve">2412380045</w:t>
            </w:r>
          </w:p>
        </w:tc>
        <w:tc>
          <w:tcPr>
            <w:tcW w:type="dxa" w:w="4300"/>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b w:val="false"/>
                <w:bCs w:val="false"/>
                <w:sz w:val="24"/>
                <w:szCs w:val="24"/>
              </w:rPr>
              <w:t xml:space="preserve">NGUYỄN MINH TUẤN</w:t>
            </w:r>
          </w:p>
        </w:tc>
      </w:tr>
    </w:tbl>
    <w:p>
      <w:pPr>
        <w:sectPr>
          <w:headerReference w:type="default" r:id="rId7"/>
          <w:pgSz w:w="11906" w:h="16838" w:orient="portrait"/>
          <w:pgMar w:top="1134" w:right="1134" w:bottom="1134" w:left="1701" w:header="567" w:footer="708" w:gutter="0"/>
          <w:pgBorders w:display="allPages" w:offsetFrom="text">
            <w:top w:val="thinThickSmallGap" w:color="auto" w:sz="24" w:space="1"/>
            <w:left w:val="thinThickSmallGap" w:color="auto" w:sz="24" w:space="4"/>
            <w:bottom w:val="thickThinSmallGap" w:color="auto" w:sz="24" w:space="1"/>
            <w:right w:val="thickThinSmallGap" w:color="auto" w:sz="24" w:space="4"/>
          </w:pgBorders>
          <w:pgNumType/>
          <w:docGrid w:linePitch="360"/>
        </w:sectPr>
      </w:pPr>
    </w:p>
    <w:p>
      <w:pPr>
        <w:spacing w:after="240"/>
        <w:jc w:val="center"/>
      </w:pPr>
      <w:r>
        <w:rPr>
          <w:b/>
          <w:bCs/>
          <w:sz w:val="28"/>
          <w:szCs w:val="28"/>
        </w:rPr>
        <w:t xml:space="preserve">TABLE OF CONTENTS</w:t>
      </w:r>
    </w:p>
    <w:p>
      <w:pPr>
        <w:pStyle w:val="TOC1"/>
      </w:pPr>
      <w:r>
        <w:fldChar w:fldCharType="begin"/>
      </w:r>
      <w:r>
        <w:instrText xml:space="preserve"> TOC \o "1-2" \h \z \u </w:instrText>
      </w:r>
      <w:r>
        <w:fldChar w:fldCharType="separate"/>
      </w:r>
      <w:hyperlink w:anchor="_Toc100000" w:history="1">
        <w:r>
          <w:t xml:space="preserve">Abstract</w:t>
        </w:r>
        <w:r>
          <w:tab/>
        </w:r>
        <w:r>
          <w:t>4</w:t>
        </w:r>
      </w:hyperlink>
    </w:p>
    <w:p>
      <w:pPr>
        <w:pStyle w:val="TOC1"/>
      </w:pPr>
      <w:hyperlink w:anchor="_Toc100001" w:history="1">
        <w:r>
          <w:t xml:space="preserve">1. Introduction</w:t>
        </w:r>
        <w:r>
          <w:tab/>
        </w:r>
        <w:r>
          <w:t>4</w:t>
        </w:r>
      </w:hyperlink>
    </w:p>
    <w:p>
      <w:pPr>
        <w:pStyle w:val="TOC2"/>
      </w:pPr>
      <w:hyperlink w:anchor="_Toc100002" w:history="1">
        <w:r>
          <w:t xml:space="preserve">1.1. Background</w:t>
        </w:r>
        <w:r>
          <w:tab/>
        </w:r>
        <w:r>
          <w:t>4</w:t>
        </w:r>
      </w:hyperlink>
    </w:p>
    <w:p>
      <w:pPr>
        <w:pStyle w:val="TOC2"/>
      </w:pPr>
      <w:hyperlink w:anchor="_Toc100003" w:history="1">
        <w:r>
          <w:t xml:space="preserve">1.2. Pain points</w:t>
        </w:r>
        <w:r>
          <w:tab/>
        </w:r>
        <w:r>
          <w:t>5</w:t>
        </w:r>
      </w:hyperlink>
    </w:p>
    <w:p>
      <w:pPr>
        <w:pStyle w:val="TOC2"/>
      </w:pPr>
      <w:hyperlink w:anchor="_Toc100004" w:history="1">
        <w:r>
          <w:t xml:space="preserve">1.3. Target users</w:t>
        </w:r>
        <w:r>
          <w:tab/>
        </w:r>
        <w:r>
          <w:t>5</w:t>
        </w:r>
      </w:hyperlink>
    </w:p>
    <w:p>
      <w:pPr>
        <w:pStyle w:val="TOC2"/>
      </w:pPr>
      <w:hyperlink w:anchor="_Toc100005" w:history="1">
        <w:r>
          <w:t xml:space="preserve">1.4. Objectives and scope</w:t>
        </w:r>
        <w:r>
          <w:tab/>
        </w:r>
        <w:r>
          <w:t>5</w:t>
        </w:r>
      </w:hyperlink>
    </w:p>
    <w:p>
      <w:pPr>
        <w:pStyle w:val="TOC1"/>
      </w:pPr>
      <w:hyperlink w:anchor="_Toc100006" w:history="1">
        <w:r>
          <w:t xml:space="preserve">2. Data</w:t>
        </w:r>
        <w:r>
          <w:tab/>
        </w:r>
        <w:r>
          <w:t>6</w:t>
        </w:r>
      </w:hyperlink>
    </w:p>
    <w:p>
      <w:pPr>
        <w:pStyle w:val="TOC2"/>
      </w:pPr>
      <w:hyperlink w:anchor="_Toc100007" w:history="1">
        <w:r>
          <w:t xml:space="preserve">2.1. Sources and collection</w:t>
        </w:r>
        <w:r>
          <w:tab/>
        </w:r>
        <w:r>
          <w:t>6</w:t>
        </w:r>
      </w:hyperlink>
    </w:p>
    <w:p>
      <w:pPr>
        <w:pStyle w:val="TOC2"/>
      </w:pPr>
      <w:hyperlink w:anchor="_Toc100008" w:history="1">
        <w:r>
          <w:t xml:space="preserve">2.2. Cleaning and preparation</w:t>
        </w:r>
        <w:r>
          <w:tab/>
        </w:r>
        <w:r>
          <w:t>6</w:t>
        </w:r>
      </w:hyperlink>
    </w:p>
    <w:p>
      <w:pPr>
        <w:pStyle w:val="TOC2"/>
      </w:pPr>
      <w:hyperlink w:anchor="_Toc100009" w:history="1">
        <w:r>
          <w:t xml:space="preserve">2.3. Known data limitations</w:t>
        </w:r>
        <w:r>
          <w:tab/>
        </w:r>
        <w:r>
          <w:t>7</w:t>
        </w:r>
      </w:hyperlink>
    </w:p>
    <w:p>
      <w:pPr>
        <w:pStyle w:val="TOC1"/>
      </w:pPr>
      <w:hyperlink w:anchor="_Toc100010" w:history="1">
        <w:r>
          <w:t xml:space="preserve">3. Product design and user flow</w:t>
        </w:r>
        <w:r>
          <w:tab/>
        </w:r>
        <w:r>
          <w:t>7</w:t>
        </w:r>
      </w:hyperlink>
    </w:p>
    <w:p>
      <w:pPr>
        <w:pStyle w:val="TOC1"/>
      </w:pPr>
      <w:hyperlink w:anchor="_Toc100011" w:history="1">
        <w:r>
          <w:t xml:space="preserve">4. Methodology</w:t>
        </w:r>
        <w:r>
          <w:tab/>
        </w:r>
        <w:r>
          <w:t>8</w:t>
        </w:r>
      </w:hyperlink>
    </w:p>
    <w:p>
      <w:pPr>
        <w:pStyle w:val="TOC2"/>
      </w:pPr>
      <w:hyperlink w:anchor="_Toc100012" w:history="1">
        <w:r>
          <w:t xml:space="preserve">4.1. Safety check</w:t>
        </w:r>
        <w:r>
          <w:tab/>
        </w:r>
        <w:r>
          <w:t>8</w:t>
        </w:r>
      </w:hyperlink>
    </w:p>
    <w:p>
      <w:pPr>
        <w:pStyle w:val="TOC2"/>
      </w:pPr>
      <w:hyperlink w:anchor="_Toc100013" w:history="1">
        <w:r>
          <w:t xml:space="preserve">4.2. Loan model</w:t>
        </w:r>
        <w:r>
          <w:tab/>
        </w:r>
        <w:r>
          <w:t>8</w:t>
        </w:r>
      </w:hyperlink>
    </w:p>
    <w:p>
      <w:pPr>
        <w:pStyle w:val="TOC2"/>
      </w:pPr>
      <w:hyperlink w:anchor="_Toc100014" w:history="1">
        <w:r>
          <w:t xml:space="preserve">4.3. Budget and budget labels</w:t>
        </w:r>
        <w:r>
          <w:tab/>
        </w:r>
        <w:r>
          <w:t>9</w:t>
        </w:r>
      </w:hyperlink>
    </w:p>
    <w:p>
      <w:pPr>
        <w:pStyle w:val="TOC2"/>
      </w:pPr>
      <w:hyperlink w:anchor="_Toc100015" w:history="1">
        <w:r>
          <w:t xml:space="preserve">4.4. Relevance engine for unit suggestions</w:t>
        </w:r>
        <w:r>
          <w:tab/>
        </w:r>
        <w:r>
          <w:t>9</w:t>
        </w:r>
      </w:hyperlink>
    </w:p>
    <w:p>
      <w:pPr>
        <w:pStyle w:val="TOC2"/>
      </w:pPr>
      <w:hyperlink w:anchor="_Toc100016" w:history="1">
        <w:r>
          <w:t xml:space="preserve">4.5. Running costs</w:t>
        </w:r>
        <w:r>
          <w:tab/>
        </w:r>
        <w:r>
          <w:t>10</w:t>
        </w:r>
      </w:hyperlink>
    </w:p>
    <w:p>
      <w:pPr>
        <w:pStyle w:val="TOC2"/>
      </w:pPr>
      <w:hyperlink w:anchor="_Toc100017" w:history="1">
        <w:r>
          <w:t xml:space="preserve">4.6. Net worth and investment channels</w:t>
        </w:r>
        <w:r>
          <w:tab/>
        </w:r>
        <w:r>
          <w:t>11</w:t>
        </w:r>
      </w:hyperlink>
    </w:p>
    <w:p>
      <w:pPr>
        <w:pStyle w:val="TOC2"/>
      </w:pPr>
      <w:hyperlink w:anchor="_Toc100018" w:history="1">
        <w:r>
          <w:t xml:space="preserve">4.7. Market scenarios</w:t>
        </w:r>
        <w:r>
          <w:tab/>
        </w:r>
        <w:r>
          <w:t>12</w:t>
        </w:r>
      </w:hyperlink>
    </w:p>
    <w:p>
      <w:pPr>
        <w:pStyle w:val="TOC2"/>
      </w:pPr>
      <w:hyperlink w:anchor="_Toc100019" w:history="1">
        <w:r>
          <w:t xml:space="preserve">4.8. Monte Carlo simulation</w:t>
        </w:r>
        <w:r>
          <w:tab/>
        </w:r>
        <w:r>
          <w:t>12</w:t>
        </w:r>
      </w:hyperlink>
    </w:p>
    <w:p>
      <w:pPr>
        <w:pStyle w:val="TOC2"/>
      </w:pPr>
      <w:hyperlink w:anchor="_Toc100020" w:history="1">
        <w:r>
          <w:t xml:space="preserve">4.9. Sensitivity analysis</w:t>
        </w:r>
        <w:r>
          <w:tab/>
        </w:r>
        <w:r>
          <w:t>13</w:t>
        </w:r>
      </w:hyperlink>
    </w:p>
    <w:p>
      <w:pPr>
        <w:pStyle w:val="TOC1"/>
      </w:pPr>
      <w:hyperlink w:anchor="_Toc100021" w:history="1">
        <w:r>
          <w:t xml:space="preserve">5. Worked example</w:t>
        </w:r>
        <w:r>
          <w:tab/>
        </w:r>
        <w:r>
          <w:t>14</w:t>
        </w:r>
      </w:hyperlink>
    </w:p>
    <w:p>
      <w:pPr>
        <w:pStyle w:val="TOC2"/>
      </w:pPr>
      <w:hyperlink w:anchor="_Toc100022" w:history="1">
        <w:r>
          <w:t xml:space="preserve">5.1. Budget and unit choice</w:t>
        </w:r>
        <w:r>
          <w:tab/>
        </w:r>
        <w:r>
          <w:t>14</w:t>
        </w:r>
      </w:hyperlink>
    </w:p>
    <w:p>
      <w:pPr>
        <w:pStyle w:val="TOC2"/>
      </w:pPr>
      <w:hyperlink w:anchor="_Toc100023" w:history="1">
        <w:r>
          <w:t xml:space="preserve">5.2. Safety and monthly costs</w:t>
        </w:r>
        <w:r>
          <w:tab/>
        </w:r>
        <w:r>
          <w:t>14</w:t>
        </w:r>
      </w:hyperlink>
    </w:p>
    <w:p>
      <w:pPr>
        <w:pStyle w:val="TOC2"/>
      </w:pPr>
      <w:hyperlink w:anchor="_Toc100024" w:history="1">
        <w:r>
          <w:t xml:space="preserve">5.3. Net worth and uncertainty</w:t>
        </w:r>
        <w:r>
          <w:tab/>
        </w:r>
        <w:r>
          <w:t>14</w:t>
        </w:r>
      </w:hyperlink>
    </w:p>
    <w:p>
      <w:pPr>
        <w:pStyle w:val="TOC2"/>
      </w:pPr>
      <w:hyperlink w:anchor="_Toc100025" w:history="1">
        <w:r>
          <w:t xml:space="preserve">5.4. Sensitivity</w:t>
        </w:r>
        <w:r>
          <w:tab/>
        </w:r>
        <w:r>
          <w:t>15</w:t>
        </w:r>
      </w:hyperlink>
    </w:p>
    <w:p>
      <w:pPr>
        <w:pStyle w:val="TOC1"/>
      </w:pPr>
      <w:hyperlink w:anchor="_Toc100026" w:history="1">
        <w:r>
          <w:t xml:space="preserve">6. Limitations</w:t>
        </w:r>
        <w:r>
          <w:tab/>
        </w:r>
        <w:r>
          <w:t>16</w:t>
        </w:r>
      </w:hyperlink>
    </w:p>
    <w:p>
      <w:pPr>
        <w:pStyle w:val="TOC1"/>
      </w:pPr>
      <w:hyperlink w:anchor="_Toc100027" w:history="1">
        <w:r>
          <w:t xml:space="preserve">7. Conclusion and future work</w:t>
        </w:r>
        <w:r>
          <w:tab/>
        </w:r>
        <w:r>
          <w:t>16</w:t>
        </w:r>
      </w:hyperlink>
    </w:p>
    <w:p>
      <w:pPr>
        <w:pStyle w:val="TOC1"/>
      </w:pPr>
      <w:hyperlink w:anchor="_Toc100028" w:history="1">
        <w:r>
          <w:t xml:space="preserve">References</w:t>
        </w:r>
        <w:r>
          <w:tab/>
        </w:r>
        <w:r>
          <w:t>17</w:t>
        </w:r>
      </w:hyperlink>
    </w:p>
    <w:p>
      <w:pPr>
        <w:pStyle w:val="TOC1"/>
      </w:pPr>
      <w:hyperlink w:anchor="_Toc100029" w:history="1">
        <w:r>
          <w:t xml:space="preserve">Appendix A. Base-case assumptions</w:t>
        </w:r>
        <w:r>
          <w:tab/>
        </w:r>
        <w:r>
          <w:t>19</w:t>
        </w:r>
      </w:hyperlink>
      <w:r>
        <w:fldChar w:fldCharType="end"/>
      </w:r>
    </w:p>
    <w:p>
      <w:pPr>
        <w:pageBreakBefore/>
        <w:spacing w:after="0" w:line="360"/>
        <w:jc w:val="center"/>
      </w:pPr>
      <w:r>
        <w:rPr>
          <w:b/>
          <w:bCs/>
          <w:sz w:val="30"/>
          <w:szCs w:val="30"/>
        </w:rPr>
        <w:t xml:space="preserve">FINFLOW: A BUY-VERSUS-RENT DECISION TOOL FOR</w:t>
      </w:r>
    </w:p>
    <w:p>
      <w:pPr>
        <w:spacing w:after="240" w:line="360"/>
        <w:jc w:val="center"/>
      </w:pPr>
      <w:r>
        <w:rPr>
          <w:b/>
          <w:bCs/>
          <w:sz w:val="30"/>
          <w:szCs w:val="30"/>
        </w:rPr>
        <w:t xml:space="preserve">TWO-BEDROOM APARTMENTS IN HANOI</w:t>
      </w:r>
    </w:p>
    <w:p>
      <w:pPr>
        <w:pStyle w:val="Heading1"/>
        <w:keepNext/>
        <w:spacing w:after="160" w:before="360" w:line="360"/>
      </w:pPr>
      <w:bookmarkStart w:id="900" w:name="_Toc100000"/>
      <w:r>
        <w:rPr>
          <w:rFonts w:ascii="Times New Roman" w:cs="Times New Roman" w:eastAsia="Times New Roman" w:hAnsi="Times New Roman"/>
          <w:b/>
          <w:bCs/>
          <w:sz w:val="28"/>
          <w:szCs w:val="28"/>
        </w:rPr>
        <w:t xml:space="preserve">Abstract</w:t>
      </w:r>
      <w:bookmarkEnd w:id="900"/>
    </w:p>
    <w:p>
      <w:pPr>
        <w:spacing w:after="120" w:line="360"/>
        <w:ind w:firstLine="567"/>
        <w:jc w:val="both"/>
      </w:pPr>
      <w:r>
        <w:t xml:space="preserve">Young households in Hanoi face a decision that is large, long and uncertain: whether to buy a two-bedroom apartment with a mortgage or to keep renting and invest their savings. This report presents FinFlow, a web tool that answers this question for a specific household and a specific pair of real units. FinFlow combines 756 for-sale and 277 for-rent listings collected from batdongsan.com.vn in Cau Giay, Ha Dong and Tay Ho with a month-by-month model of the mortgage, running costs, household cash flow and investments. It first checks whether each option is financially safe in every month of a loan of up to 30 years, then compares the net worth that each option would build. Because the outcome depends heavily on future interest rates, home prices, rent and income, the tool runs three market scenarios, a 1,000-path Monte Carlo simulation and a one-at-a-time sensitivity analysis. A worked example shows that a couple earning 60 million VND a month can safely buy a 4.15 billion VND apartment under average assumptions, but only with a thin margin in month 25, and that the advantage of buying disappears in a downturn. The tool runs entirely in a browser from a single HTML file.</w:t>
      </w:r>
    </w:p>
    <w:p>
      <w:pPr>
        <w:pStyle w:val="Heading1"/>
        <w:keepNext/>
        <w:spacing w:after="160" w:before="360" w:line="360"/>
      </w:pPr>
      <w:bookmarkStart w:id="901" w:name="_Toc100001"/>
      <w:r>
        <w:rPr>
          <w:rFonts w:ascii="Times New Roman" w:cs="Times New Roman" w:eastAsia="Times New Roman" w:hAnsi="Times New Roman"/>
          <w:b/>
          <w:bCs/>
          <w:sz w:val="28"/>
          <w:szCs w:val="28"/>
        </w:rPr>
        <w:t xml:space="preserve">1. Introduction</w:t>
      </w:r>
      <w:bookmarkEnd w:id="901"/>
    </w:p>
    <w:p>
      <w:pPr>
        <w:pStyle w:val="Heading2"/>
        <w:keepNext/>
        <w:spacing w:after="120" w:before="240" w:line="360"/>
      </w:pPr>
      <w:bookmarkStart w:id="902" w:name="_Toc100002"/>
      <w:r>
        <w:rPr>
          <w:rFonts w:ascii="Times New Roman" w:cs="Times New Roman" w:eastAsia="Times New Roman" w:hAnsi="Times New Roman"/>
          <w:b/>
          <w:bCs/>
          <w:sz w:val="24"/>
          <w:szCs w:val="24"/>
        </w:rPr>
        <w:t xml:space="preserve">1.1. Background</w:t>
      </w:r>
      <w:bookmarkEnd w:id="902"/>
    </w:p>
    <w:p>
      <w:pPr>
        <w:spacing w:after="120" w:line="360"/>
        <w:ind w:firstLine="567"/>
        <w:jc w:val="both"/>
      </w:pPr>
      <w:r>
        <w:t xml:space="preserve">Housing is the largest purchase most Vietnamese households will ever make, and in Hanoi it has become steadily harder to afford. According to Cushman &amp; Wakefield data reported by CafeF, the average primary price of apartments in Hanoi rose by 288% between 2016 and 2025, a compound annual growth rate of about 11%, and the increase has been linked to a shortage of supply at affordable price levels (CafeF, n.d.). Our own calculation from the same sources gives a compound growth rate of 20.43% a year for 2020–2025 alone. Household incomes have not kept pace: average income per person in the Red River Delta grew by about 5.56% a year between 2019 and 2024 (General Statistics Office [NSO], 2026).</w:t>
      </w:r>
    </w:p>
    <w:p>
      <w:pPr>
        <w:spacing w:after="120" w:line="360"/>
        <w:ind w:firstLine="567"/>
        <w:jc w:val="both"/>
      </w:pPr>
      <w:r>
        <w:t xml:space="preserve">At the same time, buying with a mortgage has become riskier than the advertised rate suggests. Banks attract borrowers with fixed promotional rates of about 8.5–11% a year for the first 6–12 months, after which the loan switches to a floating rate of a reference rate plus a margin of about 3.3–3.5 percentage points; borrowers commonly end up paying 13–15% a year (Thanh Nien, 2026; Dan Tri, 2026). Renting, by contrast, is cheap relative to prices: in our dataset the median gross rental yield is only about 2.3%, well below the 6.5% that a savings deposit earns.</w:t>
      </w:r>
    </w:p>
    <w:p>
      <w:pPr>
        <w:pStyle w:val="Heading2"/>
        <w:keepNext/>
        <w:spacing w:after="120" w:before="240" w:line="360"/>
      </w:pPr>
      <w:bookmarkStart w:id="903" w:name="_Toc100003"/>
      <w:r>
        <w:rPr>
          <w:rFonts w:ascii="Times New Roman" w:cs="Times New Roman" w:eastAsia="Times New Roman" w:hAnsi="Times New Roman"/>
          <w:b/>
          <w:bCs/>
          <w:sz w:val="24"/>
          <w:szCs w:val="24"/>
        </w:rPr>
        <w:t xml:space="preserve">1.2. Pain points</w:t>
      </w:r>
      <w:bookmarkEnd w:id="903"/>
    </w:p>
    <w:p>
      <w:pPr>
        <w:spacing w:after="120" w:line="360"/>
        <w:ind w:firstLine="567"/>
        <w:jc w:val="both"/>
      </w:pPr>
      <w:r>
        <w:t xml:space="preserve">These conditions create a set of concrete problems for a household trying to decide whether to buy or rent:</w:t>
      </w:r>
    </w:p>
    <w:p>
      <w:pPr>
        <w:pStyle w:val="ListParagraph"/>
        <w:numPr>
          <w:ilvl w:val="0"/>
          <w:numId w:val="2"/>
        </w:numPr>
        <w:spacing w:after="60" w:line="360"/>
        <w:jc w:val="both"/>
      </w:pPr>
      <w:r>
        <w:t xml:space="preserve">Prices have outrun incomes.</w:t>
      </w:r>
      <w:r>
        <w:t xml:space="preserve"> Home prices have grown roughly two to four times faster than incomes over the past decade, so a household cannot rely on intuition or on what worked for the previous generation.</w:t>
      </w:r>
    </w:p>
    <w:p>
      <w:pPr>
        <w:pStyle w:val="ListParagraph"/>
        <w:numPr>
          <w:ilvl w:val="0"/>
          <w:numId w:val="2"/>
        </w:numPr>
        <w:spacing w:after="60" w:line="360"/>
        <w:jc w:val="both"/>
      </w:pPr>
      <w:r>
        <w:t xml:space="preserve">The real monthly cost is hidden.</w:t>
      </w:r>
      <w:r>
        <w:t xml:space="preserve"> A loan looks affordable at the promotional rate, but the payment can more than double when the promotional period and the interest-only grace period end. Most households compare today's rent with today's instalment and do not see the peak month.</w:t>
      </w:r>
    </w:p>
    <w:p>
      <w:pPr>
        <w:pStyle w:val="ListParagraph"/>
        <w:numPr>
          <w:ilvl w:val="0"/>
          <w:numId w:val="2"/>
        </w:numPr>
        <w:spacing w:after="60" w:line="360"/>
        <w:jc w:val="both"/>
      </w:pPr>
      <w:r>
        <w:t xml:space="preserve">Many costs are left out of simple comparisons.</w:t>
      </w:r>
      <w:r>
        <w:t xml:space="preserve"> Closing costs, the building service fee, compulsory fire insurance, selling costs, early-repayment fees, rent increases and the return the down payment could earn if invested are rarely included in the same calculation.</w:t>
      </w:r>
    </w:p>
    <w:p>
      <w:pPr>
        <w:pStyle w:val="ListParagraph"/>
        <w:numPr>
          <w:ilvl w:val="0"/>
          <w:numId w:val="2"/>
        </w:numPr>
        <w:spacing w:after="60" w:line="360"/>
        <w:jc w:val="both"/>
      </w:pPr>
      <w:r>
        <w:t xml:space="preserve">The answer depends on an uncertain future.</w:t>
      </w:r>
      <w:r>
        <w:t xml:space="preserve"> Because renting is cheap relative to prices, buying comes out ahead mainly when home prices keep rising. A single projection with one set of assumptions gives a false sense of precision.</w:t>
      </w:r>
    </w:p>
    <w:p>
      <w:pPr>
        <w:pStyle w:val="ListParagraph"/>
        <w:numPr>
          <w:ilvl w:val="0"/>
          <w:numId w:val="2"/>
        </w:numPr>
        <w:spacing w:after="60" w:line="360"/>
        <w:jc w:val="both"/>
      </w:pPr>
      <w:r>
        <w:t xml:space="preserve">Listing data is fragmented.</w:t>
      </w:r>
      <w:r>
        <w:t xml:space="preserve"> Each project usually has very few listings: 42% of project-and-size combinations on the sale side have only one. A household that chooses a building cannot easily tell whether its price is reasonable or which comparable units elsewhere it could afford.</w:t>
      </w:r>
    </w:p>
    <w:p>
      <w:pPr>
        <w:pStyle w:val="Heading2"/>
        <w:keepNext/>
        <w:spacing w:after="120" w:before="240" w:line="360"/>
      </w:pPr>
      <w:bookmarkStart w:id="904" w:name="_Toc100004"/>
      <w:r>
        <w:rPr>
          <w:rFonts w:ascii="Times New Roman" w:cs="Times New Roman" w:eastAsia="Times New Roman" w:hAnsi="Times New Roman"/>
          <w:b/>
          <w:bCs/>
          <w:sz w:val="24"/>
          <w:szCs w:val="24"/>
        </w:rPr>
        <w:t xml:space="preserve">1.3. Target users</w:t>
      </w:r>
      <w:bookmarkEnd w:id="904"/>
    </w:p>
    <w:p>
      <w:pPr>
        <w:spacing w:after="120" w:line="360"/>
        <w:ind w:firstLine="567"/>
        <w:jc w:val="both"/>
      </w:pPr>
      <w:r>
        <w:t xml:space="preserve">FinFlow is designed for </w:t>
      </w:r>
      <w:r>
        <w:t xml:space="preserve">young households in Hanoi considering their first home</w:t>
      </w:r>
      <w:r>
        <w:t xml:space="preserve">: single earners or couples, typically aged about 25 to 40, who want a two-bedroom apartment for a small family. The tool assumes they have some savings that could serve as a down payment, a household income between roughly 20 and 100 million VND a month, and an interest in the established inner districts of Cau Giay, Tay Ho and the growing district of Ha Dong. They are not property professionals: they need clear answers in plain language ('can we afford it safely?', 'which option leaves us richer, and how sure is that?') rather than a spreadsheet. Because the loan must end by age 70, older buyers are also covered, with a correspondingly shorter loan term.</w:t>
      </w:r>
    </w:p>
    <w:p>
      <w:pPr>
        <w:pStyle w:val="Heading2"/>
        <w:keepNext/>
        <w:spacing w:after="120" w:before="240" w:line="360"/>
      </w:pPr>
      <w:bookmarkStart w:id="905" w:name="_Toc100005"/>
      <w:r>
        <w:rPr>
          <w:rFonts w:ascii="Times New Roman" w:cs="Times New Roman" w:eastAsia="Times New Roman" w:hAnsi="Times New Roman"/>
          <w:b/>
          <w:bCs/>
          <w:sz w:val="24"/>
          <w:szCs w:val="24"/>
        </w:rPr>
        <w:t xml:space="preserve">1.4. Objectives and scope</w:t>
      </w:r>
      <w:bookmarkEnd w:id="905"/>
    </w:p>
    <w:p>
      <w:pPr>
        <w:spacing w:after="120" w:line="360"/>
        <w:ind w:firstLine="567"/>
        <w:jc w:val="both"/>
      </w:pPr>
      <w:r>
        <w:t xml:space="preserve">The objective of FinFlow is to help such a household make an informed buy-versus-rent decision about two real units. Specifically, the tool aims to (i) show the household's budget before it chooses any unit, (ii) suggest comparable units and label each one by affordability, (iii) check whether buying and renting are each financially safe in every month, (iv) compare the net worth each option builds over time, and (v) show how robust that comparison is under different futures. The scope is limited to two-bedroom apartments in three districts of Hanoi, a mortgage product modelled on an MB Bank rate sheet, and a comparison period equal to the loan term. Buying a unit in order to rent it out is outside the scope.</w:t>
      </w:r>
    </w:p>
    <w:p>
      <w:pPr>
        <w:spacing w:after="120" w:line="360"/>
        <w:ind w:firstLine="567"/>
        <w:jc w:val="both"/>
      </w:pPr>
      <w:r>
        <w:t xml:space="preserve">The rest of the report is organised as follows. Section 2 describes the data. Section 3 presents the product and its user flow. Section 4 explains the methodology behind each step. Section 5 applies the tool to an example household. Section 6 discusses the limitations, and Section 7 concludes.</w:t>
      </w:r>
    </w:p>
    <w:p>
      <w:pPr>
        <w:pStyle w:val="Heading1"/>
        <w:keepNext/>
        <w:spacing w:after="160" w:before="360" w:line="360"/>
      </w:pPr>
      <w:bookmarkStart w:id="906" w:name="_Toc100006"/>
      <w:r>
        <w:rPr>
          <w:rFonts w:ascii="Times New Roman" w:cs="Times New Roman" w:eastAsia="Times New Roman" w:hAnsi="Times New Roman"/>
          <w:b/>
          <w:bCs/>
          <w:sz w:val="28"/>
          <w:szCs w:val="28"/>
        </w:rPr>
        <w:t xml:space="preserve">2. Data</w:t>
      </w:r>
      <w:bookmarkEnd w:id="906"/>
    </w:p>
    <w:p>
      <w:pPr>
        <w:pStyle w:val="Heading2"/>
        <w:keepNext/>
        <w:spacing w:after="120" w:before="240" w:line="360"/>
      </w:pPr>
      <w:bookmarkStart w:id="907" w:name="_Toc100007"/>
      <w:r>
        <w:rPr>
          <w:rFonts w:ascii="Times New Roman" w:cs="Times New Roman" w:eastAsia="Times New Roman" w:hAnsi="Times New Roman"/>
          <w:b/>
          <w:bCs/>
          <w:sz w:val="24"/>
          <w:szCs w:val="24"/>
        </w:rPr>
        <w:t xml:space="preserve">2.1. Sources and collection</w:t>
      </w:r>
      <w:bookmarkEnd w:id="907"/>
    </w:p>
    <w:p>
      <w:pPr>
        <w:spacing w:after="120" w:line="360"/>
        <w:ind w:firstLine="567"/>
        <w:jc w:val="both"/>
      </w:pPr>
      <w:r>
        <w:t xml:space="preserve">The listing data was collected from batdongsan.com.vn, the largest property listing site in Vietnam, and frozen on 9 September 2026. It is organised in three tables. </w:t>
      </w:r>
      <w:r>
        <w:t xml:space="preserve">PROJECT_MASTER</w:t>
      </w:r>
      <w:r>
        <w:t xml:space="preserve"> contains one row per apartment project (205 projects: 91 in Cau Giay, 75 in Ha Dong and 39 in Tay Ho) with its old district and ward, its 2025 ward after the administrative merger, its beltway zone, street address and project-level latitude and longitude. </w:t>
      </w:r>
      <w:r>
        <w:t xml:space="preserve">BUY_RAW</w:t>
      </w:r>
      <w:r>
        <w:t xml:space="preserve"> and </w:t>
      </w:r>
      <w:r>
        <w:t xml:space="preserve">RENT_RAW</w:t>
      </w:r>
      <w:r>
        <w:t xml:space="preserve"> contain one row per listing with the project identifier, floor area, size band, bedrooms, bathrooms and the asking price or monthly rent; for sale listings the price per square metre is also stored. Each listing keeps the link to its source page.</w:t>
      </w:r>
    </w:p>
    <w:p>
      <w:pPr>
        <w:spacing w:after="120" w:line="360"/>
        <w:ind w:firstLine="567"/>
        <w:jc w:val="both"/>
      </w:pPr>
      <w:r>
        <w:t xml:space="preserve">Only two-bedroom units are included. Units are grouped into three size bands: Small (45–59 m²), Medium (60–79 m²) and Large (80–100 m²). Table 1 summarises the final dataset.</w:t>
      </w:r>
    </w:p>
    <w:p>
      <w:pPr>
        <w:keepNext/>
        <w:spacing w:after="80" w:before="200" w:line="276"/>
        <w:jc w:val="center"/>
      </w:pPr>
      <w:r>
        <w:rPr>
          <w:sz w:val="22"/>
          <w:szCs w:val="22"/>
        </w:rPr>
        <w:t xml:space="preserve">Table 1.</w:t>
      </w:r>
      <w:r>
        <w:rPr>
          <w:sz w:val="22"/>
          <w:szCs w:val="22"/>
        </w:rPr>
        <w:t xml:space="preserve"> Listings by district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1814"/>
        <w:gridCol w:w="1814"/>
        <w:gridCol w:w="3175"/>
      </w:tblGrid>
      <w:tr>
        <w:trPr>
          <w:tblHeader/>
        </w:trPr>
        <w:tc>
          <w:tcPr>
            <w:tcW w:type="dxa" w:w="2268"/>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District</w:t>
            </w:r>
          </w:p>
        </w:tc>
        <w:tc>
          <w:tcPr>
            <w:tcW w:type="dxa" w:w="1814"/>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For sale</w:t>
            </w:r>
          </w:p>
        </w:tc>
        <w:tc>
          <w:tcPr>
            <w:tcW w:type="dxa" w:w="1814"/>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For rent</w:t>
            </w:r>
          </w:p>
        </w:tc>
        <w:tc>
          <w:tcPr>
            <w:tcW w:type="dxa" w:w="3175"/>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Projects in master list</w:t>
            </w:r>
          </w:p>
        </w:tc>
      </w:tr>
      <w:tr>
        <w:trPr>
          <w:cantSplit/>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Cau Giay</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309</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129</w:t>
            </w:r>
          </w:p>
        </w:tc>
        <w:tc>
          <w:tcPr>
            <w:tcW w:type="dxa" w:w="31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91</w:t>
            </w:r>
          </w:p>
        </w:tc>
      </w:tr>
      <w:tr>
        <w:trPr>
          <w:cantSplit/>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Ha Dong</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284</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62</w:t>
            </w:r>
          </w:p>
        </w:tc>
        <w:tc>
          <w:tcPr>
            <w:tcW w:type="dxa" w:w="31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75</w:t>
            </w:r>
          </w:p>
        </w:tc>
      </w:tr>
      <w:tr>
        <w:trPr>
          <w:cantSplit/>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Tay Ho</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163</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86</w:t>
            </w:r>
          </w:p>
        </w:tc>
        <w:tc>
          <w:tcPr>
            <w:tcW w:type="dxa" w:w="31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39</w:t>
            </w:r>
          </w:p>
        </w:tc>
      </w:tr>
      <w:tr>
        <w:trPr>
          <w:cantSplit/>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Total</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756</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277</w:t>
            </w:r>
          </w:p>
        </w:tc>
        <w:tc>
          <w:tcPr>
            <w:tcW w:type="dxa" w:w="31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205 (180 with at least one listing)</w:t>
            </w:r>
          </w:p>
        </w:tc>
      </w:tr>
    </w:tbl>
    <w:p>
      <w:pPr>
        <w:spacing w:after="200" w:before="60" w:line="276"/>
        <w:jc w:val="left"/>
      </w:pPr>
      <w:r>
        <w:rPr>
          <w:i/>
          <w:iCs/>
          <w:sz w:val="20"/>
          <w:szCs w:val="20"/>
        </w:rPr>
        <w:t xml:space="preserve">Size bands — for sale: 119 Small, 393 Medium, 244 Large; for rent: 13 Small, 108 Medium, 156 Large. Source: batdongsan.com.vn, as of 9 September 2026.</w:t>
      </w:r>
    </w:p>
    <w:p>
      <w:pPr>
        <w:pStyle w:val="Heading2"/>
        <w:keepNext/>
        <w:spacing w:after="120" w:before="240" w:line="360"/>
      </w:pPr>
      <w:bookmarkStart w:id="908" w:name="_Toc100008"/>
      <w:r>
        <w:rPr>
          <w:rFonts w:ascii="Times New Roman" w:cs="Times New Roman" w:eastAsia="Times New Roman" w:hAnsi="Times New Roman"/>
          <w:b/>
          <w:bCs/>
          <w:sz w:val="24"/>
          <w:szCs w:val="24"/>
        </w:rPr>
        <w:t xml:space="preserve">2.2. Cleaning and preparation</w:t>
      </w:r>
      <w:bookmarkEnd w:id="908"/>
    </w:p>
    <w:p>
      <w:pPr>
        <w:spacing w:after="120" w:line="360"/>
        <w:ind w:firstLine="567"/>
        <w:jc w:val="both"/>
      </w:pPr>
      <w:r>
        <w:t xml:space="preserve">Data was entered through a shared spreadsheet pipeline that generates listing identifiers automatically and validates project identifiers against the master list. Two cleaning rules were applied consistently. First, dates and decimal numbers that spreadsheet software had silently converted into the wrong type were repaired before any calculation. Second, a missing number of bathrooms is stored as blank rather than zero, so that 'not stated' is never mistaken for 'no bathroom'; the web page then omits the bathroom count for such units. The cleaned tables were joined (listings with their project's address and coordinates) and embedded directly in the web page, so the tool needs no server and no internet connection to run.</w:t>
      </w:r>
    </w:p>
    <w:p>
      <w:pPr>
        <w:spacing w:after="120" w:line="360"/>
        <w:ind w:firstLine="567"/>
        <w:jc w:val="both"/>
      </w:pPr>
      <w:r>
        <w:t xml:space="preserve">The financial assumptions come from separate sources: the MB Bank (Van Phuc branch) rate sheet for the loan; FiinPro, the Deposit Insurance of Vietnam (DIV) and investing.com for investment returns; the World Bank for inflation and real income growth; the NSO Household Living Standards Survey for income growth; and legal documents and press reports for closing, running and selling costs. Every assumption shown on the page is linked to its source. The full list is given in Appendix A.</w:t>
      </w:r>
    </w:p>
    <w:p>
      <w:pPr>
        <w:pStyle w:val="Heading2"/>
        <w:keepNext/>
        <w:spacing w:after="120" w:before="240" w:line="360"/>
      </w:pPr>
      <w:bookmarkStart w:id="909" w:name="_Toc100009"/>
      <w:r>
        <w:rPr>
          <w:rFonts w:ascii="Times New Roman" w:cs="Times New Roman" w:eastAsia="Times New Roman" w:hAnsi="Times New Roman"/>
          <w:b/>
          <w:bCs/>
          <w:sz w:val="24"/>
          <w:szCs w:val="24"/>
        </w:rPr>
        <w:t xml:space="preserve">2.3. Known data limitations</w:t>
      </w:r>
      <w:bookmarkEnd w:id="909"/>
    </w:p>
    <w:p>
      <w:pPr>
        <w:spacing w:after="120" w:line="360"/>
        <w:ind w:firstLine="567"/>
        <w:jc w:val="both"/>
      </w:pPr>
      <w:r>
        <w:t xml:space="preserve">Two limitations are stated openly in the tool. Listing prices are </w:t>
      </w:r>
      <w:r>
        <w:t xml:space="preserve">asking prices</w:t>
      </w:r>
      <w:r>
        <w:t xml:space="preserve">, not final transaction prices, so actual purchase prices may be lower. The data is a </w:t>
      </w:r>
      <w:r>
        <w:t xml:space="preserve">snapshot</w:t>
      </w:r>
      <w:r>
        <w:t xml:space="preserve"> of 9 September 2026 and does not update itself. The team also chose to keep listings exactly as published instead of guessing corrections for apparent typing errors in the source pages; the relevance engine (Section 4.4) reduces their influence by using medians rather than means.</w:t>
      </w:r>
    </w:p>
    <w:p>
      <w:pPr>
        <w:pStyle w:val="Heading1"/>
        <w:keepNext/>
        <w:spacing w:after="160" w:before="360" w:line="360"/>
      </w:pPr>
      <w:bookmarkStart w:id="910" w:name="_Toc100010"/>
      <w:r>
        <w:rPr>
          <w:rFonts w:ascii="Times New Roman" w:cs="Times New Roman" w:eastAsia="Times New Roman" w:hAnsi="Times New Roman"/>
          <w:b/>
          <w:bCs/>
          <w:sz w:val="28"/>
          <w:szCs w:val="28"/>
        </w:rPr>
        <w:t xml:space="preserve">3. Product design and user flow</w:t>
      </w:r>
      <w:bookmarkEnd w:id="910"/>
    </w:p>
    <w:p>
      <w:pPr>
        <w:spacing w:after="120" w:line="360"/>
        <w:ind w:firstLine="567"/>
        <w:jc w:val="both"/>
      </w:pPr>
      <w:r>
        <w:t xml:space="preserve">FinFlow is a single HTML file that runs entirely in the user's browser. All data, formulas and charts are inside the file; fonts are loaded from the internet when available, otherwise the system font is used. The interface follows the order in which a household actually thinks about the decision, in five steps:</w:t>
      </w:r>
    </w:p>
    <w:p>
      <w:pPr>
        <w:pStyle w:val="ListParagraph"/>
        <w:numPr>
          <w:ilvl w:val="0"/>
          <w:numId w:val="3"/>
        </w:numPr>
        <w:spacing w:after="60" w:line="360"/>
        <w:jc w:val="both"/>
      </w:pPr>
      <w:r>
        <w:t xml:space="preserve">Your finances.</w:t>
      </w:r>
      <w:r>
        <w:t xml:space="preserve"> The user enters incomes, savings, minimum living cost, any existing debt and how long it lasts, the number of months of living cost to keep as an emergency fund, the borrowers' ages and a fixed-rate promotional package. The loan term is computed immediately from the ages, and a </w:t>
      </w:r>
      <w:r>
        <w:t xml:space="preserve">Your budget</w:t>
      </w:r>
      <w:r>
        <w:t xml:space="preserve"> panel shows the maximum price and rent the household can afford and how many listings fall within budget, by district and size.</w:t>
      </w:r>
    </w:p>
    <w:p>
      <w:pPr>
        <w:pStyle w:val="ListParagraph"/>
        <w:numPr>
          <w:ilvl w:val="0"/>
          <w:numId w:val="3"/>
        </w:numPr>
        <w:spacing w:after="60" w:line="360"/>
        <w:jc w:val="both"/>
      </w:pPr>
      <w:r>
        <w:t xml:space="preserve">Choose a project and size.</w:t>
      </w:r>
      <w:r>
        <w:t xml:space="preserve"> The user filters by district, beltway zone, old ward or building name, then selects a project and a size band. This combination is the </w:t>
      </w:r>
      <w:r>
        <w:t xml:space="preserve">target</w:t>
      </w:r>
      <w:r>
        <w:t xml:space="preserve">. Buying and renting are chosen independently, so a household can compare, for example, buying a small unit in one place with renting a larger one elsewhere.</w:t>
      </w:r>
    </w:p>
    <w:p>
      <w:pPr>
        <w:pStyle w:val="ListParagraph"/>
        <w:numPr>
          <w:ilvl w:val="0"/>
          <w:numId w:val="3"/>
        </w:numPr>
        <w:spacing w:after="60" w:line="360"/>
        <w:jc w:val="both"/>
      </w:pPr>
      <w:r>
        <w:t xml:space="preserve">Choose a BUY unit and a RENT unit.</w:t>
      </w:r>
      <w:r>
        <w:t xml:space="preserve"> The page lists the target units and suggests comparable units in other projects, ranked by a relevance score. Every unit carries a budget label. The user picks one unit to buy and one to rent.</w:t>
      </w:r>
    </w:p>
    <w:p>
      <w:pPr>
        <w:pStyle w:val="ListParagraph"/>
        <w:numPr>
          <w:ilvl w:val="0"/>
          <w:numId w:val="3"/>
        </w:numPr>
        <w:spacing w:after="60" w:line="360"/>
        <w:jc w:val="both"/>
      </w:pPr>
      <w:r>
        <w:t xml:space="preserve">Invest spare money.</w:t>
      </w:r>
      <w:r>
        <w:t xml:space="preserve"> The user decides how each month's spare money is split across savings deposits, government bonds, gold and stocks. The default is 100% savings deposits.</w:t>
      </w:r>
    </w:p>
    <w:p>
      <w:pPr>
        <w:pStyle w:val="ListParagraph"/>
        <w:numPr>
          <w:ilvl w:val="0"/>
          <w:numId w:val="3"/>
        </w:numPr>
        <w:spacing w:after="60" w:line="360"/>
        <w:jc w:val="both"/>
      </w:pPr>
      <w:r>
        <w:t xml:space="preserve">Result.</w:t>
      </w:r>
      <w:r>
        <w:t xml:space="preserve"> After pressing Calculate, the result opens on its own screen with a summary bar and a button to return to the inputs without losing them. It contains the safety verdict, a market-scenario switch, a reality check of rent against price, the net worth chart, the Monte Carlo results, a sensitivity table and a month-by-month breakdown of housing costs.</w:t>
      </w:r>
    </w:p>
    <w:p>
      <w:pPr>
        <w:spacing w:after="120" w:line="360"/>
        <w:ind w:firstLine="567"/>
        <w:jc w:val="both"/>
      </w:pPr>
      <w:r>
        <w:t xml:space="preserve">The same calculation engine is used for the budget panel, the budget labels and the final result, so a unit labelled 'within budget' in Step 3 always passes the safety check in Step 5 under the same settings.</w:t>
      </w:r>
    </w:p>
    <w:p>
      <w:pPr>
        <w:pStyle w:val="Heading1"/>
        <w:keepNext/>
        <w:spacing w:after="160" w:before="360" w:line="360"/>
      </w:pPr>
      <w:bookmarkStart w:id="911" w:name="_Toc100011"/>
      <w:r>
        <w:rPr>
          <w:rFonts w:ascii="Times New Roman" w:cs="Times New Roman" w:eastAsia="Times New Roman" w:hAnsi="Times New Roman"/>
          <w:b/>
          <w:bCs/>
          <w:sz w:val="28"/>
          <w:szCs w:val="28"/>
        </w:rPr>
        <w:t xml:space="preserve">4. Methodology</w:t>
      </w:r>
      <w:bookmarkEnd w:id="911"/>
    </w:p>
    <w:p>
      <w:pPr>
        <w:pStyle w:val="Heading2"/>
        <w:keepNext/>
        <w:spacing w:after="120" w:before="240" w:line="360"/>
      </w:pPr>
      <w:bookmarkStart w:id="912" w:name="_Toc100012"/>
      <w:r>
        <w:rPr>
          <w:rFonts w:ascii="Times New Roman" w:cs="Times New Roman" w:eastAsia="Times New Roman" w:hAnsi="Times New Roman"/>
          <w:b/>
          <w:bCs/>
          <w:sz w:val="24"/>
          <w:szCs w:val="24"/>
        </w:rPr>
        <w:t xml:space="preserve">4.1. Safety check</w:t>
      </w:r>
      <w:bookmarkEnd w:id="912"/>
    </w:p>
    <w:p>
      <w:pPr>
        <w:spacing w:after="120" w:line="360"/>
        <w:ind w:firstLine="567"/>
        <w:jc w:val="both"/>
      </w:pPr>
      <w:r>
        <w:t xml:space="preserve">The central question is whether the household can carry each option without being squeezed. For every month </w:t>
      </w:r>
      <w:r>
        <w:rPr>
          <w:i/>
          <w:iCs/>
        </w:rPr>
        <w:t xml:space="preserve">t</w:t>
      </w:r>
      <w:r>
        <w:t xml:space="preserve"> of the comparison period, the tool computes the money left after all regular outgoings:</w:t>
      </w:r>
    </w:p>
    <w:p>
      <w:pPr>
        <w:tabs>
          <w:tab w:val="center" w:pos="4536"/>
          <w:tab w:val="right" w:pos="9071"/>
        </w:tabs>
        <w:spacing w:after="120" w:before="80" w:line="360"/>
      </w:pPr>
      <w:r>
        <w:t xml:space="preserve">	</w:t>
      </w:r>
      <w:r>
        <w:rPr>
          <w:i w:val="false"/>
          <w:iCs w:val="false"/>
        </w:rPr>
        <w:t xml:space="preserve">Left(t) = Income(t) − LivingCost(t) − Debt(t) − HousingCost(t) − RunningCost(t)</w:t>
      </w:r>
      <w:r>
        <w:t xml:space="preserve">	(1)</w:t>
      </w:r>
    </w:p>
    <w:p>
      <w:pPr>
        <w:spacing w:after="120" w:line="360"/>
        <w:ind w:firstLine="567"/>
        <w:jc w:val="both"/>
      </w:pPr>
      <w:r>
        <w:t xml:space="preserve">For buying, the housing cost is the bank payment; for renting, it is the rent. Income grows by 5.56% a year and living cost by 3.09% a year (the average consumer price inflation of 2016–2025), both stepping up once a year. Existing debt payments stop after the number of months the user enters. An option is </w:t>
      </w:r>
      <w:r>
        <w:t xml:space="preserve">safe</w:t>
      </w:r>
      <w:r>
        <w:t xml:space="preserve"> if, in every month, the money left is at least a minimum share of income, the </w:t>
      </w:r>
      <w:r>
        <w:t xml:space="preserve">safe level</w:t>
      </w:r>
      <w:r>
        <w:t xml:space="preserve">. The safe level depends on household income measured in today's money, as shown in Table 2.</w:t>
      </w:r>
    </w:p>
    <w:p>
      <w:pPr>
        <w:keepNext/>
        <w:spacing w:after="80" w:before="200" w:line="276"/>
        <w:jc w:val="center"/>
      </w:pPr>
      <w:r>
        <w:rPr>
          <w:sz w:val="22"/>
          <w:szCs w:val="22"/>
        </w:rPr>
        <w:t xml:space="preserve">Table 2.</w:t>
      </w:r>
      <w:r>
        <w:rPr>
          <w:sz w:val="22"/>
          <w:szCs w:val="22"/>
        </w:rPr>
        <w:t xml:space="preserve"> Safe level by household income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1"/>
        <w:gridCol w:w="1361"/>
        <w:gridCol w:w="1361"/>
        <w:gridCol w:w="1360"/>
      </w:tblGrid>
      <w:tr>
        <w:trPr>
          <w:tblHeader/>
        </w:trPr>
        <w:tc>
          <w:tcPr>
            <w:tcW w:type="dxa" w:w="3628"/>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Household income (million VND/month, today's money)</w:t>
            </w:r>
          </w:p>
        </w:tc>
        <w:tc>
          <w:tcPr>
            <w:tcW w:type="dxa" w:w="1361"/>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Under 35</w:t>
            </w:r>
          </w:p>
        </w:tc>
        <w:tc>
          <w:tcPr>
            <w:tcW w:type="dxa" w:w="1361"/>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35–49</w:t>
            </w:r>
          </w:p>
        </w:tc>
        <w:tc>
          <w:tcPr>
            <w:tcW w:type="dxa" w:w="1361"/>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50–74</w:t>
            </w:r>
          </w:p>
        </w:tc>
        <w:tc>
          <w:tcPr>
            <w:tcW w:type="dxa" w:w="1360"/>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75 and above</w:t>
            </w:r>
          </w:p>
        </w:tc>
      </w:tr>
      <w:tr>
        <w:trPr>
          <w:cantSplit/>
        </w:trPr>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Minimum share of income left each month</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40%</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35%</w:t>
            </w:r>
          </w:p>
        </w:tc>
        <w:tc>
          <w:tcPr>
            <w:tcW w:type="dxa" w:w="13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30%</w:t>
            </w:r>
          </w:p>
        </w:tc>
        <w:tc>
          <w:tcPr>
            <w:tcW w:type="dxa" w:w="1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25%</w:t>
            </w:r>
          </w:p>
        </w:tc>
      </w:tr>
    </w:tbl>
    <w:p>
      <w:pPr>
        <w:spacing w:after="200" w:before="60" w:line="276"/>
        <w:jc w:val="left"/>
      </w:pPr>
      <w:r>
        <w:rPr>
          <w:i/>
          <w:iCs/>
          <w:sz w:val="20"/>
          <w:szCs w:val="20"/>
        </w:rPr>
        <w:t xml:space="preserve">Tiers are the team's own estimate; the debt-to-income rules of the CFPB and DNSE are used only as qualitative references, because they exclude living costs while FinFlow's measure includes them.</w:t>
      </w:r>
    </w:p>
    <w:p>
      <w:pPr>
        <w:spacing w:after="120" w:line="360"/>
        <w:ind w:firstLine="567"/>
        <w:jc w:val="both"/>
      </w:pPr>
      <w:r>
        <w:t xml:space="preserve">Measuring income in today's money means that nominal income growth alone cannot lower the bar; only real income growth can move a household into a lower tier. Each side of the result is then labelled </w:t>
      </w:r>
      <w:r>
        <w:t xml:space="preserve">Comfortable</w:t>
      </w:r>
      <w:r>
        <w:t xml:space="preserve"> (at least 5 percentage points of income above the safe level in the tightest month), </w:t>
      </w:r>
      <w:r>
        <w:t xml:space="preserve">Tight</w:t>
      </w:r>
      <w:r>
        <w:t xml:space="preserve"> (safe, but with less than 5 points to spare) or </w:t>
      </w:r>
      <w:r>
        <w:t xml:space="preserve">Not safe</w:t>
      </w:r>
      <w:r>
        <w:t xml:space="preserve"> (below the safe level in at least one month). The headline states whether both options, only one, or neither passes.</w:t>
      </w:r>
    </w:p>
    <w:p>
      <w:pPr>
        <w:pStyle w:val="Heading2"/>
        <w:keepNext/>
        <w:spacing w:after="120" w:before="240" w:line="360"/>
      </w:pPr>
      <w:bookmarkStart w:id="913" w:name="_Toc100013"/>
      <w:r>
        <w:rPr>
          <w:rFonts w:ascii="Times New Roman" w:cs="Times New Roman" w:eastAsia="Times New Roman" w:hAnsi="Times New Roman"/>
          <w:b/>
          <w:bCs/>
          <w:sz w:val="24"/>
          <w:szCs w:val="24"/>
        </w:rPr>
        <w:t xml:space="preserve">4.2. Loan model</w:t>
      </w:r>
      <w:bookmarkEnd w:id="913"/>
    </w:p>
    <w:p>
      <w:pPr>
        <w:spacing w:after="120" w:line="360"/>
        <w:ind w:firstLine="567"/>
        <w:jc w:val="both"/>
      </w:pPr>
      <w:r>
        <w:t xml:space="preserve">The mortgage follows the MB Bank (Van Phuc branch) product. The user chooses a fixed promotional package of 6, 12, 18 or 24 months at 7.7%, 8.3%, 8.5% or 9.0% a year respectively. After the promotional period, the rate floats at a reference rate of 10.5% plus a margin of 1.5 points for the next 12 months (12% a year) and 3.5 points thereafter (14% a year), in line with the 13–15% that borrowers report paying (Thanh Nien, 2026; Dan Tri, 2026). The first 24 months are an interest-only grace period; after that the principal is repaid in equal monthly instalments, so the payment is highest in the first month after the grace period and falls slowly as the balance declines.</w:t>
      </w:r>
    </w:p>
    <w:p>
      <w:pPr>
        <w:spacing w:after="120" w:line="360"/>
        <w:ind w:firstLine="567"/>
        <w:jc w:val="both"/>
      </w:pPr>
      <w:r>
        <w:t xml:space="preserve">The bank lends at most 80% of the price. In addition, the buyer pays closing costs of 2.6% of the price from savings (a 2% maintenance fund, a 0.5% registration fee and about 0.1% for notarisation) and keeps the chosen emergency fund aside. Buying is therefore possible only if</w:t>
      </w:r>
    </w:p>
    <w:p>
      <w:pPr>
        <w:tabs>
          <w:tab w:val="center" w:pos="4536"/>
          <w:tab w:val="right" w:pos="9071"/>
        </w:tabs>
        <w:spacing w:after="120" w:before="80" w:line="360"/>
      </w:pPr>
      <w:r>
        <w:t xml:space="preserve">	</w:t>
      </w:r>
      <w:r>
        <w:rPr>
          <w:i w:val="false"/>
          <w:iCs w:val="false"/>
        </w:rPr>
        <w:t xml:space="preserve">Savings ≥ Price × (1 − 80%) + Price × 2.6% + EmergencyFund</w:t>
      </w:r>
      <w:r>
        <w:t xml:space="preserve">	(2)</w:t>
      </w:r>
    </w:p>
    <w:p>
      <w:pPr>
        <w:spacing w:after="120" w:line="360"/>
        <w:ind w:firstLine="567"/>
        <w:jc w:val="both"/>
      </w:pPr>
      <w:r>
        <w:t xml:space="preserve">and the loan equals the price minus the savings that remain after closing costs and the emergency fund. The loan term depends on the borrowers' ages, because the loan must end by the time the older borrower turns 70 (VIB, n.d.; Cake, n.d.), and it cannot exceed the bank's maximum of 360 months:</w:t>
      </w:r>
    </w:p>
    <w:p>
      <w:pPr>
        <w:tabs>
          <w:tab w:val="center" w:pos="4536"/>
          <w:tab w:val="right" w:pos="9071"/>
        </w:tabs>
        <w:spacing w:after="120" w:before="80" w:line="360"/>
      </w:pPr>
      <w:r>
        <w:t xml:space="preserve">	</w:t>
      </w:r>
      <w:r>
        <w:rPr>
          <w:i w:val="false"/>
          <w:iCs w:val="false"/>
        </w:rPr>
        <w:t xml:space="preserve">Term = min((70 − older borrower's age) × 12, 360) months</w:t>
      </w:r>
      <w:r>
        <w:t xml:space="preserve">	(3)</w:t>
      </w:r>
    </w:p>
    <w:p>
      <w:pPr>
        <w:spacing w:after="120" w:line="360"/>
        <w:ind w:firstLine="567"/>
        <w:jc w:val="both"/>
      </w:pPr>
      <w:r>
        <w:t xml:space="preserve">The input is rejected if the older borrower is 70 or above, or if the resulting term is not longer than the 24-month grace period, since there would be no time left to repay the principal. An early-repayment fee of 1% of the outstanding balance applies in years 1–5 and is waived from year 6.</w:t>
      </w:r>
    </w:p>
    <w:p>
      <w:pPr>
        <w:pStyle w:val="Heading2"/>
        <w:keepNext/>
        <w:spacing w:after="120" w:before="240" w:line="360"/>
      </w:pPr>
      <w:bookmarkStart w:id="914" w:name="_Toc100014"/>
      <w:r>
        <w:rPr>
          <w:rFonts w:ascii="Times New Roman" w:cs="Times New Roman" w:eastAsia="Times New Roman" w:hAnsi="Times New Roman"/>
          <w:b/>
          <w:bCs/>
          <w:sz w:val="24"/>
          <w:szCs w:val="24"/>
        </w:rPr>
        <w:t xml:space="preserve">4.3. Budget and budget labels</w:t>
      </w:r>
      <w:bookmarkEnd w:id="914"/>
    </w:p>
    <w:p>
      <w:pPr>
        <w:spacing w:after="120" w:line="360"/>
        <w:ind w:firstLine="567"/>
        <w:jc w:val="both"/>
      </w:pPr>
      <w:r>
        <w:t xml:space="preserve">The budget panel in Step 1 finds the highest price and rent that pass the safety check for a unit of typical size. Because a higher price always means a larger loan and higher payments, and a higher rent always leaves less money, 'safe' changes from true to false exactly once as the price rises; the limit is therefore found by bisection, using the same engine as the final result. The maximum price is also capped by savings through Equation (2). Each unit in Step 3 is then labelled as in Table 3.</w:t>
      </w:r>
    </w:p>
    <w:p>
      <w:pPr>
        <w:keepNext/>
        <w:spacing w:after="80" w:before="200" w:line="276"/>
        <w:jc w:val="center"/>
      </w:pPr>
      <w:r>
        <w:rPr>
          <w:sz w:val="22"/>
          <w:szCs w:val="22"/>
        </w:rPr>
        <w:t xml:space="preserve">Table 3.</w:t>
      </w:r>
      <w:r>
        <w:rPr>
          <w:sz w:val="22"/>
          <w:szCs w:val="22"/>
        </w:rPr>
        <w:t xml:space="preserve"> Budget labels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451"/>
        <w:gridCol w:w="5624"/>
      </w:tblGrid>
      <w:tr>
        <w:trPr>
          <w:tblHeader/>
        </w:trPr>
        <w:tc>
          <w:tcPr>
            <w:tcW w:type="dxa" w:w="1996"/>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Label</w:t>
            </w:r>
          </w:p>
        </w:tc>
        <w:tc>
          <w:tcPr>
            <w:tcW w:type="dxa" w:w="1451"/>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Side</w:t>
            </w:r>
          </w:p>
        </w:tc>
        <w:tc>
          <w:tcPr>
            <w:tcW w:type="dxa" w:w="5624"/>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Meaning</w:t>
            </w:r>
          </w:p>
        </w:tc>
      </w:tr>
      <w:tr>
        <w:trPr>
          <w:cantSplit/>
        </w:trPr>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Within budget</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 and rent</w:t>
            </w:r>
          </w:p>
        </w:tc>
        <w:tc>
          <w:tcPr>
            <w:tcW w:type="dxa" w:w="56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Passes the safety check in every month</w:t>
            </w:r>
          </w:p>
        </w:tc>
      </w:tr>
      <w:tr>
        <w:trPr>
          <w:cantSplit/>
        </w:trPr>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Payment too tight</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w:t>
            </w:r>
          </w:p>
        </w:tc>
        <w:tc>
          <w:tcPr>
            <w:tcW w:type="dxa" w:w="56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Savings cover the down payment, but in at least one month the money left falls below the safe level</w:t>
            </w:r>
          </w:p>
        </w:tc>
      </w:tr>
      <w:tr>
        <w:trPr>
          <w:cantSplit/>
        </w:trPr>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Not enough savings</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w:t>
            </w:r>
          </w:p>
        </w:tc>
        <w:tc>
          <w:tcPr>
            <w:tcW w:type="dxa" w:w="56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Savings do not cover the down payment, closing costs and emergency fund (Equation 2)</w:t>
            </w:r>
          </w:p>
        </w:tc>
      </w:tr>
      <w:tr>
        <w:trPr>
          <w:cantSplit/>
        </w:trPr>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No loan available</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w:t>
            </w:r>
          </w:p>
        </w:tc>
        <w:tc>
          <w:tcPr>
            <w:tcW w:type="dxa" w:w="56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The borrowers' ages do not allow a valid loan term</w:t>
            </w:r>
          </w:p>
        </w:tc>
      </w:tr>
      <w:tr>
        <w:trPr>
          <w:cantSplit/>
        </w:trPr>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Rent too tight</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Rent</w:t>
            </w:r>
          </w:p>
        </w:tc>
        <w:tc>
          <w:tcPr>
            <w:tcW w:type="dxa" w:w="56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In at least one month the money left falls below the safe level</w:t>
            </w:r>
          </w:p>
        </w:tc>
      </w:tr>
    </w:tbl>
    <w:p>
      <w:pPr>
        <w:spacing w:after="120" w:line="360"/>
        <w:ind w:firstLine="567"/>
        <w:jc w:val="both"/>
      </w:pPr>
      <w:r>
        <w:t xml:space="preserve">The user can sort units so that those within budget appear first, or hide all others.</w:t>
      </w:r>
    </w:p>
    <w:p>
      <w:pPr>
        <w:pStyle w:val="Heading2"/>
        <w:keepNext/>
        <w:spacing w:after="120" w:before="240" w:line="360"/>
      </w:pPr>
      <w:bookmarkStart w:id="915" w:name="_Toc100015"/>
      <w:r>
        <w:rPr>
          <w:rFonts w:ascii="Times New Roman" w:cs="Times New Roman" w:eastAsia="Times New Roman" w:hAnsi="Times New Roman"/>
          <w:b/>
          <w:bCs/>
          <w:sz w:val="24"/>
          <w:szCs w:val="24"/>
        </w:rPr>
        <w:t xml:space="preserve">4.4. Relevance engine for unit suggestions</w:t>
      </w:r>
      <w:bookmarkEnd w:id="915"/>
    </w:p>
    <w:p>
      <w:pPr>
        <w:spacing w:after="120" w:line="360"/>
        <w:ind w:firstLine="567"/>
        <w:jc w:val="both"/>
      </w:pPr>
      <w:r>
        <w:t xml:space="preserve">Because most projects have very few listings, FinFlow suggests comparable units from other projects for both buying and renting, using the same logic on each side. A candidate must have two bedrooms, be in the same size band as the target and belong to a different project; candidates are drawn from all three districts. Each candidate is scored out of 100 points:</w:t>
      </w:r>
    </w:p>
    <w:p>
      <w:pPr>
        <w:pStyle w:val="ListParagraph"/>
        <w:numPr>
          <w:ilvl w:val="0"/>
          <w:numId w:val="2"/>
        </w:numPr>
        <w:spacing w:after="60" w:line="360"/>
        <w:jc w:val="both"/>
      </w:pPr>
      <w:r>
        <w:t xml:space="preserve">Price (45 points):</w:t>
      </w:r>
      <w:r>
        <w:t xml:space="preserve"> the candidate's price per square metre is within a tolerance of the price anchor: ±5% for Small, ±8% for Medium and ±10% for Large units.</w:t>
      </w:r>
    </w:p>
    <w:p>
      <w:pPr>
        <w:pStyle w:val="ListParagraph"/>
        <w:numPr>
          <w:ilvl w:val="0"/>
          <w:numId w:val="2"/>
        </w:numPr>
        <w:spacing w:after="60" w:line="360"/>
        <w:jc w:val="both"/>
      </w:pPr>
      <w:r>
        <w:t xml:space="preserve">District (30 points):</w:t>
      </w:r>
      <w:r>
        <w:t xml:space="preserve"> same old district as the target.</w:t>
      </w:r>
    </w:p>
    <w:p>
      <w:pPr>
        <w:pStyle w:val="ListParagraph"/>
        <w:numPr>
          <w:ilvl w:val="0"/>
          <w:numId w:val="2"/>
        </w:numPr>
        <w:spacing w:after="60" w:line="360"/>
        <w:jc w:val="both"/>
      </w:pPr>
      <w:r>
        <w:t xml:space="preserve">Beltway zone (25 points):</w:t>
      </w:r>
      <w:r>
        <w:t xml:space="preserve"> same beltway zone as the target.</w:t>
      </w:r>
    </w:p>
    <w:p>
      <w:pPr>
        <w:spacing w:after="120" w:line="360"/>
        <w:ind w:firstLine="567"/>
        <w:jc w:val="both"/>
      </w:pPr>
      <w:r>
        <w:t xml:space="preserve">The </w:t>
      </w:r>
      <w:r>
        <w:t xml:space="preserve">price anchor</w:t>
      </w:r>
      <w:r>
        <w:t xml:space="preserve"> is a median, which resists unusual asking prices. If the target has at least three units, the anchor is the median of the target units; otherwise it is the median of the whole size band. If the size band has fewer than five candidates, the price criterion is skipped and the maximum score becomes 55. On the rent side, rent per square metre is a weak signal of a building's standing, so the engine compares the price level of the buildings themselves using sale data: the median sale price per square metre of the building in the same size band (level L1, at least three sale listings) or across all sizes (L2). Only when either building has no sale data do both sides fall back to rent per square metre against the rent anchor (L3).</w:t>
      </w:r>
    </w:p>
    <w:p>
      <w:pPr>
        <w:spacing w:after="120" w:line="360"/>
        <w:ind w:firstLine="567"/>
        <w:jc w:val="both"/>
      </w:pPr>
      <w:r>
        <w:t xml:space="preserve">The tolerances are grounded in the data: among the 87 buildings with at least three sale listings, the coefficient of variation of price per square metre within a building has a median of 6.4%, so the tolerance is set tighter for Small units and wider for Large units, whose prices vary more. Table 4 shows how scores map to relevance levels.</w:t>
      </w:r>
    </w:p>
    <w:p>
      <w:pPr>
        <w:keepNext/>
        <w:spacing w:after="80" w:before="200" w:line="276"/>
        <w:jc w:val="center"/>
      </w:pPr>
      <w:r>
        <w:rPr>
          <w:sz w:val="22"/>
          <w:szCs w:val="22"/>
        </w:rPr>
        <w:t xml:space="preserve">Table 4.</w:t>
      </w:r>
      <w:r>
        <w:rPr>
          <w:sz w:val="22"/>
          <w:szCs w:val="22"/>
        </w:rPr>
        <w:t xml:space="preserve"> Relevance levels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3"/>
        <w:gridCol w:w="1996"/>
        <w:gridCol w:w="5442"/>
      </w:tblGrid>
      <w:tr>
        <w:trPr>
          <w:tblHeader/>
        </w:trPr>
        <w:tc>
          <w:tcPr>
            <w:tcW w:type="dxa" w:w="1633"/>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Level</w:t>
            </w:r>
          </w:p>
        </w:tc>
        <w:tc>
          <w:tcPr>
            <w:tcW w:type="dxa" w:w="1996"/>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Score</w:t>
            </w:r>
          </w:p>
        </w:tc>
        <w:tc>
          <w:tcPr>
            <w:tcW w:type="dxa" w:w="5442"/>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Criteria matched</w:t>
            </w:r>
          </w:p>
        </w:tc>
      </w:tr>
      <w:tr>
        <w:trPr>
          <w:cantSplit/>
        </w:trPr>
        <w:tc>
          <w:tcPr>
            <w:tcW w:type="dxa" w:w="16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Target</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w:t>
            </w:r>
          </w:p>
        </w:tc>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The selected project and size band</w:t>
            </w:r>
          </w:p>
        </w:tc>
      </w:tr>
      <w:tr>
        <w:trPr>
          <w:cantSplit/>
        </w:trPr>
        <w:tc>
          <w:tcPr>
            <w:tcW w:type="dxa" w:w="16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High</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100</w:t>
            </w:r>
          </w:p>
        </w:tc>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Price, district and beltway zone</w:t>
            </w:r>
          </w:p>
        </w:tc>
      </w:tr>
      <w:tr>
        <w:trPr>
          <w:cantSplit/>
        </w:trPr>
        <w:tc>
          <w:tcPr>
            <w:tcW w:type="dxa" w:w="16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Medium</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75 / 70 / 55</w:t>
            </w:r>
          </w:p>
        </w:tc>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District and price / beltway and price / district and beltway</w:t>
            </w:r>
          </w:p>
        </w:tc>
      </w:tr>
      <w:tr>
        <w:trPr>
          <w:cantSplit/>
        </w:trPr>
        <w:tc>
          <w:tcPr>
            <w:tcW w:type="dxa" w:w="16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Low</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45 / 30 / 25</w:t>
            </w:r>
          </w:p>
        </w:tc>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Price only / district only / beltway only</w:t>
            </w:r>
          </w:p>
        </w:tc>
      </w:tr>
      <w:tr>
        <w:trPr>
          <w:cantSplit/>
        </w:trPr>
        <w:tc>
          <w:tcPr>
            <w:tcW w:type="dxa" w:w="16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Warning</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0</w:t>
            </w:r>
          </w:p>
        </w:tc>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None (same size band only)</w:t>
            </w:r>
          </w:p>
        </w:tc>
      </w:tr>
    </w:tbl>
    <w:p>
      <w:pPr>
        <w:spacing w:after="120" w:line="360"/>
        <w:ind w:firstLine="567"/>
        <w:jc w:val="both"/>
      </w:pPr>
      <w:r>
        <w:t xml:space="preserve">Candidates are ranked by score and, on equal scores, by their distance from the target project, computed with the Haversine formula from project coordinates:</w:t>
      </w:r>
    </w:p>
    <w:p>
      <w:pPr>
        <w:tabs>
          <w:tab w:val="center" w:pos="4536"/>
          <w:tab w:val="right" w:pos="9071"/>
        </w:tabs>
        <w:spacing w:after="120" w:before="80" w:line="360"/>
      </w:pPr>
      <w:r>
        <w:t xml:space="preserve">	</w:t>
      </w:r>
      <w:r>
        <w:rPr>
          <w:i w:val="false"/>
          <w:iCs w:val="false"/>
        </w:rPr>
        <w:t xml:space="preserve">d = 2 × 6371 × asin(√(sin²(Δφ/2) + cos φ₁ × cos φ₂ × sin²(Δλ/2))) km</w:t>
      </w:r>
      <w:r>
        <w:t xml:space="preserve">	(4)</w:t>
      </w:r>
    </w:p>
    <w:p>
      <w:pPr>
        <w:spacing w:after="120" w:line="360"/>
        <w:ind w:firstLine="567"/>
        <w:jc w:val="both"/>
      </w:pPr>
      <w:r>
        <w:t xml:space="preserve">The page shows the target units, all High candidates and up to eight Medium candidates; if fewer than five are shown, Low candidates are added. A 'Load more' button reveals further candidates in rank order. Each card states the score, rank, distance and exactly which criteria matched or failed, with the percentage difference from the anchor.</w:t>
      </w:r>
    </w:p>
    <w:p>
      <w:pPr>
        <w:pStyle w:val="Heading2"/>
        <w:keepNext/>
        <w:spacing w:after="120" w:before="240" w:line="360"/>
      </w:pPr>
      <w:bookmarkStart w:id="916" w:name="_Toc100016"/>
      <w:r>
        <w:rPr>
          <w:rFonts w:ascii="Times New Roman" w:cs="Times New Roman" w:eastAsia="Times New Roman" w:hAnsi="Times New Roman"/>
          <w:b/>
          <w:bCs/>
          <w:sz w:val="24"/>
          <w:szCs w:val="24"/>
        </w:rPr>
        <w:t xml:space="preserve">4.5. Running costs</w:t>
      </w:r>
      <w:bookmarkEnd w:id="916"/>
    </w:p>
    <w:p>
      <w:pPr>
        <w:spacing w:after="120" w:line="360"/>
        <w:ind w:firstLine="567"/>
        <w:jc w:val="both"/>
      </w:pPr>
      <w:r>
        <w:t xml:space="preserve">Both owners and tenants pay the building service fee, set at 10,000 VND per square metre per month, a typical value within Hanoi's regulated range of 1,200–16,500 VND (Vietnam Finance Times, n.d.; VnExpress, n.d.). Owners also pay compulsory fire insurance of 0.05% of the price a year. Both costs grow with inflation. Repairs inside the unit are excluded from the base case because the evidence is weak, but are tested in the sensitivity analysis.</w:t>
      </w:r>
    </w:p>
    <w:p>
      <w:pPr>
        <w:pStyle w:val="Heading2"/>
        <w:keepNext/>
        <w:spacing w:after="120" w:before="240" w:line="360"/>
      </w:pPr>
      <w:bookmarkStart w:id="917" w:name="_Toc100017"/>
      <w:r>
        <w:rPr>
          <w:rFonts w:ascii="Times New Roman" w:cs="Times New Roman" w:eastAsia="Times New Roman" w:hAnsi="Times New Roman"/>
          <w:b/>
          <w:bCs/>
          <w:sz w:val="24"/>
          <w:szCs w:val="24"/>
        </w:rPr>
        <w:t xml:space="preserve">4.6. Net worth and investment channels</w:t>
      </w:r>
      <w:bookmarkEnd w:id="917"/>
    </w:p>
    <w:p>
      <w:pPr>
        <w:spacing w:after="120" w:line="360"/>
        <w:ind w:firstLine="567"/>
        <w:jc w:val="both"/>
      </w:pPr>
      <w:r>
        <w:t xml:space="preserve">To compare the two options fairly, FinFlow tracks the net worth each would build, defined as the money the household would walk away with. For buying:</w:t>
      </w:r>
    </w:p>
    <w:p>
      <w:pPr>
        <w:tabs>
          <w:tab w:val="center" w:pos="4536"/>
          <w:tab w:val="right" w:pos="9071"/>
        </w:tabs>
        <w:spacing w:after="120" w:before="80" w:line="360"/>
      </w:pPr>
      <w:r>
        <w:t xml:space="preserve">	</w:t>
      </w:r>
      <w:r>
        <w:rPr>
          <w:i w:val="false"/>
          <w:iCs w:val="false"/>
        </w:rPr>
        <w:t xml:space="preserve">NW_buy(t) = Value(t) − Selling(t) − Loan(t) − Prepay(t) + Cash(t)</w:t>
      </w:r>
      <w:r>
        <w:t xml:space="preserve">	(5)</w:t>
      </w:r>
    </w:p>
    <w:p>
      <w:pPr>
        <w:spacing w:after="120" w:line="360"/>
        <w:ind w:firstLine="567"/>
        <w:jc w:val="both"/>
      </w:pPr>
      <w:r>
        <w:t xml:space="preserve">where Value is the home's market value, Loan the outstanding balance, Prepay the early-repayment fee on that balance, and Selling the cost of selling, a 1.5% broker fee (no personal income tax applies to the sale of a sole home held for more than 183 days), and Cash(t) is the household's investments plus its emergency fund, minus any shortfall not yet covered. For renting, the household keeps all its savings, so net worth is simply this cash position, starting from the full savings and growing with every month's surplus:</w:t>
      </w:r>
    </w:p>
    <w:p>
      <w:pPr>
        <w:tabs>
          <w:tab w:val="center" w:pos="4536"/>
          <w:tab w:val="right" w:pos="9071"/>
        </w:tabs>
        <w:spacing w:after="120" w:before="80" w:line="360"/>
      </w:pPr>
      <w:r>
        <w:t xml:space="preserve">	</w:t>
      </w:r>
      <w:r>
        <w:rPr>
          <w:i w:val="false"/>
          <w:iCs w:val="false"/>
        </w:rPr>
        <w:t xml:space="preserve">NW_rent(t) = Cash(t),  with Cash(0) = Savings</w:t>
      </w:r>
      <w:r>
        <w:t xml:space="preserve">	(6)</w:t>
      </w:r>
    </w:p>
    <w:p>
      <w:pPr>
        <w:spacing w:after="120" w:line="360"/>
        <w:ind w:firstLine="567"/>
        <w:jc w:val="both"/>
      </w:pPr>
      <w:r>
        <w:t xml:space="preserve">Because closing costs are paid at purchase, buying starts below renting. Each month, the household's spare money (Equation 1, when positive) first repays any earlier shortfall, then tops up the emergency fund to its target (which rises with living costs), and the rest is invested according to the user's mix of four channels (Table 5). The mix is rebalanced every 12 months. A monthly deficit is taken from the investments first; only when they are exhausted is the emergency fund used, and beyond that the household 'runs out of money', with the shortfall subtracted from net worth. The emergency fund always stays in savings deposits. The same mix applies to both options.</w:t>
      </w:r>
    </w:p>
    <w:p>
      <w:pPr>
        <w:keepNext/>
        <w:spacing w:after="80" w:before="200" w:line="276"/>
        <w:jc w:val="center"/>
      </w:pPr>
      <w:r>
        <w:rPr>
          <w:sz w:val="22"/>
          <w:szCs w:val="22"/>
        </w:rPr>
        <w:t xml:space="preserve">Table 5.</w:t>
      </w:r>
      <w:r>
        <w:rPr>
          <w:sz w:val="22"/>
          <w:szCs w:val="22"/>
        </w:rPr>
        <w:t xml:space="preserve"> Investment channels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633"/>
        <w:gridCol w:w="2177"/>
        <w:gridCol w:w="3447"/>
      </w:tblGrid>
      <w:tr>
        <w:trPr>
          <w:tblHeader/>
        </w:trPr>
        <w:tc>
          <w:tcPr>
            <w:tcW w:type="dxa" w:w="1814"/>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Channel</w:t>
            </w:r>
          </w:p>
        </w:tc>
        <w:tc>
          <w:tcPr>
            <w:tcW w:type="dxa" w:w="1633"/>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Average return (per year)</w:t>
            </w:r>
          </w:p>
        </w:tc>
        <w:tc>
          <w:tcPr>
            <w:tcW w:type="dxa" w:w="2177"/>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Standard deviation (points)</w:t>
            </w:r>
          </w:p>
        </w:tc>
        <w:tc>
          <w:tcPr>
            <w:tcW w:type="dxa" w:w="3447"/>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Source and period</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Savings deposits</w:t>
            </w:r>
          </w:p>
        </w:tc>
        <w:tc>
          <w:tcPr>
            <w:tcW w:type="dxa" w:w="16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6.50%</w:t>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0.82 (drawn once per future)</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FiinPro, 6–12-month deposit rate, 2016–2026; cross-checked with DIV</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Government bonds</w:t>
            </w:r>
          </w:p>
        </w:tc>
        <w:tc>
          <w:tcPr>
            <w:tcW w:type="dxa" w:w="16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4.02%</w:t>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1.37 (drawn once per future)</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FiinPro, 10-year government bond yield, 2016–2026</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Gold (SJC)</w:t>
            </w:r>
          </w:p>
        </w:tc>
        <w:tc>
          <w:tcPr>
            <w:tcW w:type="dxa" w:w="16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11.12%</w:t>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14.13 (new draw every year)</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FiinPro, SJC sell price, 02/2016–12/2024</w:t>
            </w:r>
          </w:p>
        </w:tc>
      </w:tr>
      <w:tr>
        <w:trPr>
          <w:cantSplit/>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Stocks (VN-Index)</w:t>
            </w:r>
          </w:p>
        </w:tc>
        <w:tc>
          <w:tcPr>
            <w:tcW w:type="dxa" w:w="16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7.99%</w:t>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19.30 (new draw every year)</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investing.com, 05/2021–08/2026, excluding dividends</w:t>
            </w:r>
          </w:p>
        </w:tc>
      </w:tr>
    </w:tbl>
    <w:p>
      <w:pPr>
        <w:spacing w:after="200" w:before="60" w:line="276"/>
        <w:jc w:val="left"/>
      </w:pPr>
      <w:r>
        <w:rPr>
          <w:i/>
          <w:iCs/>
          <w:sz w:val="20"/>
          <w:szCs w:val="20"/>
        </w:rPr>
        <w:t xml:space="preserve">The gold average excludes the exceptional 2025 rise (+81.5%); 14.89% including 2025 is tested in the sensitivity analysis.</w:t>
      </w:r>
    </w:p>
    <w:p>
      <w:pPr>
        <w:pStyle w:val="Heading3"/>
        <w:keepNext/>
        <w:spacing w:after="80" w:before="160" w:line="360"/>
      </w:pPr>
      <w:r>
        <w:rPr>
          <w:rFonts w:ascii="Times New Roman" w:cs="Times New Roman" w:eastAsia="Times New Roman" w:hAnsi="Times New Roman"/>
          <w:b/>
          <w:bCs/>
          <w:i/>
          <w:iCs/>
          <w:sz w:val="24"/>
          <w:szCs w:val="24"/>
        </w:rPr>
        <w:t xml:space="preserve">Home price growth</w:t>
      </w:r>
    </w:p>
    <w:p>
      <w:pPr>
        <w:spacing w:after="120" w:line="360"/>
        <w:ind w:firstLine="567"/>
        <w:jc w:val="both"/>
      </w:pPr>
      <w:r>
        <w:t xml:space="preserve">A flat growth rate for 30 years would either ignore the recent boom or extrapolate it indefinitely. FinFlow therefore lets growth cool gradually from the recent rate toward a long-run rate:</w:t>
      </w:r>
    </w:p>
    <w:p>
      <w:pPr>
        <w:tabs>
          <w:tab w:val="center" w:pos="4536"/>
          <w:tab w:val="right" w:pos="9071"/>
        </w:tabs>
        <w:spacing w:after="120" w:before="80" w:line="360"/>
      </w:pPr>
      <w:r>
        <w:t xml:space="preserve">	</w:t>
      </w:r>
      <w:r>
        <w:rPr>
          <w:i w:val="false"/>
          <w:iCs w:val="false"/>
        </w:rPr>
        <w:t xml:space="preserve">g(k) = g∞ + (g₀ − g∞) × exp(−(k − 1)/τ)</w:t>
      </w:r>
      <w:r>
        <w:t xml:space="preserve">	(7)</w:t>
      </w:r>
    </w:p>
    <w:p>
      <w:pPr>
        <w:spacing w:after="120" w:line="360"/>
        <w:ind w:firstLine="567"/>
        <w:jc w:val="both"/>
      </w:pPr>
      <w:r>
        <w:t xml:space="preserve">where </w:t>
      </w:r>
      <w:r>
        <w:rPr>
          <w:i/>
          <w:iCs/>
        </w:rPr>
        <w:t xml:space="preserve">k</w:t>
      </w:r>
      <w:r>
        <w:t xml:space="preserve"> is the year, g₀ = 20.43% is the compound growth of Hanoi primary prices in 2020–2025 (CafeF, n.d.; Cushman &amp; Wakefield, n.d.), g∞ = 8.38% is average inflation (3.09%) plus average real GDP per capita growth (5.29%) in 2016–2025 (World Bank, n.d.-a, n.d.-b), and τ = 3.24 years is calibrated so that average growth over the first ten years equals 12.66%, the compound growth of 2016–2025. Rent grows by 6% a year, within the 5–10% range reported in the press (VnExpress, n.d.; Vietnambiz, n.d.).</w:t>
      </w:r>
    </w:p>
    <w:p>
      <w:pPr>
        <w:pStyle w:val="Heading3"/>
        <w:keepNext/>
        <w:spacing w:after="80" w:before="160" w:line="360"/>
      </w:pPr>
      <w:r>
        <w:rPr>
          <w:rFonts w:ascii="Times New Roman" w:cs="Times New Roman" w:eastAsia="Times New Roman" w:hAnsi="Times New Roman"/>
          <w:b/>
          <w:bCs/>
          <w:i/>
          <w:iCs/>
          <w:sz w:val="24"/>
          <w:szCs w:val="24"/>
        </w:rPr>
        <w:t xml:space="preserve">Reality check</w:t>
      </w:r>
    </w:p>
    <w:p>
      <w:pPr>
        <w:spacing w:after="120" w:line="360"/>
        <w:ind w:firstLine="567"/>
        <w:jc w:val="both"/>
      </w:pPr>
      <w:r>
        <w:t xml:space="preserve">Next to the net worth chart, the tool shows the gross rental yield of the chosen pair (annual rent divided by price, per square metre), the price-to-rent ratio and the projected yield in year 10, and compares them with the market median of 2.3% in our data and 3.7% for two-bedroom units in Hanoi (Global Property Guide, n.d.). This makes explicit that buying wins mainly through price growth, and encourages the user to check the Downturn scenario.</w:t>
      </w:r>
    </w:p>
    <w:p>
      <w:pPr>
        <w:pStyle w:val="Heading2"/>
        <w:keepNext/>
        <w:spacing w:after="120" w:before="240" w:line="360"/>
      </w:pPr>
      <w:bookmarkStart w:id="918" w:name="_Toc100018"/>
      <w:r>
        <w:rPr>
          <w:rFonts w:ascii="Times New Roman" w:cs="Times New Roman" w:eastAsia="Times New Roman" w:hAnsi="Times New Roman"/>
          <w:b/>
          <w:bCs/>
          <w:sz w:val="24"/>
          <w:szCs w:val="24"/>
        </w:rPr>
        <w:t xml:space="preserve">4.7. Market scenarios</w:t>
      </w:r>
      <w:bookmarkEnd w:id="918"/>
    </w:p>
    <w:p>
      <w:pPr>
        <w:spacing w:after="120" w:line="360"/>
        <w:ind w:firstLine="567"/>
        <w:jc w:val="both"/>
      </w:pPr>
      <w:r>
        <w:t xml:space="preserve">The user can switch between three scenarios, each modelled on a real period in the 2016–2026 data. Only the averages change; the uncertainty around them stays the same (Table 6). Variables not listed, such as inflation and the returns on gold and stocks, keep their Stable values.</w:t>
      </w:r>
    </w:p>
    <w:p>
      <w:pPr>
        <w:keepNext/>
        <w:spacing w:after="80" w:before="200" w:line="276"/>
        <w:jc w:val="center"/>
      </w:pPr>
      <w:r>
        <w:rPr>
          <w:sz w:val="22"/>
          <w:szCs w:val="22"/>
        </w:rPr>
        <w:t xml:space="preserve">Table 6.</w:t>
      </w:r>
      <w:r>
        <w:rPr>
          <w:sz w:val="22"/>
          <w:szCs w:val="22"/>
        </w:rPr>
        <w:t xml:space="preserve"> Market scenarios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7"/>
      </w:tblGrid>
      <w:tr>
        <w:trPr>
          <w:tblHeader/>
        </w:trPr>
        <w:tc>
          <w:tcPr>
            <w:tcW w:type="dxa" w:w="2268"/>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Variable</w:t>
            </w:r>
          </w:p>
        </w:tc>
        <w:tc>
          <w:tcPr>
            <w:tcW w:type="dxa" w:w="2268"/>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Boom</w:t>
            </w:r>
          </w:p>
        </w:tc>
        <w:tc>
          <w:tcPr>
            <w:tcW w:type="dxa" w:w="2268"/>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Stable (base)</w:t>
            </w:r>
          </w:p>
        </w:tc>
        <w:tc>
          <w:tcPr>
            <w:tcW w:type="dxa" w:w="2267"/>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Downturn</w:t>
            </w:r>
          </w:p>
        </w:tc>
      </w:tr>
      <w:tr>
        <w:trPr>
          <w:cantSplit/>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Reference interest rate</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9.75% (−1 SD)</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10.5%</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11.25% (+1 SD)</w:t>
            </w:r>
          </w:p>
        </w:tc>
      </w:tr>
      <w:tr>
        <w:trPr>
          <w:cantSplit/>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Maximum loan-to-value</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80%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80%</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70%</w:t>
            </w:r>
          </w:p>
        </w:tc>
      </w:tr>
      <w:tr>
        <w:trPr>
          <w:cantSplit/>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Home price growth</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20.43% → 8.38%, τ = 6.5 years</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20.43% → 8.38%, τ = 3.24 years</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3.64% → 8.38%, τ = 3.24 years</w:t>
            </w:r>
          </w:p>
        </w:tc>
      </w:tr>
      <w:tr>
        <w:trPr>
          <w:cantSplit/>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Rent growth</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6%</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3%</w:t>
            </w:r>
          </w:p>
        </w:tc>
      </w:tr>
      <w:tr>
        <w:trPr>
          <w:cantSplit/>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Income growth</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9.29%</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5.56%</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3.09%</w:t>
            </w:r>
          </w:p>
        </w:tc>
      </w:tr>
      <w:tr>
        <w:trPr>
          <w:cantSplit/>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Savings / bond returns</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5.85% / 2.40%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6.50% / 4.02%</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7.60% / 5.04%</w:t>
            </w:r>
          </w:p>
        </w:tc>
      </w:tr>
    </w:tbl>
    <w:p>
      <w:pPr>
        <w:spacing w:after="200" w:before="60" w:line="276"/>
        <w:jc w:val="left"/>
      </w:pPr>
      <w:r>
        <w:rPr>
          <w:i/>
          <w:iCs/>
          <w:sz w:val="20"/>
          <w:szCs w:val="20"/>
        </w:rPr>
        <w:t xml:space="preserve">Boom mirrors 2020–2025 (with slower cooling) and the low-rate years 2020–21; Downturn repeats the price growth of 2016–2020, flat real income and the rates of 2022.</w:t>
      </w:r>
    </w:p>
    <w:p>
      <w:pPr>
        <w:pStyle w:val="Heading2"/>
        <w:keepNext/>
        <w:spacing w:after="120" w:before="240" w:line="360"/>
      </w:pPr>
      <w:bookmarkStart w:id="919" w:name="_Toc100019"/>
      <w:r>
        <w:rPr>
          <w:rFonts w:ascii="Times New Roman" w:cs="Times New Roman" w:eastAsia="Times New Roman" w:hAnsi="Times New Roman"/>
          <w:b/>
          <w:bCs/>
          <w:sz w:val="24"/>
          <w:szCs w:val="24"/>
        </w:rPr>
        <w:t xml:space="preserve">4.8. Monte Carlo simulation</w:t>
      </w:r>
      <w:bookmarkEnd w:id="919"/>
    </w:p>
    <w:p>
      <w:pPr>
        <w:spacing w:after="120" w:line="360"/>
        <w:ind w:firstLine="567"/>
        <w:jc w:val="both"/>
      </w:pPr>
      <w:r>
        <w:t xml:space="preserve">The safety check and the net worth chart use average assumptions. To show how often things go wrong when reality differs, the tool runs 1,000 simulated futures inside the page. In each future, the uncertain inputs are drawn from normal distributions around the averages of the selected scenario (Table 7). Interest rates, home price growth, rent growth and the returns on savings and bonds are drawn once and kept for the whole term, because what matters for these is the uncertainty of the long-run average; income growth and the returns on gold and stocks are drawn again every year. For home prices, the standard deviation of about 14% for a single year shrinks to about 14% ÷ √30 ≈ 2.6% for a 30-year average; it is set at 4 points to remain conservative. Inflation is not randomised. A fixed random seed ensures that the same inputs always give the same results, and the full simulation takes under a second.</w:t>
      </w:r>
    </w:p>
    <w:p>
      <w:pPr>
        <w:keepNext/>
        <w:spacing w:after="80" w:before="200" w:line="276"/>
        <w:jc w:val="center"/>
      </w:pPr>
      <w:r>
        <w:rPr>
          <w:sz w:val="22"/>
          <w:szCs w:val="22"/>
        </w:rPr>
        <w:t xml:space="preserve">Table 7.</w:t>
      </w:r>
      <w:r>
        <w:rPr>
          <w:sz w:val="22"/>
          <w:szCs w:val="22"/>
        </w:rPr>
        <w:t xml:space="preserve"> Variables varied in the simulation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82"/>
        <w:gridCol w:w="2721"/>
        <w:gridCol w:w="2268"/>
      </w:tblGrid>
      <w:tr>
        <w:trPr>
          <w:tblHeader/>
        </w:trPr>
        <w:tc>
          <w:tcPr>
            <w:tcW w:type="dxa" w:w="4082"/>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Variable</w:t>
            </w:r>
          </w:p>
        </w:tc>
        <w:tc>
          <w:tcPr>
            <w:tcW w:type="dxa" w:w="2721"/>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Standard deviation</w:t>
            </w:r>
          </w:p>
        </w:tc>
        <w:tc>
          <w:tcPr>
            <w:tcW w:type="dxa" w:w="2268"/>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Drawn</w:t>
            </w:r>
          </w:p>
        </w:tc>
      </w:tr>
      <w:tr>
        <w:trPr>
          <w:cantSplit/>
        </w:trPr>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Reference interest rate</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0.75 points</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Once per future</w:t>
            </w:r>
          </w:p>
        </w:tc>
      </w:tr>
      <w:tr>
        <w:trPr>
          <w:cantSplit/>
        </w:trPr>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Home price growth (added to every year)</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4 points</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Once per future</w:t>
            </w:r>
          </w:p>
        </w:tc>
      </w:tr>
      <w:tr>
        <w:trPr>
          <w:cantSplit/>
        </w:trPr>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Rent growth</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1.25 points</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Once per future</w:t>
            </w:r>
          </w:p>
        </w:tc>
      </w:tr>
      <w:tr>
        <w:trPr>
          <w:cantSplit/>
        </w:trPr>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Savings / government bond returns</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0.82 / 1.37 points</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Once per future</w:t>
            </w:r>
          </w:p>
        </w:tc>
      </w:tr>
      <w:tr>
        <w:trPr>
          <w:cantSplit/>
        </w:trPr>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Income growth</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5.71 points (NSO, 2019–2024)</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Every year</w:t>
            </w:r>
          </w:p>
        </w:tc>
      </w:tr>
      <w:tr>
        <w:trPr>
          <w:cantSplit/>
        </w:trPr>
        <w:tc>
          <w:tcPr>
            <w:tcW w:type="dxa" w:w="408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Gold / stock returns</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14.13 / 19.30 points</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Every year</w:t>
            </w:r>
          </w:p>
        </w:tc>
      </w:tr>
    </w:tbl>
    <w:p>
      <w:pPr>
        <w:spacing w:after="120" w:line="360"/>
        <w:ind w:firstLine="567"/>
        <w:jc w:val="both"/>
      </w:pPr>
      <w:r>
        <w:t xml:space="preserve">The simulation reports, for a horizon of 10, 20 or 30 years: the share of futures in which buying ends with more net worth than renting (with and without touching the emergency fund); the share in which each option needs the emergency fund or runs out of money; the share that stays above the safe level every month; the 10th, 50th and 90th percentiles (P10, P50, P90) of net worth, shown as shaded bands on the chart; and the median break-even year. The share of futures needing the emergency fund is turned into a risk label: under 10% low, 10–25% moderate, above 25% high. When enough futures go wrong, the page also names the inputs that differ most between bad and good futures, for example higher interest rates or slower income growth.</w:t>
      </w:r>
    </w:p>
    <w:p>
      <w:pPr>
        <w:spacing w:after="120" w:line="360"/>
        <w:ind w:firstLine="567"/>
        <w:jc w:val="both"/>
      </w:pPr>
      <w:r>
        <w:t xml:space="preserve">The draws are independent by default. In reality, bad conditions often arrive together; this is tested in the sensitivity analysis with a shared shock that pushes rates up and prices, incomes and stock returns down at the same time (correlation 0.5).</w:t>
      </w:r>
    </w:p>
    <w:p>
      <w:pPr>
        <w:pStyle w:val="Heading2"/>
        <w:keepNext/>
        <w:spacing w:after="120" w:before="240" w:line="360"/>
      </w:pPr>
      <w:bookmarkStart w:id="920" w:name="_Toc100020"/>
      <w:r>
        <w:rPr>
          <w:rFonts w:ascii="Times New Roman" w:cs="Times New Roman" w:eastAsia="Times New Roman" w:hAnsi="Times New Roman"/>
          <w:b/>
          <w:bCs/>
          <w:sz w:val="24"/>
          <w:szCs w:val="24"/>
        </w:rPr>
        <w:t xml:space="preserve">4.9. Sensitivity analysis</w:t>
      </w:r>
      <w:bookmarkEnd w:id="920"/>
    </w:p>
    <w:p>
      <w:pPr>
        <w:spacing w:after="120" w:line="360"/>
        <w:ind w:firstLine="567"/>
        <w:jc w:val="both"/>
      </w:pPr>
      <w:r>
        <w:t xml:space="preserve">The sensitivity table changes one assumption at a time while keeping everything else at the Stable averages, and reports the safety verdict and 500 simulated futures for each change. The sixteen rows cover the cooling speed and upper bound of home price growth (including a flat 19% a year), rent growth of 3%, 7% and 10%, a maximum age at loan end of 65 or 75, a loan-to-value of 70%, gold returns including 2025, an income shock of −1.6% a year in years 2–3 (as in 2020–21), the maximum service fee, owner upkeep of 1% of the price a year, a selling cost of 3.5% including income tax, correlated shocks, and a smooth safe level without steps between tiers. This shows the user which assumptions could reverse the conclusion.</w:t>
      </w:r>
    </w:p>
    <w:p>
      <w:pPr>
        <w:pStyle w:val="Heading1"/>
        <w:keepNext/>
        <w:spacing w:after="160" w:before="360" w:line="360"/>
      </w:pPr>
      <w:bookmarkStart w:id="921" w:name="_Toc100021"/>
      <w:r>
        <w:rPr>
          <w:rFonts w:ascii="Times New Roman" w:cs="Times New Roman" w:eastAsia="Times New Roman" w:hAnsi="Times New Roman"/>
          <w:b/>
          <w:bCs/>
          <w:sz w:val="28"/>
          <w:szCs w:val="28"/>
        </w:rPr>
        <w:t xml:space="preserve">5. Worked example</w:t>
      </w:r>
      <w:bookmarkEnd w:id="921"/>
    </w:p>
    <w:p>
      <w:pPr>
        <w:spacing w:after="120" w:line="360"/>
        <w:ind w:firstLine="567"/>
        <w:jc w:val="both"/>
      </w:pPr>
      <w:r>
        <w:t xml:space="preserve">To illustrate the tool, consider a couple aged 32 and 30 who earn 35 and 25 million VND a month, have 2.5 billion VND in savings, a minimum living cost of 15 million VND a month, no existing debt, and want to keep six months of living cost (90 million VND) as an emergency fund. They choose the 12-month promotional package and keep the default 100% savings mix.</w:t>
      </w:r>
    </w:p>
    <w:p>
      <w:pPr>
        <w:pStyle w:val="Heading2"/>
        <w:keepNext/>
        <w:spacing w:after="120" w:before="240" w:line="360"/>
      </w:pPr>
      <w:bookmarkStart w:id="922" w:name="_Toc100022"/>
      <w:r>
        <w:rPr>
          <w:rFonts w:ascii="Times New Roman" w:cs="Times New Roman" w:eastAsia="Times New Roman" w:hAnsi="Times New Roman"/>
          <w:b/>
          <w:bCs/>
          <w:sz w:val="24"/>
          <w:szCs w:val="24"/>
        </w:rPr>
        <w:t xml:space="preserve">5.1. Budget and unit choice</w:t>
      </w:r>
      <w:bookmarkEnd w:id="922"/>
    </w:p>
    <w:p>
      <w:pPr>
        <w:spacing w:after="120" w:line="360"/>
        <w:ind w:firstLine="567"/>
        <w:jc w:val="both"/>
      </w:pPr>
      <w:r>
        <w:t xml:space="preserve">Because the older borrower is 32, the loan term is the full 360 months. Before choosing any unit, the budget panel shows that the couple can buy up to about 4.3 billion VND, limited by the monthly payments rather than by savings, or rent up to about 26.2 million VND a month. This places 166 of the 756 sale listings and 273 of the 277 rentals within budget; affordable sale units are concentrated in Ha Dong (61 of 63 Small and 66 of 176 Medium units), while none of the Tay Ho sale listings fits. Using the 'Only within budget' filter, the couple selects a 62 m² unit in Hanoi Paragon (Cau Giay) priced at 4.15 billion VND to buy, and a 75 m² unit in 17T9 Hoang Dao Thuy (Cau Giay) at 14.5 million VND a month to rent. The purchase requires a loan of 1,848 million VND after paying 108 million VND of closing costs and keeping the emergency fund aside.</w:t>
      </w:r>
    </w:p>
    <w:p>
      <w:pPr>
        <w:pStyle w:val="Heading2"/>
        <w:keepNext/>
        <w:spacing w:after="120" w:before="240" w:line="360"/>
      </w:pPr>
      <w:bookmarkStart w:id="923" w:name="_Toc100023"/>
      <w:r>
        <w:rPr>
          <w:rFonts w:ascii="Times New Roman" w:cs="Times New Roman" w:eastAsia="Times New Roman" w:hAnsi="Times New Roman"/>
          <w:b/>
          <w:bCs/>
          <w:sz w:val="24"/>
          <w:szCs w:val="24"/>
        </w:rPr>
        <w:t xml:space="preserve">5.2. Safety and monthly costs</w:t>
      </w:r>
      <w:bookmarkEnd w:id="923"/>
    </w:p>
    <w:p>
      <w:pPr>
        <w:spacing w:after="120" w:line="360"/>
        <w:ind w:firstLine="567"/>
        <w:jc w:val="both"/>
      </w:pPr>
      <w:r>
        <w:t xml:space="preserve">Under the Stable scenario, both options pass the safety check. Renting is </w:t>
      </w:r>
      <w:r>
        <w:t xml:space="preserve">Comfortable</w:t>
      </w:r>
      <w:r>
        <w:t xml:space="preserve">: in its tightest month the couple keeps 29.8 million VND, 11.8 million above its safe level. Buying is </w:t>
      </w:r>
      <w:r>
        <w:t xml:space="preserve">Tight</w:t>
      </w:r>
      <w:r>
        <w:t xml:space="preserve">. The bank payment is 12.8 million VND a month in months 1–12 (interest only at 8.3%), 18.5 million in months 13–24 (interest only at about 12%) and 27.1 million in month 25, when the grace period ends and principal repayment begins, falling slowly to 5.6 million by the end of the loan. With running costs of about 0.8 million a month, month 25 leaves 23.0 million VND, only 3.0 million above the safe level of 20.1 million (30% of income). Neither option ever needs the emergency fund on the average path.</w:t>
      </w:r>
    </w:p>
    <w:p>
      <w:pPr>
        <w:pStyle w:val="Heading2"/>
        <w:keepNext/>
        <w:spacing w:after="120" w:before="240" w:line="360"/>
      </w:pPr>
      <w:bookmarkStart w:id="924" w:name="_Toc100024"/>
      <w:r>
        <w:rPr>
          <w:rFonts w:ascii="Times New Roman" w:cs="Times New Roman" w:eastAsia="Times New Roman" w:hAnsi="Times New Roman"/>
          <w:b/>
          <w:bCs/>
          <w:sz w:val="24"/>
          <w:szCs w:val="24"/>
        </w:rPr>
        <w:t xml:space="preserve">5.3. Net worth and uncertainty</w:t>
      </w:r>
      <w:bookmarkEnd w:id="924"/>
    </w:p>
    <w:p>
      <w:pPr>
        <w:spacing w:after="120" w:line="360"/>
        <w:ind w:firstLine="567"/>
        <w:jc w:val="both"/>
      </w:pPr>
      <w:r>
        <w:t xml:space="preserve">The reality check shows a gross rental yield of 3.5% for this pair, a price-to-rent ratio of 29 years and a projected yield of only 1.8% by year 10, so buying can win only through price growth. On the average path buying overtakes renting in the first year. Table 8 summarises the results of the simulation after ten years under each scenario.</w:t>
      </w:r>
    </w:p>
    <w:p>
      <w:pPr>
        <w:keepNext/>
        <w:spacing w:after="80" w:before="200" w:line="276"/>
        <w:jc w:val="center"/>
      </w:pPr>
      <w:r>
        <w:rPr>
          <w:sz w:val="22"/>
          <w:szCs w:val="22"/>
        </w:rPr>
        <w:t xml:space="preserve">Table 8.</w:t>
      </w:r>
      <w:r>
        <w:rPr>
          <w:sz w:val="22"/>
          <w:szCs w:val="22"/>
        </w:rPr>
        <w:t xml:space="preserve"> Worked example: results after 10 years by scenario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996"/>
        <w:gridCol w:w="1996"/>
        <w:gridCol w:w="1995"/>
      </w:tblGrid>
      <w:tr>
        <w:trPr>
          <w:tblHeader/>
        </w:trPr>
        <w:tc>
          <w:tcPr>
            <w:tcW w:type="dxa" w:w="3084"/>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Indicator</w:t>
            </w:r>
          </w:p>
        </w:tc>
        <w:tc>
          <w:tcPr>
            <w:tcW w:type="dxa" w:w="1996"/>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Boom</w:t>
            </w:r>
          </w:p>
        </w:tc>
        <w:tc>
          <w:tcPr>
            <w:tcW w:type="dxa" w:w="1996"/>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Stable</w:t>
            </w:r>
          </w:p>
        </w:tc>
        <w:tc>
          <w:tcPr>
            <w:tcW w:type="dxa" w:w="1995"/>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Downturn</w:t>
            </w:r>
          </w:p>
        </w:tc>
      </w:tr>
      <w:tr>
        <w:trPr>
          <w:cantSplit/>
        </w:trPr>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Safety verdict</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Both pass (Buy: Comfortable)</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Both pass (Buy: Tight)</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Only Rent passes (Buy: Not safe)</w:t>
            </w:r>
          </w:p>
        </w:tc>
      </w:tr>
      <w:tr>
        <w:trPr>
          <w:cantSplit/>
        </w:trPr>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 richer than Rent</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100% of futures</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97% of futures</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49% of futures</w:t>
            </w:r>
          </w:p>
        </w:tc>
      </w:tr>
      <w:tr>
        <w:trPr>
          <w:cantSplit/>
        </w:trPr>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Net worth Buy, P10 / P50 / P90 (billion VND)</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17.1 / 23.0 / 31.8</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13.0 / 17.9 / 25.2</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8.1 / 11.3 / 15.9</w:t>
            </w:r>
          </w:p>
        </w:tc>
      </w:tr>
      <w:tr>
        <w:trPr>
          <w:cantSplit/>
        </w:trPr>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Net worth Rent, P10 / P50 / P90 (billion VND)</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10.6 / 12.4 / 14.3</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9.7 / 11.4 / 13.1</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9.8 / 11.4 / 13.0</w:t>
            </w:r>
          </w:p>
        </w:tc>
      </w:tr>
      <w:tr>
        <w:trPr>
          <w:cantSplit/>
        </w:trPr>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Stays above safe level every month (Buy / Rent)</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97% / 96%</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78% / 89%</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36% / 64%</w:t>
            </w:r>
          </w:p>
        </w:tc>
      </w:tr>
      <w:tr>
        <w:trPr>
          <w:cantSplit/>
        </w:trPr>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Needs emergency fund (Buy / Rent)</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0% / 0%</w:t>
            </w:r>
          </w:p>
        </w:tc>
        <w:tc>
          <w:tcPr>
            <w:tcW w:type="dxa" w:w="19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0% / 0%</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0% / 0%</w:t>
            </w:r>
          </w:p>
        </w:tc>
      </w:tr>
    </w:tbl>
    <w:p>
      <w:pPr>
        <w:spacing w:after="200" w:before="60" w:line="276"/>
        <w:jc w:val="left"/>
      </w:pPr>
      <w:r>
        <w:rPr>
          <w:i/>
          <w:iCs/>
          <w:sz w:val="20"/>
          <w:szCs w:val="20"/>
        </w:rPr>
        <w:t xml:space="preserve">Results produced by the FinFlow web tool for the example household; 1,000 simulated futures per scenario.</w:t>
      </w:r>
    </w:p>
    <w:p>
      <w:pPr>
        <w:spacing w:after="120" w:line="360"/>
        <w:ind w:firstLine="567"/>
        <w:jc w:val="both"/>
      </w:pPr>
      <w:r>
        <w:t xml:space="preserve">Under average assumptions, buying ends richer in 97% of futures, and even the bad case for buying (13.0 billion VND) exceeds the middle case for renting (11.4 billion VND). The picture changes in a downturn: higher rates and a 70% loan-to-value make buying fail the safety check by 0.4 million VND in month 25, and buying ends richer in only about half of the futures. The Monte Carlo results also reveal a risk that the average path hides: under Stable assumptions, buying stays above the safe level in every month in only 78% of futures.</w:t>
      </w:r>
    </w:p>
    <w:p>
      <w:pPr>
        <w:pStyle w:val="Heading2"/>
        <w:keepNext/>
        <w:spacing w:after="120" w:before="240" w:line="360"/>
      </w:pPr>
      <w:bookmarkStart w:id="925" w:name="_Toc100025"/>
      <w:r>
        <w:rPr>
          <w:rFonts w:ascii="Times New Roman" w:cs="Times New Roman" w:eastAsia="Times New Roman" w:hAnsi="Times New Roman"/>
          <w:b/>
          <w:bCs/>
          <w:sz w:val="24"/>
          <w:szCs w:val="24"/>
        </w:rPr>
        <w:t xml:space="preserve">5.4. Sensitivity</w:t>
      </w:r>
      <w:bookmarkEnd w:id="925"/>
    </w:p>
    <w:p>
      <w:pPr>
        <w:spacing w:after="120" w:line="360"/>
        <w:ind w:firstLine="567"/>
        <w:jc w:val="both"/>
      </w:pPr>
      <w:r>
        <w:t xml:space="preserve">Table 9 shows selected rows of the sensitivity table for the same household. Buying remains ahead in at least 91% of futures under every single change, but two changes reverse the safety verdict: an income shock in years 2–3 and adding owner upkeep of 1% of the price a year. Both act on the tight month 25.</w:t>
      </w:r>
    </w:p>
    <w:p>
      <w:pPr>
        <w:keepNext/>
        <w:spacing w:after="80" w:before="200" w:line="276"/>
        <w:jc w:val="center"/>
      </w:pPr>
      <w:r>
        <w:rPr>
          <w:sz w:val="22"/>
          <w:szCs w:val="22"/>
        </w:rPr>
        <w:t xml:space="preserve">Table 9.</w:t>
      </w:r>
      <w:r>
        <w:rPr>
          <w:sz w:val="22"/>
          <w:szCs w:val="22"/>
        </w:rPr>
        <w:t xml:space="preserve"> Worked example: selected sensitivity results (Stable base, one change at a time)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2268"/>
        <w:gridCol w:w="2267"/>
      </w:tblGrid>
      <w:tr>
        <w:trPr>
          <w:tblHeader/>
        </w:trPr>
        <w:tc>
          <w:tcPr>
            <w:tcW w:type="dxa" w:w="4536"/>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Change</w:t>
            </w:r>
          </w:p>
        </w:tc>
        <w:tc>
          <w:tcPr>
            <w:tcW w:type="dxa" w:w="2268"/>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Safety verdict</w:t>
            </w:r>
          </w:p>
        </w:tc>
        <w:tc>
          <w:tcPr>
            <w:tcW w:type="dxa" w:w="2267"/>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Buy ends richer</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Base (Stable)</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 passes</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96%</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Home prices cool fast (τ = 1 year)</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 passes</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95%</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Home prices +19% every year</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 passes</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100%</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Rent growth 3% / 10%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 passes</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91% / 100%</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Loan-to-value 70%</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 passes</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96%</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Income −1.6% a year in years 2–3</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Only Rent passes</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96%</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Owner upkeep 1% of price a year</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Only Rent passes</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93%</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Selling cost 3.5%</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 passes</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96%</w:t>
            </w:r>
          </w:p>
        </w:tc>
      </w:tr>
      <w:tr>
        <w:trPr>
          <w:cantSplit/>
        </w:trPr>
        <w:tc>
          <w:tcPr>
            <w:tcW w:type="dxa" w:w="45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Correlated shocks (ρ = 0.5)</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Buy passes</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95%</w:t>
            </w:r>
          </w:p>
        </w:tc>
      </w:tr>
    </w:tbl>
    <w:p>
      <w:pPr>
        <w:spacing w:after="200" w:before="60" w:line="276"/>
        <w:jc w:val="left"/>
      </w:pPr>
      <w:r>
        <w:rPr>
          <w:i/>
          <w:iCs/>
          <w:sz w:val="20"/>
          <w:szCs w:val="20"/>
        </w:rPr>
        <w:t xml:space="preserve">500 simulated futures per row. Emergency fund needed: 0% in all rows, except 1% for Rent when rent grows 10% a year.</w:t>
      </w:r>
    </w:p>
    <w:p>
      <w:pPr>
        <w:spacing w:after="120" w:line="360"/>
        <w:ind w:firstLine="567"/>
        <w:jc w:val="both"/>
      </w:pPr>
      <w:r>
        <w:t xml:space="preserve">The example illustrates the purpose of FinFlow: rather than a single 'buy' or 'rent' answer, the household learns that buying is affordable but tight, that its advantage relies on continued price growth, and which specific risks would make it unsafe.</w:t>
      </w:r>
    </w:p>
    <w:p>
      <w:pPr>
        <w:pStyle w:val="Heading1"/>
        <w:keepNext/>
        <w:spacing w:after="160" w:before="360" w:line="360"/>
      </w:pPr>
      <w:bookmarkStart w:id="926" w:name="_Toc100026"/>
      <w:r>
        <w:rPr>
          <w:rFonts w:ascii="Times New Roman" w:cs="Times New Roman" w:eastAsia="Times New Roman" w:hAnsi="Times New Roman"/>
          <w:b/>
          <w:bCs/>
          <w:sz w:val="28"/>
          <w:szCs w:val="28"/>
        </w:rPr>
        <w:t xml:space="preserve">6. Limitations</w:t>
      </w:r>
      <w:bookmarkEnd w:id="926"/>
    </w:p>
    <w:p>
      <w:pPr>
        <w:pStyle w:val="ListParagraph"/>
        <w:numPr>
          <w:ilvl w:val="0"/>
          <w:numId w:val="2"/>
        </w:numPr>
        <w:spacing w:after="60" w:line="360"/>
        <w:jc w:val="both"/>
      </w:pPr>
      <w:r>
        <w:t xml:space="preserve">Asking prices and a fixed snapshot.</w:t>
      </w:r>
      <w:r>
        <w:t xml:space="preserve"> Listings are asking prices from one website on one date; transaction prices may be lower and the market moves. Some listings may contain typing errors that were deliberately left uncorrected.</w:t>
      </w:r>
    </w:p>
    <w:p>
      <w:pPr>
        <w:pStyle w:val="ListParagraph"/>
        <w:numPr>
          <w:ilvl w:val="0"/>
          <w:numId w:val="2"/>
        </w:numPr>
        <w:spacing w:after="60" w:line="360"/>
        <w:jc w:val="both"/>
      </w:pPr>
      <w:r>
        <w:t xml:space="preserve">Coverage.</w:t>
      </w:r>
      <w:r>
        <w:t xml:space="preserve"> Only two-bedroom apartments in three districts are included, and some project-and-size combinations have very few listings, which limits the precision of price anchors.</w:t>
      </w:r>
    </w:p>
    <w:p>
      <w:pPr>
        <w:pStyle w:val="ListParagraph"/>
        <w:numPr>
          <w:ilvl w:val="0"/>
          <w:numId w:val="2"/>
        </w:numPr>
        <w:spacing w:after="60" w:line="360"/>
        <w:jc w:val="both"/>
      </w:pPr>
      <w:r>
        <w:t xml:space="preserve">One mortgage product.</w:t>
      </w:r>
      <w:r>
        <w:t xml:space="preserve"> The loan follows one bank's rate sheet; other banks offer different promotional rates, margins, loan-to-value limits and terms. The floating rate path is an estimate.</w:t>
      </w:r>
    </w:p>
    <w:p>
      <w:pPr>
        <w:pStyle w:val="ListParagraph"/>
        <w:numPr>
          <w:ilvl w:val="0"/>
          <w:numId w:val="2"/>
        </w:numPr>
        <w:spacing w:after="60" w:line="360"/>
        <w:jc w:val="both"/>
      </w:pPr>
      <w:r>
        <w:t xml:space="preserve">Simplified uncertainty.</w:t>
      </w:r>
      <w:r>
        <w:t xml:space="preserve"> Inflation is fixed, the shocks are independent in the base case and the distributions are normal. Long-term home price growth is the most influential and least certain assumption; the chart is illustrative, not a forecast.</w:t>
      </w:r>
    </w:p>
    <w:p>
      <w:pPr>
        <w:pStyle w:val="ListParagraph"/>
        <w:numPr>
          <w:ilvl w:val="0"/>
          <w:numId w:val="2"/>
        </w:numPr>
        <w:spacing w:after="60" w:line="360"/>
        <w:jc w:val="both"/>
      </w:pPr>
      <w:r>
        <w:t xml:space="preserve">Heuristic thresholds.</w:t>
      </w:r>
      <w:r>
        <w:t xml:space="preserve"> The safe-level tiers, the 5-point threshold for 'Comfortable' and the risk bands are conventions of the tool, informed by but not derived from external standards.</w:t>
      </w:r>
    </w:p>
    <w:p>
      <w:pPr>
        <w:pStyle w:val="ListParagraph"/>
        <w:numPr>
          <w:ilvl w:val="0"/>
          <w:numId w:val="2"/>
        </w:numPr>
        <w:spacing w:after="60" w:line="360"/>
        <w:jc w:val="both"/>
      </w:pPr>
      <w:r>
        <w:t xml:space="preserve">Costs not modelled.</w:t>
      </w:r>
      <w:r>
        <w:t xml:space="preserve"> Owner repairs are excluded from the base case, the rental deposit is assumed to be returned, and taxes are modelled only for the sale of a sole home. Buying a second home or buying to rent out is outside the scope.</w:t>
      </w:r>
    </w:p>
    <w:p>
      <w:pPr>
        <w:pStyle w:val="ListParagraph"/>
        <w:numPr>
          <w:ilvl w:val="0"/>
          <w:numId w:val="2"/>
        </w:numPr>
        <w:spacing w:after="60" w:line="360"/>
        <w:jc w:val="both"/>
      </w:pPr>
      <w:r>
        <w:t xml:space="preserve">The decision remains the user's.</w:t>
      </w:r>
      <w:r>
        <w:t xml:space="preserve"> The tool supports, but does not replace, personal judgment and professional advice; the result page states this explicitly.</w:t>
      </w:r>
    </w:p>
    <w:p>
      <w:pPr>
        <w:pStyle w:val="Heading1"/>
        <w:keepNext/>
        <w:spacing w:after="160" w:before="360" w:line="360"/>
      </w:pPr>
      <w:bookmarkStart w:id="927" w:name="_Toc100027"/>
      <w:r>
        <w:rPr>
          <w:rFonts w:ascii="Times New Roman" w:cs="Times New Roman" w:eastAsia="Times New Roman" w:hAnsi="Times New Roman"/>
          <w:b/>
          <w:bCs/>
          <w:sz w:val="28"/>
          <w:szCs w:val="28"/>
        </w:rPr>
        <w:t xml:space="preserve">7. Conclusion and future work</w:t>
      </w:r>
      <w:bookmarkEnd w:id="927"/>
    </w:p>
    <w:p>
      <w:pPr>
        <w:spacing w:after="120" w:line="360"/>
        <w:ind w:firstLine="567"/>
        <w:jc w:val="both"/>
      </w:pPr>
      <w:r>
        <w:t xml:space="preserve">FinFlow turns a difficult household decision into a sequence of clear steps: know your budget, choose comparable units, check safety month by month, compare net worth and test the result against many possible futures. By using real listings, linking every assumption to a source and showing both the average outcome and its uncertainty, the tool addresses the main pain points of young Hanoi households: prices that have outrun incomes, payment shocks hidden behind promotional rates, costs left out of simple comparisons, and an answer that depends on the future. The worked example shows that the tool can reveal risks, such as a tight month after the grace period or the loss of the buying advantage in a downturn, that a simple rent-versus-instalment comparison would miss.</w:t>
      </w:r>
    </w:p>
    <w:p>
      <w:pPr>
        <w:spacing w:after="120" w:line="360"/>
        <w:ind w:firstLine="567"/>
        <w:jc w:val="both"/>
      </w:pPr>
      <w:r>
        <w:t xml:space="preserve">Future work could extend the data to more districts, unit types and banks; refresh listings automatically and adjust asking prices toward transaction prices; estimate correlations between shocks from historical data; add a buy-to-let option; and test the tool with real users to refine the safety thresholds and the presentation of uncertainty.</w:t>
      </w:r>
    </w:p>
    <w:p>
      <w:pPr>
        <w:pStyle w:val="Heading1"/>
        <w:keepNext/>
        <w:spacing w:after="160" w:before="360" w:line="360"/>
      </w:pPr>
      <w:bookmarkStart w:id="928" w:name="_Toc100028"/>
      <w:r>
        <w:rPr>
          <w:rFonts w:ascii="Times New Roman" w:cs="Times New Roman" w:eastAsia="Times New Roman" w:hAnsi="Times New Roman"/>
          <w:b/>
          <w:bCs/>
          <w:sz w:val="28"/>
          <w:szCs w:val="28"/>
        </w:rPr>
        <w:t xml:space="preserve">References</w:t>
      </w:r>
      <w:bookmarkEnd w:id="928"/>
    </w:p>
    <w:p>
      <w:pPr>
        <w:spacing w:after="100" w:line="276"/>
        <w:ind w:left="567" w:hanging="567"/>
        <w:jc w:val="left"/>
      </w:pPr>
      <w:r>
        <w:t xml:space="preserve">batdongsan.com.vn. (2026). Apartment listings for sale and for rent in Cau Giay, Ha Dong and Tay Ho, Hanoi [Data set, collected 9 September 2026].</w:t>
      </w:r>
    </w:p>
    <w:p>
      <w:pPr>
        <w:spacing w:after="100" w:line="276"/>
        <w:ind w:left="567" w:hanging="567"/>
        <w:jc w:val="left"/>
      </w:pPr>
      <w:r>
        <w:t xml:space="preserve">CafeF. (n.d.). Nhìn lại 10 năm BĐS Hà Nội: Giá căn hộ tăng gần 300%.</w:t>
      </w:r>
      <w:r>
        <w:t xml:space="preserve"> </w:t>
      </w:r>
      <w:hyperlink w:history="1" r:id="rIdtq_bqxauknmrmea7djeuv">
        <w:r>
          <w:rPr>
            <w:rStyle w:val="Hyperlink"/>
            <w:sz w:val="22"/>
            <w:szCs w:val="22"/>
          </w:rPr>
          <w:t xml:space="preserve">https://cafef.vn/nhin-lai-10-nam-bds-ha-noi-gia-can-ho-tang-gan-300-thi-truong-chuan-bi-da-cuc-hoa-18826042315173533.chn</w:t>
        </w:r>
      </w:hyperlink>
    </w:p>
    <w:p>
      <w:pPr>
        <w:spacing w:after="100" w:line="276"/>
        <w:ind w:left="567" w:hanging="567"/>
        <w:jc w:val="left"/>
      </w:pPr>
      <w:r>
        <w:t xml:space="preserve">Cake. (n.d.). Vay thế chấp tối đa được bao nhiêu năm.</w:t>
      </w:r>
      <w:r>
        <w:t xml:space="preserve"> </w:t>
      </w:r>
      <w:hyperlink w:history="1" r:id="rIdbtc10umwf_g7ubdyx20sm">
        <w:r>
          <w:rPr>
            <w:rStyle w:val="Hyperlink"/>
            <w:sz w:val="22"/>
            <w:szCs w:val="22"/>
          </w:rPr>
          <w:t xml:space="preserve">https://cake.vn/tin-tuc/tai-chinh/vay-the-chap-toi-da-duoc-bao-nhieu-nam</w:t>
        </w:r>
      </w:hyperlink>
    </w:p>
    <w:p>
      <w:pPr>
        <w:spacing w:after="100" w:line="276"/>
        <w:ind w:left="567" w:hanging="567"/>
        <w:jc w:val="left"/>
      </w:pPr>
      <w:r>
        <w:t xml:space="preserve">Consumer Financial Protection Bureau. (2013). Ability-to-repay and qualified mortgage standards (final rule preamble).</w:t>
      </w:r>
      <w:r>
        <w:t xml:space="preserve"> </w:t>
      </w:r>
      <w:hyperlink w:history="1" r:id="rId_9fyoj0ajwxedzdshcxiu">
        <w:r>
          <w:rPr>
            <w:rStyle w:val="Hyperlink"/>
            <w:sz w:val="22"/>
            <w:szCs w:val="22"/>
          </w:rPr>
          <w:t xml:space="preserve">https://files.consumerfinance.gov/f/201301_cfpb_final-rule_ability-to-repay-preamble.pdf</w:t>
        </w:r>
      </w:hyperlink>
    </w:p>
    <w:p>
      <w:pPr>
        <w:spacing w:after="100" w:line="276"/>
        <w:ind w:left="567" w:hanging="567"/>
        <w:jc w:val="left"/>
      </w:pPr>
      <w:r>
        <w:t xml:space="preserve">Cushman &amp; Wakefield. (n.d.). Hanoi real estate market review.</w:t>
      </w:r>
      <w:r>
        <w:t xml:space="preserve"> </w:t>
      </w:r>
      <w:hyperlink w:history="1" r:id="rIdvxvpzpmp_po_srureonu9">
        <w:r>
          <w:rPr>
            <w:rStyle w:val="Hyperlink"/>
            <w:sz w:val="22"/>
            <w:szCs w:val="22"/>
          </w:rPr>
          <w:t xml:space="preserve">https://cloud.comm.cushmanwakefield.com/Hanoi_realestate_market_review?</w:t>
        </w:r>
      </w:hyperlink>
    </w:p>
    <w:p>
      <w:pPr>
        <w:spacing w:after="100" w:line="276"/>
        <w:ind w:left="567" w:hanging="567"/>
        <w:jc w:val="left"/>
      </w:pPr>
      <w:r>
        <w:t xml:space="preserve">Dan Tri. (2026, August 24). Lãi suất thả nổi trên 14%/năm, ngân hàng giảm cho vay mua nhà.</w:t>
      </w:r>
      <w:r>
        <w:t xml:space="preserve"> </w:t>
      </w:r>
      <w:hyperlink w:history="1" r:id="rIdqp1dkx-5qhbi7fqfcx5l6">
        <w:r>
          <w:rPr>
            <w:rStyle w:val="Hyperlink"/>
            <w:sz w:val="22"/>
            <w:szCs w:val="22"/>
          </w:rPr>
          <w:t xml:space="preserve">https://dantri.com.vn/kinh-doanh/lai-suat-tha-noi-tren-14nam-ngan-hang-giam-cho-vay-mua-nha-20260823171410442.htm</w:t>
        </w:r>
      </w:hyperlink>
    </w:p>
    <w:p>
      <w:pPr>
        <w:spacing w:after="100" w:line="276"/>
        <w:ind w:left="567" w:hanging="567"/>
        <w:jc w:val="left"/>
      </w:pPr>
      <w:r>
        <w:t xml:space="preserve">Deposit Insurance of Vietnam (DIV). (n.d.). Lãi suất tiết kiệm tăng trong tầm kiểm soát.</w:t>
      </w:r>
      <w:r>
        <w:t xml:space="preserve"> </w:t>
      </w:r>
      <w:hyperlink w:history="1" r:id="rIddoyobsb2udl_vefius6r6">
        <w:r>
          <w:rPr>
            <w:rStyle w:val="Hyperlink"/>
            <w:sz w:val="22"/>
            <w:szCs w:val="22"/>
          </w:rPr>
          <w:t xml:space="preserve">https://div.gov.vn/lai-suat-tiet-kiem-tang-trong-tam-kiem-soat-mt-bang-cho-vay-du-kien-tiep-tuc-on-dinh</w:t>
        </w:r>
      </w:hyperlink>
    </w:p>
    <w:p>
      <w:pPr>
        <w:spacing w:after="100" w:line="276"/>
        <w:ind w:left="567" w:hanging="567"/>
        <w:jc w:val="left"/>
      </w:pPr>
      <w:r>
        <w:t xml:space="preserve">DNSE. (n.d.). Tỷ lệ nợ trên thu nhập.</w:t>
      </w:r>
      <w:r>
        <w:t xml:space="preserve"> </w:t>
      </w:r>
      <w:hyperlink w:history="1" r:id="rIdsfvodl98aunbxkoz9nhgh">
        <w:r>
          <w:rPr>
            <w:rStyle w:val="Hyperlink"/>
            <w:sz w:val="22"/>
            <w:szCs w:val="22"/>
          </w:rPr>
          <w:t xml:space="preserve">https://www.dnse.com.vn/hoc/ty-le-no-tren-thu-nhap</w:t>
        </w:r>
      </w:hyperlink>
    </w:p>
    <w:p>
      <w:pPr>
        <w:spacing w:after="100" w:line="276"/>
        <w:ind w:left="567" w:hanging="567"/>
        <w:jc w:val="left"/>
      </w:pPr>
      <w:r>
        <w:t xml:space="preserve">FiinPro. (2026). Deposit rates, government bond yields and SJC gold prices, 2016–2026 [Database].</w:t>
      </w:r>
    </w:p>
    <w:p>
      <w:pPr>
        <w:spacing w:after="100" w:line="276"/>
        <w:ind w:left="567" w:hanging="567"/>
        <w:jc w:val="left"/>
      </w:pPr>
      <w:r>
        <w:t xml:space="preserve">General Statistics Office of Vietnam (NSO). (2026). Kết quả Khảo sát mức sống dân cư 2024.</w:t>
      </w:r>
      <w:r>
        <w:t xml:space="preserve"> </w:t>
      </w:r>
      <w:hyperlink w:history="1" r:id="rIdfzmiyyptndrvj7s9-ufin">
        <w:r>
          <w:rPr>
            <w:rStyle w:val="Hyperlink"/>
            <w:sz w:val="22"/>
            <w:szCs w:val="22"/>
          </w:rPr>
          <w:t xml:space="preserve">https://www.nso.gov.vn/wp-content/uploads/2026/03/Sach-Khao-sat-muc-song-dan-cu-2024.pdf</w:t>
        </w:r>
      </w:hyperlink>
    </w:p>
    <w:p>
      <w:pPr>
        <w:spacing w:after="100" w:line="276"/>
        <w:ind w:left="567" w:hanging="567"/>
        <w:jc w:val="left"/>
      </w:pPr>
      <w:r>
        <w:t xml:space="preserve">Global Property Guide. (n.d.). Vietnam rental yields.</w:t>
      </w:r>
      <w:r>
        <w:t xml:space="preserve"> </w:t>
      </w:r>
      <w:hyperlink w:history="1" r:id="rIdskj47aumojbciydhfd74d">
        <w:r>
          <w:rPr>
            <w:rStyle w:val="Hyperlink"/>
            <w:sz w:val="22"/>
            <w:szCs w:val="22"/>
          </w:rPr>
          <w:t xml:space="preserve">https://www.globalpropertyguide.com/asia/vietnam/rental-yields</w:t>
        </w:r>
      </w:hyperlink>
    </w:p>
    <w:p>
      <w:pPr>
        <w:spacing w:after="100" w:line="276"/>
        <w:ind w:left="567" w:hanging="567"/>
        <w:jc w:val="left"/>
      </w:pPr>
      <w:r>
        <w:t xml:space="preserve">Housing Law No. 27/2023/QH15, Article 152. (2023).</w:t>
      </w:r>
      <w:r>
        <w:t xml:space="preserve"> </w:t>
      </w:r>
      <w:hyperlink w:history="1" r:id="rIdbzedszboiti_seja1mccb">
        <w:r>
          <w:rPr>
            <w:rStyle w:val="Hyperlink"/>
            <w:sz w:val="22"/>
            <w:szCs w:val="22"/>
          </w:rPr>
          <w:t xml:space="preserve">https://hethongphapluat.com/law-no-27-2023-qh15-dated-december-27-2023-on-housing/dieu-152</w:t>
        </w:r>
      </w:hyperlink>
    </w:p>
    <w:p>
      <w:pPr>
        <w:spacing w:after="100" w:line="276"/>
        <w:ind w:left="567" w:hanging="567"/>
        <w:jc w:val="left"/>
      </w:pPr>
      <w:r>
        <w:t xml:space="preserve">investing.com. (n.d.). VN-Index historical data.</w:t>
      </w:r>
      <w:r>
        <w:t xml:space="preserve"> </w:t>
      </w:r>
      <w:hyperlink w:history="1" r:id="rIdv82hgggmyyvalzr9jfsmu">
        <w:r>
          <w:rPr>
            <w:rStyle w:val="Hyperlink"/>
            <w:sz w:val="22"/>
            <w:szCs w:val="22"/>
          </w:rPr>
          <w:t xml:space="preserve">https://vn.investing.com/indices/vn-historical-data</w:t>
        </w:r>
      </w:hyperlink>
    </w:p>
    <w:p>
      <w:pPr>
        <w:spacing w:after="100" w:line="276"/>
        <w:ind w:left="567" w:hanging="567"/>
        <w:jc w:val="left"/>
      </w:pPr>
      <w:r>
        <w:t xml:space="preserve">Luat Minh Khue. (n.d.). Mức phí bảo hiểm cháy nổ chung cư mới nhất và cách tính.</w:t>
      </w:r>
      <w:r>
        <w:t xml:space="preserve"> </w:t>
      </w:r>
      <w:hyperlink w:history="1" r:id="rIdcqhn2a7qyh-ipheblg2fo">
        <w:r>
          <w:rPr>
            <w:rStyle w:val="Hyperlink"/>
            <w:sz w:val="22"/>
            <w:szCs w:val="22"/>
          </w:rPr>
          <w:t xml:space="preserve">https://luatminhkhue.vn/muc-phi-bao-hiem-chay-no-chung-cu-moi-nhat-va-cach-tinh.aspx</w:t>
        </w:r>
      </w:hyperlink>
    </w:p>
    <w:p>
      <w:pPr>
        <w:spacing w:after="100" w:line="276"/>
        <w:ind w:left="567" w:hanging="567"/>
        <w:jc w:val="left"/>
      </w:pPr>
      <w:r>
        <w:t xml:space="preserve">LSVN. (n.d.). Từ 01/7, chung cư, nhà ở tập thể từ 5 tầng trở lên phải mua bảo hiểm cháy nổ bắt buộc.</w:t>
      </w:r>
      <w:r>
        <w:t xml:space="preserve"> </w:t>
      </w:r>
      <w:hyperlink w:history="1" r:id="rIdusizjfijztsdprgyicd1t">
        <w:r>
          <w:rPr>
            <w:rStyle w:val="Hyperlink"/>
            <w:sz w:val="22"/>
            <w:szCs w:val="22"/>
          </w:rPr>
          <w:t xml:space="preserve">https://lsvn.vn/tu-01-7-chung-cu-nha-o-tap-the-tu-05-tang-tro-len-phai-mua-bao-hiem-chay-no-bat-buoc-a158203.html</w:t>
        </w:r>
      </w:hyperlink>
    </w:p>
    <w:p>
      <w:pPr>
        <w:spacing w:after="100" w:line="276"/>
        <w:ind w:left="567" w:hanging="567"/>
        <w:jc w:val="left"/>
      </w:pPr>
      <w:r>
        <w:t xml:space="preserve">LuatVietnam. (n.d.). Mức phí công chứng mới nhất.</w:t>
      </w:r>
      <w:r>
        <w:t xml:space="preserve"> </w:t>
      </w:r>
      <w:hyperlink w:history="1" r:id="rIdjhfszy7dt71sxk3zync4k">
        <w:r>
          <w:rPr>
            <w:rStyle w:val="Hyperlink"/>
            <w:sz w:val="22"/>
            <w:szCs w:val="22"/>
          </w:rPr>
          <w:t xml:space="preserve">https://luatvietnam.vn/hanh-chinh/muc-phi-cong-chung-moi-nhat-570-21497-article.html</w:t>
        </w:r>
      </w:hyperlink>
    </w:p>
    <w:p>
      <w:pPr>
        <w:spacing w:after="100" w:line="276"/>
        <w:ind w:left="567" w:hanging="567"/>
        <w:jc w:val="left"/>
      </w:pPr>
      <w:r>
        <w:t xml:space="preserve">MB Bank, Van Phuc branch. (2026). Home loan interest rate sheet [Unpublished bank document].</w:t>
      </w:r>
    </w:p>
    <w:p>
      <w:pPr>
        <w:spacing w:after="100" w:line="276"/>
        <w:ind w:left="567" w:hanging="567"/>
        <w:jc w:val="left"/>
      </w:pPr>
      <w:r>
        <w:t xml:space="preserve">Metrobank. (n.d.). Home maintenance budget.</w:t>
      </w:r>
      <w:r>
        <w:t xml:space="preserve"> </w:t>
      </w:r>
      <w:hyperlink w:history="1" r:id="rIdf-3ngjz8e0j0i6c9ohpd4">
        <w:r>
          <w:rPr>
            <w:rStyle w:val="Hyperlink"/>
            <w:sz w:val="22"/>
            <w:szCs w:val="22"/>
          </w:rPr>
          <w:t xml:space="preserve">https://www.metrobank.com.ph/articles/learn/home-maintenance-budget</w:t>
        </w:r>
      </w:hyperlink>
    </w:p>
    <w:p>
      <w:pPr>
        <w:spacing w:after="100" w:line="276"/>
        <w:ind w:left="567" w:hanging="567"/>
        <w:jc w:val="left"/>
      </w:pPr>
      <w:r>
        <w:t xml:space="preserve">Onlinebank – MB. (n.d.). Vay mua nhà dự án MB.</w:t>
      </w:r>
      <w:r>
        <w:t xml:space="preserve"> </w:t>
      </w:r>
      <w:hyperlink w:history="1" r:id="rIdi6tjmoom1n1nbgnhleme5">
        <w:r>
          <w:rPr>
            <w:rStyle w:val="Hyperlink"/>
            <w:sz w:val="22"/>
            <w:szCs w:val="22"/>
          </w:rPr>
          <w:t xml:space="preserve">https://onlinebank.com.vn/sp/vay-mua-nha-du-an-mb/</w:t>
        </w:r>
      </w:hyperlink>
    </w:p>
    <w:p>
      <w:pPr>
        <w:spacing w:after="100" w:line="276"/>
        <w:ind w:left="567" w:hanging="567"/>
        <w:jc w:val="left"/>
      </w:pPr>
      <w:r>
        <w:t xml:space="preserve">Phap Luat. (n.d.). Bán căn nhà duy nhất có phải nộp thuế thu nhập cá nhân không.</w:t>
      </w:r>
      <w:r>
        <w:t xml:space="preserve"> </w:t>
      </w:r>
      <w:hyperlink w:history="1" r:id="rIdwngi_fpa2vpehrrz0hnz5">
        <w:r>
          <w:rPr>
            <w:rStyle w:val="Hyperlink"/>
            <w:sz w:val="22"/>
            <w:szCs w:val="22"/>
          </w:rPr>
          <w:t xml:space="preserve">https://baophapluat.vn/ban-can-nha-duy-nhat-co-phai-nop-thue-thu-nhap-ca-nhan-khong.html</w:t>
        </w:r>
      </w:hyperlink>
    </w:p>
    <w:p>
      <w:pPr>
        <w:spacing w:after="100" w:line="276"/>
        <w:ind w:left="567" w:hanging="567"/>
        <w:jc w:val="left"/>
      </w:pPr>
      <w:r>
        <w:t xml:space="preserve">Standard Chartered Vietnam. (n.d.). Mortgage loans.</w:t>
      </w:r>
      <w:r>
        <w:t xml:space="preserve"> </w:t>
      </w:r>
      <w:hyperlink w:history="1" r:id="rIdrhxty45uefg3vrtucntoy">
        <w:r>
          <w:rPr>
            <w:rStyle w:val="Hyperlink"/>
            <w:sz w:val="22"/>
            <w:szCs w:val="22"/>
          </w:rPr>
          <w:t xml:space="preserve">https://www.sc.com/vn/loans/mortgage/</w:t>
        </w:r>
      </w:hyperlink>
    </w:p>
    <w:p>
      <w:pPr>
        <w:spacing w:after="100" w:line="276"/>
        <w:ind w:left="567" w:hanging="567"/>
        <w:jc w:val="left"/>
      </w:pPr>
      <w:r>
        <w:t xml:space="preserve">Thanh Nien. (2026, August 25). Người vay mua nhà đang chịu lãi suất bao nhiêu?</w:t>
      </w:r>
      <w:r>
        <w:t xml:space="preserve"> </w:t>
      </w:r>
      <w:hyperlink w:history="1" r:id="rId70l7dnt8knsxcsfroxwul">
        <w:r>
          <w:rPr>
            <w:rStyle w:val="Hyperlink"/>
            <w:sz w:val="22"/>
            <w:szCs w:val="22"/>
          </w:rPr>
          <w:t xml:space="preserve">https://thanhnien.vn/nguoi-vay-mua-nha-dang-chiu-lai-suat-bao-nhieu-185260825101722042.htm</w:t>
        </w:r>
      </w:hyperlink>
    </w:p>
    <w:p>
      <w:pPr>
        <w:spacing w:after="100" w:line="276"/>
        <w:ind w:left="567" w:hanging="567"/>
        <w:jc w:val="left"/>
      </w:pPr>
      <w:r>
        <w:t xml:space="preserve">Thuvienphapluat. (n.d.). Người mua căn hộ chung cư có bắt buộc phải đóng phí bảo trì chung cư không.</w:t>
      </w:r>
      <w:r>
        <w:t xml:space="preserve"> </w:t>
      </w:r>
      <w:hyperlink w:history="1" r:id="rId0qegqb5fdp3vsvhz_5syt">
        <w:r>
          <w:rPr>
            <w:rStyle w:val="Hyperlink"/>
            <w:sz w:val="22"/>
            <w:szCs w:val="22"/>
          </w:rPr>
          <w:t xml:space="preserve">https://thuvienphapluat.vn/phap-luat-nha-dat/nguoi-mua-can-ho-chung-cu-co-bat-buoc-phai-dong-phi-bao-tri-chung-cu-khong-8987.html</w:t>
        </w:r>
      </w:hyperlink>
    </w:p>
    <w:p>
      <w:pPr>
        <w:spacing w:after="100" w:line="276"/>
        <w:ind w:left="567" w:hanging="567"/>
        <w:jc w:val="left"/>
      </w:pPr>
      <w:r>
        <w:t xml:space="preserve">Thuvienphapluat. (n.d.). Toàn bộ 19 trường hợp được miễn lệ phí trước bạ nhà đất 2026.</w:t>
      </w:r>
      <w:r>
        <w:t xml:space="preserve"> </w:t>
      </w:r>
      <w:hyperlink w:history="1" r:id="rIdwonkx1hi1u3snve9r1n8g">
        <w:r>
          <w:rPr>
            <w:rStyle w:val="Hyperlink"/>
            <w:sz w:val="22"/>
            <w:szCs w:val="22"/>
          </w:rPr>
          <w:t xml:space="preserve">https://thuvienphapluat.vn/phap-luat-nha-dat/toan-bo-19-truong-hop-duoc-mien-le-phi-truoc-ba-nha-dat-2026-14320.html</w:t>
        </w:r>
      </w:hyperlink>
    </w:p>
    <w:p>
      <w:pPr>
        <w:spacing w:after="100" w:line="276"/>
        <w:ind w:left="567" w:hanging="567"/>
        <w:jc w:val="left"/>
      </w:pPr>
      <w:r>
        <w:t xml:space="preserve">VIB. (n.d.). Vay mua nhà được bao nhiêu năm.</w:t>
      </w:r>
      <w:r>
        <w:t xml:space="preserve"> </w:t>
      </w:r>
      <w:hyperlink w:history="1" r:id="rIdikwp9ds5h3w2kopimbb-c">
        <w:r>
          <w:rPr>
            <w:rStyle w:val="Hyperlink"/>
            <w:sz w:val="22"/>
            <w:szCs w:val="22"/>
          </w:rPr>
          <w:t xml:space="preserve">https://www.vib.com.vn/vn/cam-nang/vay/vay-bat-dong-san/vay-mua-nha-duoc-bao-nhieu-nam</w:t>
        </w:r>
      </w:hyperlink>
    </w:p>
    <w:p>
      <w:pPr>
        <w:spacing w:after="100" w:line="276"/>
        <w:ind w:left="567" w:hanging="567"/>
        <w:jc w:val="left"/>
      </w:pPr>
      <w:r>
        <w:t xml:space="preserve">Vietnam Finance Times. (n.d.). Giá dịch vụ quản lý vận hành chung cư tại Hà Nội từ 700 đồng – 16.500 đồng/m²/tháng.</w:t>
      </w:r>
      <w:r>
        <w:t xml:space="preserve"> </w:t>
      </w:r>
      <w:hyperlink w:history="1" r:id="rId5hzarbfoo1nignh6sudky">
        <w:r>
          <w:rPr>
            <w:rStyle w:val="Hyperlink"/>
            <w:sz w:val="22"/>
            <w:szCs w:val="22"/>
          </w:rPr>
          <w:t xml:space="preserve">https://thoibaotaichinhvietnam.vn/gia-dich-vu-quan-ly-van-hanh-chung-cu-tai-ha-noi-tu-700-dong-16500-dongm-thang-175052.html</w:t>
        </w:r>
      </w:hyperlink>
    </w:p>
    <w:p>
      <w:pPr>
        <w:spacing w:after="100" w:line="276"/>
        <w:ind w:left="567" w:hanging="567"/>
        <w:jc w:val="left"/>
      </w:pPr>
      <w:r>
        <w:t xml:space="preserve">Vietnambiz. (n.d.). Lợi suất cho thuê chung cư đang giảm dần.</w:t>
      </w:r>
      <w:r>
        <w:t xml:space="preserve"> </w:t>
      </w:r>
      <w:hyperlink w:history="1" r:id="rId8d6ygpaf_ax-z7f1dqlyw">
        <w:r>
          <w:rPr>
            <w:rStyle w:val="Hyperlink"/>
            <w:sz w:val="22"/>
            <w:szCs w:val="22"/>
          </w:rPr>
          <w:t xml:space="preserve">https://vietnambiz.vn/loi-suat-cho-thue-chung-cu-dang-giam-dan-202541323742923.htm</w:t>
        </w:r>
      </w:hyperlink>
    </w:p>
    <w:p>
      <w:pPr>
        <w:spacing w:after="100" w:line="276"/>
        <w:ind w:left="567" w:hanging="567"/>
        <w:jc w:val="left"/>
      </w:pPr>
      <w:r>
        <w:t xml:space="preserve">VnExpress. (n.d.). Chật vật vì giá thuê chung cư leo thang.</w:t>
      </w:r>
      <w:r>
        <w:t xml:space="preserve"> </w:t>
      </w:r>
      <w:hyperlink w:history="1" r:id="rIdzia5cxigcd7b0lrcgdyxp">
        <w:r>
          <w:rPr>
            <w:rStyle w:val="Hyperlink"/>
            <w:sz w:val="22"/>
            <w:szCs w:val="22"/>
          </w:rPr>
          <w:t xml:space="preserve">https://vnexpress.net/chat-vat-vi-gia-thue-chung-cu-leo-thang-4927114.html</w:t>
        </w:r>
      </w:hyperlink>
    </w:p>
    <w:p>
      <w:pPr>
        <w:spacing w:after="100" w:line="276"/>
        <w:ind w:left="567" w:hanging="567"/>
        <w:jc w:val="left"/>
      </w:pPr>
      <w:r>
        <w:t xml:space="preserve">VnExpress. (n.d.). Hà Nội tiếp tục áp trần giá dịch vụ chung cư 16.500 đồng một m².</w:t>
      </w:r>
      <w:r>
        <w:t xml:space="preserve"> </w:t>
      </w:r>
      <w:hyperlink w:history="1" r:id="rId7vqd14qbthqke1fekskjd">
        <w:r>
          <w:rPr>
            <w:rStyle w:val="Hyperlink"/>
            <w:sz w:val="22"/>
            <w:szCs w:val="22"/>
          </w:rPr>
          <w:t xml:space="preserve">https://vnexpress.net/ha-noi-tiep-tuc-ap-tran-gia-dich-vu-chung-cu-16-500-dong-mot-m2-4877080.html</w:t>
        </w:r>
      </w:hyperlink>
    </w:p>
    <w:p>
      <w:pPr>
        <w:spacing w:after="100" w:line="276"/>
        <w:ind w:left="567" w:hanging="567"/>
        <w:jc w:val="left"/>
      </w:pPr>
      <w:r>
        <w:t xml:space="preserve">wiki.batdongsan. (n.d.). Phí môi giới nhà đất.</w:t>
      </w:r>
      <w:r>
        <w:t xml:space="preserve"> </w:t>
      </w:r>
      <w:hyperlink w:history="1" r:id="rIdo_yfwsm3sfmn0-sirdbci">
        <w:r>
          <w:rPr>
            <w:rStyle w:val="Hyperlink"/>
            <w:sz w:val="22"/>
            <w:szCs w:val="22"/>
          </w:rPr>
          <w:t xml:space="preserve">https://wiki.batdongsan.com.vn/wiki/phi-moi-gioi-nha-dat-109150</w:t>
        </w:r>
      </w:hyperlink>
    </w:p>
    <w:p>
      <w:pPr>
        <w:spacing w:after="100" w:line="276"/>
        <w:ind w:left="567" w:hanging="567"/>
        <w:jc w:val="left"/>
      </w:pPr>
      <w:r>
        <w:t xml:space="preserve">World Bank. (n.d.-a). Inflation, consumer prices (annual %) – Vietnam.</w:t>
      </w:r>
      <w:r>
        <w:t xml:space="preserve"> </w:t>
      </w:r>
      <w:hyperlink w:history="1" r:id="rIdgpsn42d962nvlps8xlx4o">
        <w:r>
          <w:rPr>
            <w:rStyle w:val="Hyperlink"/>
            <w:sz w:val="22"/>
            <w:szCs w:val="22"/>
          </w:rPr>
          <w:t xml:space="preserve">https://data.worldbank.org/indicator/FP.CPI.TOTL.ZG?end=2025&amp;locations=VN&amp;start=2016&amp;view=chart</w:t>
        </w:r>
      </w:hyperlink>
    </w:p>
    <w:p>
      <w:pPr>
        <w:spacing w:after="100" w:line="276"/>
        <w:ind w:left="567" w:hanging="567"/>
        <w:jc w:val="left"/>
      </w:pPr>
      <w:r>
        <w:t xml:space="preserve">World Bank. (n.d.-b). GDP per capita growth (annual %) – Vietnam.</w:t>
      </w:r>
      <w:r>
        <w:t xml:space="preserve"> </w:t>
      </w:r>
      <w:hyperlink w:history="1" r:id="rIdr1queejw_qr8bjzvxl_wf">
        <w:r>
          <w:rPr>
            <w:rStyle w:val="Hyperlink"/>
            <w:sz w:val="22"/>
            <w:szCs w:val="22"/>
          </w:rPr>
          <w:t xml:space="preserve">https://data.worldbank.org/indicator/NY.GDP.PCAP.KD.ZG?end=2025&amp;locations=VN&amp;start=2016</w:t>
        </w:r>
      </w:hyperlink>
    </w:p>
    <w:p>
      <w:pPr>
        <w:pStyle w:val="Heading1"/>
        <w:pageBreakBefore/>
        <w:spacing w:after="160" w:line="360"/>
      </w:pPr>
      <w:bookmarkStart w:id="929" w:name="_Toc100029"/>
      <w:r>
        <w:rPr>
          <w:rFonts w:ascii="Times New Roman" w:cs="Times New Roman" w:eastAsia="Times New Roman" w:hAnsi="Times New Roman"/>
          <w:b/>
          <w:bCs/>
          <w:sz w:val="28"/>
          <w:szCs w:val="28"/>
        </w:rPr>
        <w:t xml:space="preserve">Appendix A. Base-case assumptions</w:t>
      </w:r>
      <w:bookmarkEnd w:id="92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3"/>
        <w:gridCol w:w="3447"/>
        <w:gridCol w:w="2721"/>
      </w:tblGrid>
      <w:tr>
        <w:trPr>
          <w:tblHeader/>
        </w:trPr>
        <w:tc>
          <w:tcPr>
            <w:tcW w:type="dxa" w:w="2903"/>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Assumption</w:t>
            </w:r>
          </w:p>
        </w:tc>
        <w:tc>
          <w:tcPr>
            <w:tcW w:type="dxa" w:w="3447"/>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Value</w:t>
            </w:r>
          </w:p>
        </w:tc>
        <w:tc>
          <w:tcPr>
            <w:tcW w:type="dxa" w:w="2721"/>
            <w:tcBorders>
              <w:top w:val="single" w:color="808080" w:sz="4"/>
              <w:left w:val="single" w:color="808080" w:sz="4"/>
              <w:bottom w:val="single" w:color="808080" w:sz="4"/>
              <w:right w:val="single" w:color="808080" w:sz="4"/>
            </w:tcBorders>
            <w:shd w:fill="D9E5DD" w:color="auto" w:val="clear"/>
            <w:tcMar>
              <w:top w:type="dxa" w:w="60"/>
              <w:left w:type="dxa" w:w="100"/>
              <w:bottom w:type="dxa" w:w="60"/>
              <w:right w:type="dxa" w:w="100"/>
            </w:tcMar>
            <w:vAlign w:val="center"/>
          </w:tcPr>
          <w:p>
            <w:pPr>
              <w:spacing w:line="260"/>
            </w:pPr>
            <w:r>
              <w:rPr>
                <w:b/>
                <w:bCs/>
                <w:sz w:val="21"/>
                <w:szCs w:val="21"/>
              </w:rPr>
              <w:t xml:space="preserve">Source</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Promotional fixed rate (6 / 12 / 18 / 24 months)</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7.7% / 8.3% / 8.5% / 9.0%</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MB Bank, Van Phuc branch</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Floating rate after promotion</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10.5% reference + 1.5 pts (next 12 months), + 3.5 pts thereafter</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MB Bank; Thanh Nien (2026); Dan Tri (2026)</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Grace period (interest only)</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24 months</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MB Bank</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Repayment method</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Equal principal after grace period</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MB Bank</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Maximum loan-to-value</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80%</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MB Bank</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Loan term</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min((70 − older age) × 12, 360) months</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VIB; Cake; Onlinebank – MB; Standard Chartered</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Early-repayment fee</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 in years 1–5, 0% from year 6</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MB Bank</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Closing costs</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2.6% of price (2% maintenance fund, 0.5% registration fee, ~0.1% notary)</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Housing Law 2023, Art. 152; Thuvienphapluat; LuatVietnam</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Selling cost</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1.5% of home value (broker); no income tax on a sole home</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wiki.batdongsan; Thuvienphapluat; Phap Luat</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Service fee</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10,000 VND/m²/month, both sides, grows with inflation</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Vietnam Finance Times; VnExpress</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Fire insurance (owner)</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0.05% of price per year</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Luat Minh Khue; LSVN</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Owner upkeep</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0% (1% in sensitivity)</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Metrobank (sensitivity only)</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Home price growth</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20.43% easing to 8.38%, τ = 3.24 years</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CafeF; Cushman &amp; Wakefield; World Bank</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Rent growth</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6% per year</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VnExpress; Vietnambiz</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Income growth</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5.56% per year</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NSO (2026)</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Living cost growth (inflation)</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3.09% per year</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World Bank</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Investment returns</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Savings 6.50%, bonds 4.02%, gold 11.12%, stocks 7.99%</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FiinPro; DIV; investing.com</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Default investment mix</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100% savings deposits, rebalanced yearly</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Team decision</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Emergency fund</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User input (default 6 months of living cost), kept in savings</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Team decision</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Safe level</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40% / 35% / 30% / 25% of income by tier (today's money)</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Team estimate; CFPB, DNSE as reference</w:t>
            </w:r>
          </w:p>
        </w:tc>
      </w:tr>
      <w:tr>
        <w:trPr>
          <w:cantSplit/>
        </w:trPr>
        <w:tc>
          <w:tcPr>
            <w:tcW w:type="dxa" w:w="29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Monte Carlo</w:t>
            </w:r>
          </w:p>
        </w:tc>
        <w:tc>
          <w:tcPr>
            <w:tcW w:type="dxa" w:w="344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1,000 futures, fixed seed; sensitivity uses 500 per row</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sz w:val="21"/>
                <w:szCs w:val="21"/>
              </w:rPr>
              <w:t xml:space="preserve">Team decision</w:t>
            </w:r>
          </w:p>
        </w:tc>
      </w:tr>
    </w:tbl>
    <w:sectPr>
      <w:headerReference w:type="default" r:id="rId8"/>
      <w:pgSz w:w="11906" w:h="16838" w:orient="portrait"/>
      <w:pgMar w:top="1134" w:right="1134" w:bottom="1134" w:left="1701" w:header="567"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000000"/>
      <w:sz w:val="24"/>
      <w:szCs w:val="24"/>
    </w:rPr>
  </w:style>
  <w:style w:type="paragraph" w:styleId="TOC1">
    <w:name w:val="toc 1"/>
    <w:basedOn w:val="Normal"/>
    <w:next w:val="Normal"/>
    <w:pPr>
      <w:tabs>
        <w:tab w:val="right" w:pos="9071" w:leader="dot"/>
      </w:tabs>
      <w:spacing w:after="40" w:before="120" w:line="300"/>
    </w:pPr>
    <w:rPr>
      <w:rFonts w:ascii="Times New Roman" w:cs="Times New Roman" w:eastAsia="Times New Roman" w:hAnsi="Times New Roman"/>
      <w:b/>
      <w:bCs/>
      <w:sz w:val="24"/>
      <w:szCs w:val="24"/>
    </w:rPr>
  </w:style>
  <w:style w:type="paragraph" w:styleId="TOC2">
    <w:name w:val="toc 2"/>
    <w:basedOn w:val="Normal"/>
    <w:next w:val="Normal"/>
    <w:pPr>
      <w:tabs>
        <w:tab w:val="right" w:pos="9071" w:leader="dot"/>
      </w:tabs>
      <w:spacing w:after="40" w:line="300"/>
      <w:ind w:left="44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tq_bqxauknmrmea7djeuv" Type="http://schemas.openxmlformats.org/officeDocument/2006/relationships/hyperlink" Target="https://cafef.vn/nhin-lai-10-nam-bds-ha-noi-gia-can-ho-tang-gan-300-thi-truong-chuan-bi-da-cuc-hoa-18826042315173533.chn" TargetMode="External"/><Relationship Id="rIdbtc10umwf_g7ubdyx20sm" Type="http://schemas.openxmlformats.org/officeDocument/2006/relationships/hyperlink" Target="https://cake.vn/tin-tuc/tai-chinh/vay-the-chap-toi-da-duoc-bao-nhieu-nam" TargetMode="External"/><Relationship Id="rId_9fyoj0ajwxedzdshcxiu" Type="http://schemas.openxmlformats.org/officeDocument/2006/relationships/hyperlink" Target="https://files.consumerfinance.gov/f/201301_cfpb_final-rule_ability-to-repay-preamble.pdf" TargetMode="External"/><Relationship Id="rIdvxvpzpmp_po_srureonu9" Type="http://schemas.openxmlformats.org/officeDocument/2006/relationships/hyperlink" Target="https://cloud.comm.cushmanwakefield.com/Hanoi_realestate_market_review?" TargetMode="External"/><Relationship Id="rIdqp1dkx-5qhbi7fqfcx5l6" Type="http://schemas.openxmlformats.org/officeDocument/2006/relationships/hyperlink" Target="https://dantri.com.vn/kinh-doanh/lai-suat-tha-noi-tren-14nam-ngan-hang-giam-cho-vay-mua-nha-20260823171410442.htm" TargetMode="External"/><Relationship Id="rIddoyobsb2udl_vefius6r6" Type="http://schemas.openxmlformats.org/officeDocument/2006/relationships/hyperlink" Target="https://div.gov.vn/lai-suat-tiet-kiem-tang-trong-tam-kiem-soat-mt-bang-cho-vay-du-kien-tiep-tuc-on-dinh" TargetMode="External"/><Relationship Id="rIdsfvodl98aunbxkoz9nhgh" Type="http://schemas.openxmlformats.org/officeDocument/2006/relationships/hyperlink" Target="https://www.dnse.com.vn/hoc/ty-le-no-tren-thu-nhap" TargetMode="External"/><Relationship Id="rIdfzmiyyptndrvj7s9-ufin" Type="http://schemas.openxmlformats.org/officeDocument/2006/relationships/hyperlink" Target="https://www.nso.gov.vn/wp-content/uploads/2026/03/Sach-Khao-sat-muc-song-dan-cu-2024.pdf" TargetMode="External"/><Relationship Id="rIdskj47aumojbciydhfd74d" Type="http://schemas.openxmlformats.org/officeDocument/2006/relationships/hyperlink" Target="https://www.globalpropertyguide.com/asia/vietnam/rental-yields" TargetMode="External"/><Relationship Id="rIdbzedszboiti_seja1mccb" Type="http://schemas.openxmlformats.org/officeDocument/2006/relationships/hyperlink" Target="https://hethongphapluat.com/law-no-27-2023-qh15-dated-december-27-2023-on-housing/dieu-152" TargetMode="External"/><Relationship Id="rIdv82hgggmyyvalzr9jfsmu" Type="http://schemas.openxmlformats.org/officeDocument/2006/relationships/hyperlink" Target="https://vn.investing.com/indices/vn-historical-data" TargetMode="External"/><Relationship Id="rIdcqhn2a7qyh-ipheblg2fo" Type="http://schemas.openxmlformats.org/officeDocument/2006/relationships/hyperlink" Target="https://luatminhkhue.vn/muc-phi-bao-hiem-chay-no-chung-cu-moi-nhat-va-cach-tinh.aspx" TargetMode="External"/><Relationship Id="rIdusizjfijztsdprgyicd1t" Type="http://schemas.openxmlformats.org/officeDocument/2006/relationships/hyperlink" Target="https://lsvn.vn/tu-01-7-chung-cu-nha-o-tap-the-tu-05-tang-tro-len-phai-mua-bao-hiem-chay-no-bat-buoc-a158203.html" TargetMode="External"/><Relationship Id="rIdjhfszy7dt71sxk3zync4k" Type="http://schemas.openxmlformats.org/officeDocument/2006/relationships/hyperlink" Target="https://luatvietnam.vn/hanh-chinh/muc-phi-cong-chung-moi-nhat-570-21497-article.html" TargetMode="External"/><Relationship Id="rIdf-3ngjz8e0j0i6c9ohpd4" Type="http://schemas.openxmlformats.org/officeDocument/2006/relationships/hyperlink" Target="https://www.metrobank.com.ph/articles/learn/home-maintenance-budget" TargetMode="External"/><Relationship Id="rIdi6tjmoom1n1nbgnhleme5" Type="http://schemas.openxmlformats.org/officeDocument/2006/relationships/hyperlink" Target="https://onlinebank.com.vn/sp/vay-mua-nha-du-an-mb/" TargetMode="External"/><Relationship Id="rIdwngi_fpa2vpehrrz0hnz5" Type="http://schemas.openxmlformats.org/officeDocument/2006/relationships/hyperlink" Target="https://baophapluat.vn/ban-can-nha-duy-nhat-co-phai-nop-thue-thu-nhap-ca-nhan-khong.html" TargetMode="External"/><Relationship Id="rIdrhxty45uefg3vrtucntoy" Type="http://schemas.openxmlformats.org/officeDocument/2006/relationships/hyperlink" Target="https://www.sc.com/vn/loans/mortgage/" TargetMode="External"/><Relationship Id="rId70l7dnt8knsxcsfroxwul" Type="http://schemas.openxmlformats.org/officeDocument/2006/relationships/hyperlink" Target="https://thanhnien.vn/nguoi-vay-mua-nha-dang-chiu-lai-suat-bao-nhieu-185260825101722042.htm" TargetMode="External"/><Relationship Id="rId0qegqb5fdp3vsvhz_5syt" Type="http://schemas.openxmlformats.org/officeDocument/2006/relationships/hyperlink" Target="https://thuvienphapluat.vn/phap-luat-nha-dat/nguoi-mua-can-ho-chung-cu-co-bat-buoc-phai-dong-phi-bao-tri-chung-cu-khong-8987.html" TargetMode="External"/><Relationship Id="rIdwonkx1hi1u3snve9r1n8g" Type="http://schemas.openxmlformats.org/officeDocument/2006/relationships/hyperlink" Target="https://thuvienphapluat.vn/phap-luat-nha-dat/toan-bo-19-truong-hop-duoc-mien-le-phi-truoc-ba-nha-dat-2026-14320.html" TargetMode="External"/><Relationship Id="rIdikwp9ds5h3w2kopimbb-c" Type="http://schemas.openxmlformats.org/officeDocument/2006/relationships/hyperlink" Target="https://www.vib.com.vn/vn/cam-nang/vay/vay-bat-dong-san/vay-mua-nha-duoc-bao-nhieu-nam" TargetMode="External"/><Relationship Id="rId5hzarbfoo1nignh6sudky" Type="http://schemas.openxmlformats.org/officeDocument/2006/relationships/hyperlink" Target="https://thoibaotaichinhvietnam.vn/gia-dich-vu-quan-ly-van-hanh-chung-cu-tai-ha-noi-tu-700-dong-16500-dongm-thang-175052.html" TargetMode="External"/><Relationship Id="rId8d6ygpaf_ax-z7f1dqlyw" Type="http://schemas.openxmlformats.org/officeDocument/2006/relationships/hyperlink" Target="https://vietnambiz.vn/loi-suat-cho-thue-chung-cu-dang-giam-dan-202541323742923.htm" TargetMode="External"/><Relationship Id="rIdzia5cxigcd7b0lrcgdyxp" Type="http://schemas.openxmlformats.org/officeDocument/2006/relationships/hyperlink" Target="https://vnexpress.net/chat-vat-vi-gia-thue-chung-cu-leo-thang-4927114.html" TargetMode="External"/><Relationship Id="rId7vqd14qbthqke1fekskjd" Type="http://schemas.openxmlformats.org/officeDocument/2006/relationships/hyperlink" Target="https://vnexpress.net/ha-noi-tiep-tuc-ap-tran-gia-dich-vu-chung-cu-16-500-dong-mot-m2-4877080.html" TargetMode="External"/><Relationship Id="rIdo_yfwsm3sfmn0-sirdbci" Type="http://schemas.openxmlformats.org/officeDocument/2006/relationships/hyperlink" Target="https://wiki.batdongsan.com.vn/wiki/phi-moi-gioi-nha-dat-109150" TargetMode="External"/><Relationship Id="rIdgpsn42d962nvlps8xlx4o" Type="http://schemas.openxmlformats.org/officeDocument/2006/relationships/hyperlink" Target="https://data.worldbank.org/indicator/FP.CPI.TOTL.ZG?end=2025&amp;locations=VN&amp;start=2016&amp;view=chart" TargetMode="External"/><Relationship Id="rIdr1queejw_qr8bjzvxl_wf" Type="http://schemas.openxmlformats.org/officeDocument/2006/relationships/hyperlink" Target="https://data.worldbank.org/indicator/NY.GDP.PCAP.KD.ZG?end=2025&amp;locations=VN&amp;start=2016" TargetMode="External"/><Relationship Id="rId9" Type="http://schemas.openxmlformats.org/officeDocument/2006/relationships/image" Target="media/11d27ca7500ce17a67cd2492d1e4c0c12eb46d5d.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FinFlow: A Buy-versus-Rent Decision Tool for Two-Bedroom Apartments in Hanoi</dc:title>
  <dc:creator>FinFlow team</dc:creator>
  <cp:lastModifiedBy>Un-named</cp:lastModifiedBy>
  <cp:revision>1</cp:revision>
  <dcterms:created xsi:type="dcterms:W3CDTF">2026-10-24T10:02:26.335Z</dcterms:created>
  <dcterms:modified xsi:type="dcterms:W3CDTF">2026-10-24T10:02:26.335Z</dcterms:modified>
</cp:coreProperties>
</file>

<file path=docProps/custom.xml><?xml version="1.0" encoding="utf-8"?>
<Properties xmlns="http://schemas.openxmlformats.org/officeDocument/2006/custom-properties" xmlns:vt="http://schemas.openxmlformats.org/officeDocument/2006/docPropsVTypes"/>
</file>