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56C3" w14:textId="77777777" w:rsidR="00504026" w:rsidRPr="0029320A" w:rsidRDefault="00000000">
      <w:pPr>
        <w:spacing w:before="160" w:after="40"/>
        <w:jc w:val="center"/>
        <w:rPr>
          <w:rFonts w:asciiTheme="majorHAnsi" w:hAnsiTheme="majorHAnsi" w:cstheme="majorHAnsi"/>
        </w:rPr>
      </w:pPr>
      <w:r w:rsidRPr="0029320A">
        <w:rPr>
          <w:rFonts w:asciiTheme="majorHAnsi" w:hAnsiTheme="majorHAnsi" w:cstheme="majorHAnsi"/>
          <w:b/>
          <w:color w:val="1F4E79"/>
          <w:sz w:val="38"/>
        </w:rPr>
        <w:t>INDIVIDUAL CONTRIBUTION REPORT</w:t>
      </w:r>
    </w:p>
    <w:p w14:paraId="286256E7" w14:textId="77777777" w:rsidR="00504026" w:rsidRPr="0029320A" w:rsidRDefault="00000000">
      <w:pPr>
        <w:jc w:val="center"/>
        <w:rPr>
          <w:rFonts w:asciiTheme="majorHAnsi" w:hAnsiTheme="majorHAnsi" w:cstheme="majorHAnsi"/>
        </w:rPr>
      </w:pPr>
      <w:r w:rsidRPr="0029320A">
        <w:rPr>
          <w:rFonts w:asciiTheme="majorHAnsi" w:hAnsiTheme="majorHAnsi" w:cstheme="majorHAnsi"/>
          <w:i/>
          <w:sz w:val="20"/>
        </w:rPr>
        <w:t>Free Fall 2.0 – Group 06 · Final Examination Assessment</w:t>
      </w:r>
    </w:p>
    <w:tbl>
      <w:tblPr>
        <w:tblW w:w="0" w:type="auto"/>
        <w:jc w:val="center"/>
        <w:tblLayout w:type="fixed"/>
        <w:tblLook w:val="04A0" w:firstRow="1" w:lastRow="0" w:firstColumn="1" w:lastColumn="0" w:noHBand="0" w:noVBand="1"/>
      </w:tblPr>
      <w:tblGrid>
        <w:gridCol w:w="1944"/>
        <w:gridCol w:w="8208"/>
      </w:tblGrid>
      <w:tr w:rsidR="00504026" w:rsidRPr="0029320A" w14:paraId="66B9BC42" w14:textId="77777777">
        <w:trPr>
          <w:jc w:val="center"/>
        </w:trPr>
        <w:tc>
          <w:tcPr>
            <w:tcW w:w="1944" w:type="dxa"/>
            <w:shd w:val="clear" w:color="auto" w:fill="D9EAF7"/>
            <w:tcMar>
              <w:top w:w="70" w:type="dxa"/>
              <w:left w:w="80" w:type="dxa"/>
              <w:bottom w:w="70" w:type="dxa"/>
              <w:right w:w="80" w:type="dxa"/>
            </w:tcMar>
            <w:vAlign w:val="center"/>
          </w:tcPr>
          <w:p w14:paraId="5FACA126"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b/>
                <w:color w:val="1F4E79"/>
                <w:sz w:val="22"/>
                <w:szCs w:val="28"/>
              </w:rPr>
              <w:t>Item</w:t>
            </w:r>
          </w:p>
        </w:tc>
        <w:tc>
          <w:tcPr>
            <w:tcW w:w="8208" w:type="dxa"/>
            <w:shd w:val="clear" w:color="auto" w:fill="D9EAF7"/>
            <w:tcMar>
              <w:top w:w="70" w:type="dxa"/>
              <w:left w:w="80" w:type="dxa"/>
              <w:bottom w:w="70" w:type="dxa"/>
              <w:right w:w="80" w:type="dxa"/>
            </w:tcMar>
            <w:vAlign w:val="center"/>
          </w:tcPr>
          <w:p w14:paraId="7CAF28B6"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b/>
                <w:color w:val="1F4E79"/>
                <w:sz w:val="22"/>
                <w:szCs w:val="28"/>
              </w:rPr>
              <w:t>Details</w:t>
            </w:r>
          </w:p>
        </w:tc>
      </w:tr>
      <w:tr w:rsidR="00504026" w:rsidRPr="0029320A" w14:paraId="2849A645" w14:textId="77777777">
        <w:trPr>
          <w:jc w:val="center"/>
        </w:trPr>
        <w:tc>
          <w:tcPr>
            <w:tcW w:w="1944" w:type="dxa"/>
            <w:tcMar>
              <w:top w:w="70" w:type="dxa"/>
              <w:left w:w="80" w:type="dxa"/>
              <w:bottom w:w="70" w:type="dxa"/>
              <w:right w:w="80" w:type="dxa"/>
            </w:tcMar>
            <w:vAlign w:val="center"/>
          </w:tcPr>
          <w:p w14:paraId="7E7830C6"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Course</w:t>
            </w:r>
          </w:p>
        </w:tc>
        <w:tc>
          <w:tcPr>
            <w:tcW w:w="8208" w:type="dxa"/>
            <w:tcMar>
              <w:top w:w="70" w:type="dxa"/>
              <w:left w:w="80" w:type="dxa"/>
              <w:bottom w:w="70" w:type="dxa"/>
              <w:right w:w="80" w:type="dxa"/>
            </w:tcMar>
            <w:vAlign w:val="center"/>
          </w:tcPr>
          <w:p w14:paraId="63F42559"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Technology Applications in Banking and Finance (NHA408E) – FTU 2026</w:t>
            </w:r>
          </w:p>
        </w:tc>
      </w:tr>
      <w:tr w:rsidR="00504026" w:rsidRPr="0029320A" w14:paraId="6D110F3F" w14:textId="77777777">
        <w:trPr>
          <w:jc w:val="center"/>
        </w:trPr>
        <w:tc>
          <w:tcPr>
            <w:tcW w:w="1944" w:type="dxa"/>
            <w:tcMar>
              <w:top w:w="70" w:type="dxa"/>
              <w:left w:w="80" w:type="dxa"/>
              <w:bottom w:w="70" w:type="dxa"/>
              <w:right w:w="80" w:type="dxa"/>
            </w:tcMar>
            <w:vAlign w:val="center"/>
          </w:tcPr>
          <w:p w14:paraId="2C7C5DDD"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Project</w:t>
            </w:r>
          </w:p>
        </w:tc>
        <w:tc>
          <w:tcPr>
            <w:tcW w:w="8208" w:type="dxa"/>
            <w:tcMar>
              <w:top w:w="70" w:type="dxa"/>
              <w:left w:w="80" w:type="dxa"/>
              <w:bottom w:w="70" w:type="dxa"/>
              <w:right w:w="80" w:type="dxa"/>
            </w:tcMar>
            <w:vAlign w:val="center"/>
          </w:tcPr>
          <w:p w14:paraId="3A29B4FD"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Free Fall 2.0 – web-based market-crash survival simulator (Group 06)</w:t>
            </w:r>
          </w:p>
        </w:tc>
      </w:tr>
      <w:tr w:rsidR="00504026" w:rsidRPr="0029320A" w14:paraId="6B596FEA" w14:textId="77777777">
        <w:trPr>
          <w:jc w:val="center"/>
        </w:trPr>
        <w:tc>
          <w:tcPr>
            <w:tcW w:w="1944" w:type="dxa"/>
            <w:tcMar>
              <w:top w:w="70" w:type="dxa"/>
              <w:left w:w="80" w:type="dxa"/>
              <w:bottom w:w="70" w:type="dxa"/>
              <w:right w:w="80" w:type="dxa"/>
            </w:tcMar>
            <w:vAlign w:val="center"/>
          </w:tcPr>
          <w:p w14:paraId="4282CCB6"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Member</w:t>
            </w:r>
          </w:p>
        </w:tc>
        <w:tc>
          <w:tcPr>
            <w:tcW w:w="8208" w:type="dxa"/>
            <w:tcMar>
              <w:top w:w="70" w:type="dxa"/>
              <w:left w:w="80" w:type="dxa"/>
              <w:bottom w:w="70" w:type="dxa"/>
              <w:right w:w="80" w:type="dxa"/>
            </w:tcMar>
            <w:vAlign w:val="center"/>
          </w:tcPr>
          <w:p w14:paraId="2EF44074"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Cáp Phan Quang Khánh</w:t>
            </w:r>
          </w:p>
        </w:tc>
      </w:tr>
      <w:tr w:rsidR="00504026" w:rsidRPr="0029320A" w14:paraId="38AE2EBB" w14:textId="77777777">
        <w:trPr>
          <w:jc w:val="center"/>
        </w:trPr>
        <w:tc>
          <w:tcPr>
            <w:tcW w:w="1944" w:type="dxa"/>
            <w:tcMar>
              <w:top w:w="70" w:type="dxa"/>
              <w:left w:w="80" w:type="dxa"/>
              <w:bottom w:w="70" w:type="dxa"/>
              <w:right w:w="80" w:type="dxa"/>
            </w:tcMar>
            <w:vAlign w:val="center"/>
          </w:tcPr>
          <w:p w14:paraId="612752AD"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Student ID</w:t>
            </w:r>
          </w:p>
        </w:tc>
        <w:tc>
          <w:tcPr>
            <w:tcW w:w="8208" w:type="dxa"/>
            <w:tcMar>
              <w:top w:w="70" w:type="dxa"/>
              <w:left w:w="80" w:type="dxa"/>
              <w:bottom w:w="70" w:type="dxa"/>
              <w:right w:w="80" w:type="dxa"/>
            </w:tcMar>
            <w:vAlign w:val="center"/>
          </w:tcPr>
          <w:p w14:paraId="3C9B9BA0"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2412380020</w:t>
            </w:r>
          </w:p>
        </w:tc>
      </w:tr>
      <w:tr w:rsidR="00504026" w:rsidRPr="0029320A" w14:paraId="68471242" w14:textId="77777777">
        <w:trPr>
          <w:jc w:val="center"/>
        </w:trPr>
        <w:tc>
          <w:tcPr>
            <w:tcW w:w="1944" w:type="dxa"/>
            <w:tcMar>
              <w:top w:w="70" w:type="dxa"/>
              <w:left w:w="80" w:type="dxa"/>
              <w:bottom w:w="70" w:type="dxa"/>
              <w:right w:w="80" w:type="dxa"/>
            </w:tcMar>
            <w:vAlign w:val="center"/>
          </w:tcPr>
          <w:p w14:paraId="0D437B1A"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Assigned role</w:t>
            </w:r>
          </w:p>
        </w:tc>
        <w:tc>
          <w:tcPr>
            <w:tcW w:w="8208" w:type="dxa"/>
            <w:tcMar>
              <w:top w:w="70" w:type="dxa"/>
              <w:left w:w="80" w:type="dxa"/>
              <w:bottom w:w="70" w:type="dxa"/>
              <w:right w:w="80" w:type="dxa"/>
            </w:tcMar>
            <w:vAlign w:val="center"/>
          </w:tcPr>
          <w:p w14:paraId="70D64CA4"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Scenario Designer</w:t>
            </w:r>
          </w:p>
        </w:tc>
      </w:tr>
      <w:tr w:rsidR="00504026" w:rsidRPr="0029320A" w14:paraId="19906482" w14:textId="77777777">
        <w:trPr>
          <w:jc w:val="center"/>
        </w:trPr>
        <w:tc>
          <w:tcPr>
            <w:tcW w:w="1944" w:type="dxa"/>
            <w:tcMar>
              <w:top w:w="70" w:type="dxa"/>
              <w:left w:w="80" w:type="dxa"/>
              <w:bottom w:w="70" w:type="dxa"/>
              <w:right w:w="80" w:type="dxa"/>
            </w:tcMar>
            <w:vAlign w:val="center"/>
          </w:tcPr>
          <w:p w14:paraId="0994505C"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Repository</w:t>
            </w:r>
          </w:p>
        </w:tc>
        <w:tc>
          <w:tcPr>
            <w:tcW w:w="8208" w:type="dxa"/>
            <w:tcMar>
              <w:top w:w="70" w:type="dxa"/>
              <w:left w:w="80" w:type="dxa"/>
              <w:bottom w:w="70" w:type="dxa"/>
              <w:right w:w="80" w:type="dxa"/>
            </w:tcMar>
            <w:vAlign w:val="center"/>
          </w:tcPr>
          <w:p w14:paraId="19DB9FDB"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https://github.com/FTU-Legacy-63/G06</w:t>
            </w:r>
          </w:p>
        </w:tc>
      </w:tr>
      <w:tr w:rsidR="00504026" w:rsidRPr="0029320A" w14:paraId="3EF7B8D4" w14:textId="77777777">
        <w:trPr>
          <w:jc w:val="center"/>
        </w:trPr>
        <w:tc>
          <w:tcPr>
            <w:tcW w:w="1944" w:type="dxa"/>
            <w:tcMar>
              <w:top w:w="70" w:type="dxa"/>
              <w:left w:w="80" w:type="dxa"/>
              <w:bottom w:w="70" w:type="dxa"/>
              <w:right w:w="80" w:type="dxa"/>
            </w:tcMar>
            <w:vAlign w:val="center"/>
          </w:tcPr>
          <w:p w14:paraId="536CA1CC"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Live product</w:t>
            </w:r>
          </w:p>
        </w:tc>
        <w:tc>
          <w:tcPr>
            <w:tcW w:w="8208" w:type="dxa"/>
            <w:tcMar>
              <w:top w:w="70" w:type="dxa"/>
              <w:left w:w="80" w:type="dxa"/>
              <w:bottom w:w="70" w:type="dxa"/>
              <w:right w:w="80" w:type="dxa"/>
            </w:tcMar>
            <w:vAlign w:val="center"/>
          </w:tcPr>
          <w:p w14:paraId="0987EF65"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https://ftu-legacy-63.github.io/G06/ (GitHub Pages)</w:t>
            </w:r>
          </w:p>
        </w:tc>
      </w:tr>
      <w:tr w:rsidR="00504026" w:rsidRPr="0029320A" w14:paraId="30EB9BD2" w14:textId="77777777">
        <w:trPr>
          <w:jc w:val="center"/>
        </w:trPr>
        <w:tc>
          <w:tcPr>
            <w:tcW w:w="1944" w:type="dxa"/>
            <w:tcMar>
              <w:top w:w="70" w:type="dxa"/>
              <w:left w:w="80" w:type="dxa"/>
              <w:bottom w:w="70" w:type="dxa"/>
              <w:right w:w="80" w:type="dxa"/>
            </w:tcMar>
            <w:vAlign w:val="center"/>
          </w:tcPr>
          <w:p w14:paraId="407A6D44"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Team</w:t>
            </w:r>
          </w:p>
        </w:tc>
        <w:tc>
          <w:tcPr>
            <w:tcW w:w="8208" w:type="dxa"/>
            <w:tcMar>
              <w:top w:w="70" w:type="dxa"/>
              <w:left w:w="80" w:type="dxa"/>
              <w:bottom w:w="70" w:type="dxa"/>
              <w:right w:w="80" w:type="dxa"/>
            </w:tcMar>
            <w:vAlign w:val="center"/>
          </w:tcPr>
          <w:p w14:paraId="33BE91C9" w14:textId="77777777" w:rsidR="00504026" w:rsidRPr="0029320A" w:rsidRDefault="00000000">
            <w:pPr>
              <w:spacing w:after="20"/>
              <w:rPr>
                <w:rFonts w:asciiTheme="majorHAnsi" w:hAnsiTheme="majorHAnsi" w:cstheme="majorHAnsi"/>
                <w:sz w:val="22"/>
                <w:szCs w:val="28"/>
              </w:rPr>
            </w:pPr>
            <w:r w:rsidRPr="0029320A">
              <w:rPr>
                <w:rFonts w:asciiTheme="majorHAnsi" w:hAnsiTheme="majorHAnsi" w:cstheme="majorHAnsi"/>
                <w:sz w:val="22"/>
                <w:szCs w:val="28"/>
              </w:rPr>
              <w:t>Trần Hữu Dụ · Nguyễn Hồng Nguyên · Cáp Phan Quang Khánh · Nguyễn Quang Minh · Triệu Đức Lương</w:t>
            </w:r>
          </w:p>
        </w:tc>
      </w:tr>
    </w:tbl>
    <w:p w14:paraId="59C58BEC" w14:textId="77777777" w:rsidR="00504026" w:rsidRPr="0029320A" w:rsidRDefault="00504026">
      <w:pPr>
        <w:spacing w:after="0"/>
        <w:rPr>
          <w:rFonts w:asciiTheme="majorHAnsi" w:hAnsiTheme="majorHAnsi" w:cstheme="majorHAnsi"/>
        </w:rPr>
      </w:pPr>
    </w:p>
    <w:p w14:paraId="0A95C543" w14:textId="77777777" w:rsidR="00504026" w:rsidRPr="0029320A" w:rsidRDefault="00000000">
      <w:pPr>
        <w:pStyle w:val="Heading1"/>
        <w:rPr>
          <w:rFonts w:cstheme="majorHAnsi"/>
        </w:rPr>
      </w:pPr>
      <w:r w:rsidRPr="0029320A">
        <w:rPr>
          <w:rFonts w:cstheme="majorHAnsi"/>
        </w:rPr>
        <w:t>1. Executive Summary</w:t>
      </w:r>
    </w:p>
    <w:p w14:paraId="2EBD5DBA" w14:textId="77777777" w:rsidR="00504026" w:rsidRPr="0029320A" w:rsidRDefault="00000000">
      <w:pPr>
        <w:rPr>
          <w:rFonts w:asciiTheme="majorHAnsi" w:hAnsiTheme="majorHAnsi" w:cstheme="majorHAnsi"/>
          <w:sz w:val="22"/>
          <w:szCs w:val="28"/>
        </w:rPr>
      </w:pPr>
      <w:r>
        <w:t>As Scenario Designer / Content Lead, I develop the player-facing scenarios and news content for Free Fall 2.0. My work focuses on creating market narratives across six phases, preparing news for two different scenarios, and connecting the information presented to players with the decisions they can make throughout the simulation.</w:t>
      </w:r>
    </w:p>
    <w:p w14:paraId="31C17FDD" w14:textId="77777777" w:rsidR="00504026" w:rsidRPr="0029320A" w:rsidRDefault="00000000">
      <w:pPr>
        <w:rPr>
          <w:rFonts w:asciiTheme="majorHAnsi" w:hAnsiTheme="majorHAnsi" w:cstheme="majorHAnsi"/>
          <w:sz w:val="22"/>
          <w:szCs w:val="28"/>
        </w:rPr>
      </w:pPr>
      <w:r>
        <w:t>My main contributions cover five connected areas: (1) scenario tree and user-flow paths; (2) scenario-specific news and events for Scenario 1 and Scenario 2; (3) the six-phase narrative progression; (4) mapping player actions to existing inputs; and (5) scenario decision paths. The system workflow, market datasets, predetermined price paths, Input Dictionary and financial engine are existing project components that I use as references rather than claim to have created.</w:t>
      </w:r>
    </w:p>
    <w:p w14:paraId="67530C36" w14:textId="77777777" w:rsidR="00504026" w:rsidRPr="0029320A" w:rsidRDefault="00000000">
      <w:pPr>
        <w:rPr>
          <w:rFonts w:asciiTheme="majorHAnsi" w:hAnsiTheme="majorHAnsi" w:cstheme="majorHAnsi"/>
          <w:sz w:val="22"/>
          <w:szCs w:val="28"/>
        </w:rPr>
      </w:pPr>
      <w:r>
        <w:t>The resulting content supports the game’s learning objective: showing how market information can influence decisions and how optimism, FOMO, overconfidence, leverage and fear may shape player behaviour. The existing market data determines the underlying price movements; my news provides the context players encounter as those movements unfold.</w:t>
      </w:r>
    </w:p>
    <w:p w14:paraId="78086608" w14:textId="77777777" w:rsidR="00504026" w:rsidRPr="0029320A" w:rsidRDefault="00000000">
      <w:pPr>
        <w:pStyle w:val="Heading1"/>
        <w:rPr>
          <w:rFonts w:cstheme="majorHAnsi"/>
        </w:rPr>
      </w:pPr>
      <w:r w:rsidRPr="0029320A">
        <w:rPr>
          <w:rFonts w:cstheme="majorHAnsi"/>
        </w:rPr>
        <w:t>2. Responsibilities and Deliverables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4608"/>
        <w:gridCol w:w="3456"/>
      </w:tblGrid>
      <w:tr w:rsidR="00504026" w:rsidRPr="0029320A" w14:paraId="320942E7" w14:textId="77777777" w:rsidTr="00EF0C0F">
        <w:trPr>
          <w:jc w:val="center"/>
        </w:trPr>
        <w:tc>
          <w:tcPr>
            <w:tcW w:w="2088" w:type="dxa"/>
            <w:shd w:val="clear" w:color="auto" w:fill="D9EAF7"/>
            <w:tcMar>
              <w:top w:w="70" w:type="dxa"/>
              <w:left w:w="80" w:type="dxa"/>
              <w:bottom w:w="70" w:type="dxa"/>
              <w:right w:w="80" w:type="dxa"/>
            </w:tcMar>
            <w:vAlign w:val="center"/>
          </w:tcPr>
          <w:p>
            <w:r>
              <w:t>Area</w:t>
            </w:r>
          </w:p>
        </w:tc>
        <w:tc>
          <w:tcPr>
            <w:tcW w:w="4608" w:type="dxa"/>
            <w:shd w:val="clear" w:color="auto" w:fill="D9EAF7"/>
            <w:tcMar>
              <w:top w:w="70" w:type="dxa"/>
              <w:left w:w="80" w:type="dxa"/>
              <w:bottom w:w="70" w:type="dxa"/>
              <w:right w:w="80" w:type="dxa"/>
            </w:tcMar>
            <w:vAlign w:val="center"/>
          </w:tcPr>
          <w:p>
            <w:r>
              <w:t>Responsibility</w:t>
            </w:r>
          </w:p>
        </w:tc>
        <w:tc>
          <w:tcPr>
            <w:tcW w:w="3456" w:type="dxa"/>
            <w:shd w:val="clear" w:color="auto" w:fill="D9EAF7"/>
            <w:tcMar>
              <w:top w:w="70" w:type="dxa"/>
              <w:left w:w="80" w:type="dxa"/>
              <w:bottom w:w="70" w:type="dxa"/>
              <w:right w:w="80" w:type="dxa"/>
            </w:tcMar>
            <w:vAlign w:val="center"/>
          </w:tcPr>
          <w:p>
            <w:r>
              <w:t>Repository deliverable</w:t>
            </w:r>
          </w:p>
        </w:tc>
      </w:tr>
      <w:tr w:rsidR="00504026" w:rsidRPr="0029320A" w14:paraId="7AE163E8" w14:textId="77777777" w:rsidTr="00EF0C0F">
        <w:trPr>
          <w:jc w:val="center"/>
        </w:trPr>
        <w:tc>
          <w:tcPr>
            <w:tcW w:w="2088" w:type="dxa"/>
            <w:tcMar>
              <w:top w:w="70" w:type="dxa"/>
              <w:left w:w="80" w:type="dxa"/>
              <w:bottom w:w="70" w:type="dxa"/>
              <w:right w:w="80" w:type="dxa"/>
            </w:tcMar>
            <w:vAlign w:val="center"/>
          </w:tcPr>
          <w:p>
            <w:r>
              <w:t>Scenario tree and user flow</w:t>
            </w:r>
          </w:p>
        </w:tc>
        <w:tc>
          <w:tcPr>
            <w:tcW w:w="4608" w:type="dxa"/>
            <w:tcMar>
              <w:top w:w="70" w:type="dxa"/>
              <w:left w:w="80" w:type="dxa"/>
              <w:bottom w:w="70" w:type="dxa"/>
              <w:right w:w="80" w:type="dxa"/>
            </w:tcMar>
            <w:vAlign w:val="center"/>
          </w:tcPr>
          <w:p>
            <w:r>
              <w:t>Generate normal, alternative and critical-risk paths based on the deterministic market scenario.</w:t>
            </w:r>
          </w:p>
        </w:tc>
        <w:tc>
          <w:tcPr>
            <w:tcW w:w="3456" w:type="dxa"/>
            <w:tcMar>
              <w:top w:w="70" w:type="dxa"/>
              <w:left w:w="80" w:type="dxa"/>
              <w:bottom w:w="70" w:type="dxa"/>
              <w:right w:w="80" w:type="dxa"/>
            </w:tcMar>
            <w:vAlign w:val="center"/>
          </w:tcPr>
          <w:p>
            <w:r>
              <w:t>docs/user_flow.md</w:t>
            </w:r>
          </w:p>
        </w:tc>
      </w:tr>
      <w:tr w:rsidR="00504026" w:rsidRPr="0029320A" w14:paraId="1EB29D12" w14:textId="77777777" w:rsidTr="00EF0C0F">
        <w:trPr>
          <w:jc w:val="center"/>
        </w:trPr>
        <w:tc>
          <w:tcPr>
            <w:tcW w:w="2088" w:type="dxa"/>
            <w:tcMar>
              <w:top w:w="70" w:type="dxa"/>
              <w:left w:w="80" w:type="dxa"/>
              <w:bottom w:w="70" w:type="dxa"/>
              <w:right w:w="80" w:type="dxa"/>
            </w:tcMar>
            <w:vAlign w:val="center"/>
          </w:tcPr>
          <w:p>
            <w:r>
              <w:t>Scenario-specific news and events</w:t>
            </w:r>
          </w:p>
        </w:tc>
        <w:tc>
          <w:tcPr>
            <w:tcW w:w="4608" w:type="dxa"/>
            <w:tcMar>
              <w:top w:w="70" w:type="dxa"/>
              <w:left w:w="80" w:type="dxa"/>
              <w:bottom w:w="70" w:type="dxa"/>
              <w:right w:w="80" w:type="dxa"/>
            </w:tcMar>
            <w:vAlign w:val="center"/>
          </w:tcPr>
          <w:p>
            <w:r>
              <w:t>Develop market/industry news and asset-specific information for both scenarios across six phases.</w:t>
            </w:r>
          </w:p>
        </w:tc>
        <w:tc>
          <w:tcPr>
            <w:tcW w:w="3456" w:type="dxa"/>
            <w:tcMar>
              <w:top w:w="70" w:type="dxa"/>
              <w:left w:w="80" w:type="dxa"/>
              <w:bottom w:w="70" w:type="dxa"/>
              <w:right w:w="80" w:type="dxa"/>
            </w:tcMar>
            <w:vAlign w:val="center"/>
          </w:tcPr>
          <w:p>
            <w:r>
              <w:t>docs/Scenario1 news.md; docs/Scenario2 news.md</w:t>
            </w:r>
          </w:p>
        </w:tc>
      </w:tr>
      <w:tr w:rsidR="00504026" w:rsidRPr="0029320A" w14:paraId="7876217F" w14:textId="77777777" w:rsidTr="00EF0C0F">
        <w:trPr>
          <w:jc w:val="center"/>
        </w:trPr>
        <w:tc>
          <w:tcPr>
            <w:tcW w:w="2088" w:type="dxa"/>
            <w:tcMar>
              <w:top w:w="70" w:type="dxa"/>
              <w:left w:w="80" w:type="dxa"/>
              <w:bottom w:w="70" w:type="dxa"/>
              <w:right w:w="80" w:type="dxa"/>
            </w:tcMar>
            <w:vAlign w:val="center"/>
          </w:tcPr>
          <w:p>
            <w:r>
              <w:t>Six-phase scenario narrative</w:t>
            </w:r>
          </w:p>
        </w:tc>
        <w:tc>
          <w:tcPr>
            <w:tcW w:w="4608" w:type="dxa"/>
            <w:tcMar>
              <w:top w:w="70" w:type="dxa"/>
              <w:left w:w="80" w:type="dxa"/>
              <w:bottom w:w="70" w:type="dxa"/>
              <w:right w:w="80" w:type="dxa"/>
            </w:tcMar>
            <w:vAlign w:val="center"/>
          </w:tcPr>
          <w:p>
            <w:r>
              <w:t>Develop progression from deceptive positive signals to growth, FOMO, euphoria and negative shock.</w:t>
            </w:r>
          </w:p>
        </w:tc>
        <w:tc>
          <w:tcPr>
            <w:tcW w:w="3456" w:type="dxa"/>
            <w:tcMar>
              <w:top w:w="70" w:type="dxa"/>
              <w:left w:w="80" w:type="dxa"/>
              <w:bottom w:w="70" w:type="dxa"/>
              <w:right w:w="80" w:type="dxa"/>
            </w:tcMar>
            <w:vAlign w:val="center"/>
          </w:tcPr>
          <w:p>
            <w:r>
              <w:t>Scenario news files; Solution_Structure.md; Market_Dataset.md</w:t>
            </w:r>
          </w:p>
        </w:tc>
      </w:tr>
      <w:tr w:rsidR="00504026" w:rsidRPr="0029320A" w14:paraId="4213C55C" w14:textId="77777777" w:rsidTr="00EF0C0F">
        <w:trPr>
          <w:jc w:val="center"/>
        </w:trPr>
        <w:tc>
          <w:tcPr>
            <w:tcW w:w="2088" w:type="dxa"/>
            <w:tcMar>
              <w:top w:w="70" w:type="dxa"/>
              <w:left w:w="80" w:type="dxa"/>
              <w:bottom w:w="70" w:type="dxa"/>
              <w:right w:w="80" w:type="dxa"/>
            </w:tcMar>
            <w:vAlign w:val="center"/>
          </w:tcPr>
          <w:p>
            <w:r>
              <w:t>Input Dictionary and player-action mapping</w:t>
            </w:r>
          </w:p>
        </w:tc>
        <w:tc>
          <w:tcPr>
            <w:tcW w:w="4608" w:type="dxa"/>
            <w:tcMar>
              <w:top w:w="70" w:type="dxa"/>
              <w:left w:w="80" w:type="dxa"/>
              <w:bottom w:w="70" w:type="dxa"/>
              <w:right w:w="80" w:type="dxa"/>
            </w:tcMar>
            <w:vAlign w:val="center"/>
          </w:tcPr>
          <w:p>
            <w:r>
              <w:t>Use existing input definitions to connect scenario information to Buy / Sell / Hold, margin and cash-management choices.</w:t>
            </w:r>
          </w:p>
        </w:tc>
        <w:tc>
          <w:tcPr>
            <w:tcW w:w="3456" w:type="dxa"/>
            <w:tcMar>
              <w:top w:w="70" w:type="dxa"/>
              <w:left w:w="80" w:type="dxa"/>
              <w:bottom w:w="70" w:type="dxa"/>
              <w:right w:w="80" w:type="dxa"/>
            </w:tcMar>
            <w:vAlign w:val="center"/>
          </w:tcPr>
          <w:p>
            <w:r>
              <w:t>Week 3/INPUT_DICTIONARY.md; docs/user_flow.md</w:t>
            </w:r>
          </w:p>
        </w:tc>
      </w:tr>
      <w:tr w:rsidR="00504026" w:rsidRPr="0029320A" w14:paraId="673E6100" w14:textId="77777777" w:rsidTr="00EF0C0F">
        <w:trPr>
          <w:jc w:val="center"/>
        </w:trPr>
        <w:tc>
          <w:tcPr>
            <w:tcW w:w="2088" w:type="dxa"/>
            <w:tcMar>
              <w:top w:w="70" w:type="dxa"/>
              <w:left w:w="80" w:type="dxa"/>
              <w:bottom w:w="70" w:type="dxa"/>
              <w:right w:w="80" w:type="dxa"/>
            </w:tcMar>
            <w:vAlign w:val="center"/>
          </w:tcPr>
          <w:p>
            <w:r>
              <w:t>Scenario decision paths and consistency</w:t>
            </w:r>
          </w:p>
        </w:tc>
        <w:tc>
          <w:tcPr>
            <w:tcW w:w="4608" w:type="dxa"/>
            <w:tcMar>
              <w:top w:w="70" w:type="dxa"/>
              <w:left w:w="80" w:type="dxa"/>
              <w:bottom w:w="70" w:type="dxa"/>
              <w:right w:w="80" w:type="dxa"/>
            </w:tcMar>
            <w:vAlign w:val="center"/>
          </w:tcPr>
          <w:p>
            <w:r>
              <w:t>Connect market information and player choices to possible consequences without changing underlying market data.</w:t>
            </w:r>
          </w:p>
        </w:tc>
        <w:tc>
          <w:tcPr>
            <w:tcW w:w="3456" w:type="dxa"/>
            <w:tcMar>
              <w:top w:w="70" w:type="dxa"/>
              <w:left w:w="80" w:type="dxa"/>
              <w:bottom w:w="70" w:type="dxa"/>
              <w:right w:w="80" w:type="dxa"/>
            </w:tcMar>
            <w:vAlign w:val="center"/>
          </w:tcPr>
          <w:p>
            <w:r>
              <w:t>SOLUTION_STRUCTURE.md; docs/user_flow.md</w:t>
            </w:r>
          </w:p>
        </w:tc>
      </w:tr>
    </w:tbl>
    <w:p w14:paraId="544F2885" w14:textId="77777777" w:rsidR="00504026" w:rsidRPr="0029320A" w:rsidRDefault="00504026">
      <w:pPr>
        <w:spacing w:after="0"/>
        <w:rPr>
          <w:rFonts w:asciiTheme="majorHAnsi" w:hAnsiTheme="majorHAnsi" w:cstheme="majorHAnsi"/>
        </w:rPr>
      </w:pPr>
    </w:p>
    <w:p w14:paraId="7BD25ACB" w14:textId="77777777" w:rsidR="00504026" w:rsidRPr="0029320A" w:rsidRDefault="00000000">
      <w:pPr>
        <w:pStyle w:val="Heading1"/>
        <w:rPr>
          <w:rFonts w:cstheme="majorHAnsi"/>
        </w:rPr>
      </w:pPr>
      <w:r w:rsidRPr="0029320A">
        <w:rPr>
          <w:rFonts w:cstheme="majorHAnsi"/>
        </w:rPr>
        <w:t>3. Detailed Contribution Evidence</w:t>
      </w:r>
    </w:p>
    <w:p w14:paraId="4FF20DD7" w14:textId="77777777" w:rsidR="00504026" w:rsidRPr="0029320A" w:rsidRDefault="00000000">
      <w:pPr>
        <w:pStyle w:val="Heading2"/>
        <w:rPr>
          <w:rFonts w:cstheme="majorHAnsi"/>
        </w:rPr>
      </w:pPr>
      <w:r w:rsidRPr="0029320A">
        <w:rPr>
          <w:rFonts w:cstheme="majorHAnsi"/>
        </w:rPr>
        <w:t>3.1 Scenario Tree and User-Flow Paths</w:t>
      </w:r>
    </w:p>
    <w:p w14:paraId="1409C0C2" w14:textId="77777777" w:rsidR="00504026" w:rsidRPr="0029320A" w:rsidRDefault="00000000">
      <w:pPr>
        <w:rPr>
          <w:rFonts w:asciiTheme="majorHAnsi" w:hAnsiTheme="majorHAnsi" w:cstheme="majorHAnsi"/>
          <w:sz w:val="22"/>
          <w:szCs w:val="28"/>
        </w:rPr>
      </w:pPr>
      <w:r>
        <w:t>My contribution includes designing player-facing paths and developing scenario-specific news that turn the market scenarios into a sequence of information, choices and consequences.</w:t>
      </w:r>
    </w:p>
    <w:p w14:paraId="5534892C" w14:textId="77777777" w:rsidR="00504026" w:rsidRPr="0029320A" w:rsidRDefault="00000000">
      <w:pPr>
        <w:jc w:val="center"/>
        <w:rPr>
          <w:rFonts w:asciiTheme="majorHAnsi" w:hAnsiTheme="majorHAnsi" w:cstheme="majorHAnsi"/>
          <w:sz w:val="22"/>
          <w:szCs w:val="28"/>
        </w:rPr>
      </w:pPr>
      <w:r w:rsidRPr="0029320A">
        <w:rPr>
          <w:rFonts w:asciiTheme="majorHAnsi" w:hAnsiTheme="majorHAnsi" w:cstheme="majorHAnsi"/>
          <w:b/>
          <w:sz w:val="22"/>
          <w:szCs w:val="28"/>
        </w:rPr>
        <w:t>Scenario → Information → Decision → Financial State Update → Consequence → Feedback → Next Decision</w:t>
      </w:r>
    </w:p>
    <w:p w14:paraId="5B7F4DC0" w14:textId="77777777" w:rsidR="00504026" w:rsidRPr="0029320A" w:rsidRDefault="00000000">
      <w:pPr>
        <w:rPr>
          <w:rFonts w:asciiTheme="majorHAnsi" w:hAnsiTheme="majorHAnsi" w:cstheme="majorHAnsi"/>
          <w:sz w:val="22"/>
          <w:szCs w:val="28"/>
        </w:rPr>
      </w:pPr>
      <w:r w:rsidRPr="0029320A">
        <w:rPr>
          <w:rFonts w:asciiTheme="majorHAnsi" w:hAnsiTheme="majorHAnsi" w:cstheme="majorHAnsi"/>
          <w:sz w:val="22"/>
          <w:szCs w:val="28"/>
        </w:rPr>
        <w:t>For Phase 1, the player journey follows the system workflow designed by Trần Hữu Dụ: start and initialise the account, enter the dashboard, observe market information, submit an action, validate and execute it, update the financial state, evaluate margin risk, continue or enter liquidation, review target progress and proceed to the next phase.</w:t>
      </w:r>
    </w:p>
    <w:p w14:paraId="3DD6A6C0" w14:textId="77777777" w:rsidR="00504026" w:rsidRPr="0029320A" w:rsidRDefault="00000000">
      <w:pPr>
        <w:rPr>
          <w:rFonts w:asciiTheme="majorHAnsi" w:hAnsiTheme="majorHAnsi" w:cstheme="majorHAnsi"/>
          <w:sz w:val="22"/>
          <w:szCs w:val="28"/>
        </w:rPr>
      </w:pPr>
      <w:r w:rsidRPr="0029320A">
        <w:rPr>
          <w:rFonts w:asciiTheme="majorHAnsi" w:hAnsiTheme="majorHAnsi" w:cstheme="majorHAnsi"/>
          <w:sz w:val="22"/>
          <w:szCs w:val="28"/>
        </w:rPr>
        <w:t>I organised the scenario paths into three categories:</w:t>
      </w:r>
    </w:p>
    <w:p w14:paraId="6EC7F215" w14:textId="77777777" w:rsidR="00504026" w:rsidRPr="0029320A" w:rsidRDefault="00000000">
      <w:pPr>
        <w:pStyle w:val="ListBullet"/>
        <w:spacing w:after="40"/>
        <w:rPr>
          <w:rFonts w:asciiTheme="majorHAnsi" w:hAnsiTheme="majorHAnsi" w:cstheme="majorHAnsi"/>
          <w:sz w:val="22"/>
          <w:szCs w:val="28"/>
        </w:rPr>
      </w:pPr>
      <w:r w:rsidRPr="0029320A">
        <w:rPr>
          <w:rFonts w:asciiTheme="majorHAnsi" w:hAnsiTheme="majorHAnsi" w:cstheme="majorHAnsi"/>
          <w:sz w:val="22"/>
          <w:szCs w:val="28"/>
        </w:rPr>
        <w:t>Happy / safe path — valid actions keep the player solvent through the phase and allow the simulation to continue.</w:t>
      </w:r>
    </w:p>
    <w:p w14:paraId="079F03C6" w14:textId="77777777" w:rsidR="00504026" w:rsidRPr="0029320A" w:rsidRDefault="00000000">
      <w:pPr>
        <w:pStyle w:val="ListBullet"/>
        <w:spacing w:after="40"/>
        <w:rPr>
          <w:rFonts w:asciiTheme="majorHAnsi" w:hAnsiTheme="majorHAnsi" w:cstheme="majorHAnsi"/>
          <w:sz w:val="22"/>
          <w:szCs w:val="28"/>
        </w:rPr>
      </w:pPr>
      <w:r w:rsidRPr="0029320A">
        <w:rPr>
          <w:rFonts w:asciiTheme="majorHAnsi" w:hAnsiTheme="majorHAnsi" w:cstheme="majorHAnsi"/>
          <w:sz w:val="22"/>
          <w:szCs w:val="28"/>
        </w:rPr>
        <w:t>Alternative path — valid decisions, such as choosing a different asset, selling to reduce exposure or allocating funds to Bank Savings, produce different holdings and financial outcomes.</w:t>
      </w:r>
    </w:p>
    <w:p w14:paraId="7A606505" w14:textId="77777777" w:rsidR="00504026" w:rsidRPr="0029320A" w:rsidRDefault="00000000">
      <w:pPr>
        <w:pStyle w:val="ListBullet"/>
        <w:spacing w:after="40"/>
        <w:rPr>
          <w:rFonts w:asciiTheme="majorHAnsi" w:hAnsiTheme="majorHAnsi" w:cstheme="majorHAnsi"/>
          <w:sz w:val="22"/>
          <w:szCs w:val="28"/>
        </w:rPr>
      </w:pPr>
      <w:r w:rsidRPr="0029320A">
        <w:rPr>
          <w:rFonts w:asciiTheme="majorHAnsi" w:hAnsiTheme="majorHAnsi" w:cstheme="majorHAnsi"/>
          <w:sz w:val="22"/>
          <w:szCs w:val="28"/>
        </w:rPr>
        <w:t>Error and critical-risk path — invalid orders, a margin breach, forced liquidation or non-positive equity can lead to rejection, liquidation or Game Over.</w:t>
      </w:r>
    </w:p>
    <w:p w14:paraId="5F106375" w14:textId="77777777" w:rsidR="00504026" w:rsidRPr="0029320A" w:rsidRDefault="00000000">
      <w:pPr>
        <w:rPr>
          <w:rFonts w:asciiTheme="majorHAnsi" w:hAnsiTheme="majorHAnsi" w:cstheme="majorHAnsi"/>
          <w:sz w:val="22"/>
          <w:szCs w:val="28"/>
        </w:rPr>
      </w:pPr>
      <w:r w:rsidRPr="0029320A">
        <w:rPr>
          <w:rFonts w:asciiTheme="majorHAnsi" w:hAnsiTheme="majorHAnsi" w:cstheme="majorHAnsi"/>
          <w:sz w:val="22"/>
          <w:szCs w:val="28"/>
        </w:rPr>
        <w:t>The repeated player interaction is: Observe Market → Submit Action → Validate → Execute → Update Balances → Recalculate Financial State → Check Margin Status → Refresh the Interface → Observe Market. It continues until the phase ends or a terminal state is reached.</w:t>
      </w:r>
    </w:p>
    <w:p w14:paraId="12C4560D" w14:textId="77777777" w:rsidR="00504026" w:rsidRPr="0029320A" w:rsidRDefault="00000000">
      <w:pPr>
        <w:pStyle w:val="Heading2"/>
        <w:rPr>
          <w:rFonts w:cstheme="majorHAnsi"/>
        </w:rPr>
      </w:pPr>
      <w:r w:rsidRPr="0029320A">
        <w:rPr>
          <w:rFonts w:cstheme="majorHAnsi"/>
        </w:rPr>
        <w:t>3.2 Six-Phase Scenario Structure</w:t>
      </w:r>
    </w:p>
    <w:p w14:paraId="1125DC56" w14:textId="77777777" w:rsidR="00504026" w:rsidRPr="0029320A" w:rsidRDefault="00000000">
      <w:pPr>
        <w:rPr>
          <w:rFonts w:asciiTheme="majorHAnsi" w:hAnsiTheme="majorHAnsi" w:cstheme="majorHAnsi"/>
          <w:sz w:val="22"/>
          <w:szCs w:val="28"/>
        </w:rPr>
      </w:pPr>
      <w:r w:rsidRPr="0029320A">
        <w:rPr>
          <w:rFonts w:asciiTheme="majorHAnsi" w:hAnsiTheme="majorHAnsi" w:cstheme="majorHAnsi"/>
          <w:sz w:val="22"/>
          <w:szCs w:val="28"/>
        </w:rPr>
        <w:t>I structured the Scenario Tree around the project’s six-phase deterministic market lifecycle. Each phase lasts 300 seconds; together they form the 1,800-second simulation.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944"/>
        <w:gridCol w:w="3600"/>
        <w:gridCol w:w="3888"/>
      </w:tblGrid>
      <w:tr w:rsidR="00504026" w:rsidRPr="0029320A" w14:paraId="6CBE3B0A" w14:textId="77777777" w:rsidTr="00EF0C0F">
        <w:trPr>
          <w:jc w:val="center"/>
        </w:trPr>
        <w:tc>
          <w:tcPr>
            <w:tcW w:w="720" w:type="dxa"/>
            <w:shd w:val="clear" w:color="auto" w:fill="D9EAF7"/>
            <w:tcMar>
              <w:top w:w="70" w:type="dxa"/>
              <w:left w:w="80" w:type="dxa"/>
              <w:bottom w:w="70" w:type="dxa"/>
              <w:right w:w="80" w:type="dxa"/>
            </w:tcMar>
            <w:vAlign w:val="center"/>
          </w:tcPr>
          <w:p w14:paraId="748277C7"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b/>
                <w:color w:val="1F4E79"/>
                <w:sz w:val="18"/>
                <w:szCs w:val="28"/>
              </w:rPr>
              <w:lastRenderedPageBreak/>
              <w:t>Phase</w:t>
            </w:r>
          </w:p>
        </w:tc>
        <w:tc>
          <w:tcPr>
            <w:tcW w:w="1944" w:type="dxa"/>
            <w:shd w:val="clear" w:color="auto" w:fill="D9EAF7"/>
            <w:tcMar>
              <w:top w:w="70" w:type="dxa"/>
              <w:left w:w="80" w:type="dxa"/>
              <w:bottom w:w="70" w:type="dxa"/>
              <w:right w:w="80" w:type="dxa"/>
            </w:tcMar>
            <w:vAlign w:val="center"/>
          </w:tcPr>
          <w:p w14:paraId="4C39F166"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b/>
                <w:color w:val="1F4E79"/>
                <w:sz w:val="18"/>
                <w:szCs w:val="28"/>
              </w:rPr>
              <w:t>Phase name</w:t>
            </w:r>
          </w:p>
        </w:tc>
        <w:tc>
          <w:tcPr>
            <w:tcW w:w="3600" w:type="dxa"/>
            <w:shd w:val="clear" w:color="auto" w:fill="D9EAF7"/>
            <w:tcMar>
              <w:top w:w="70" w:type="dxa"/>
              <w:left w:w="80" w:type="dxa"/>
              <w:bottom w:w="70" w:type="dxa"/>
              <w:right w:w="80" w:type="dxa"/>
            </w:tcMar>
            <w:vAlign w:val="center"/>
          </w:tcPr>
          <w:p w14:paraId="65EEA34E"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b/>
                <w:color w:val="1F4E79"/>
                <w:sz w:val="18"/>
                <w:szCs w:val="28"/>
              </w:rPr>
              <w:t>Market dynamics</w:t>
            </w:r>
          </w:p>
        </w:tc>
        <w:tc>
          <w:tcPr>
            <w:tcW w:w="3888" w:type="dxa"/>
            <w:shd w:val="clear" w:color="auto" w:fill="D9EAF7"/>
            <w:tcMar>
              <w:top w:w="70" w:type="dxa"/>
              <w:left w:w="80" w:type="dxa"/>
              <w:bottom w:w="70" w:type="dxa"/>
              <w:right w:w="80" w:type="dxa"/>
            </w:tcMar>
            <w:vAlign w:val="center"/>
          </w:tcPr>
          <w:p w14:paraId="0EFBCB98"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b/>
                <w:color w:val="1F4E79"/>
                <w:sz w:val="18"/>
                <w:szCs w:val="28"/>
              </w:rPr>
              <w:t>Scenario purpose</w:t>
            </w:r>
          </w:p>
        </w:tc>
      </w:tr>
      <w:tr w:rsidR="00504026" w:rsidRPr="0029320A" w14:paraId="3C088ADA" w14:textId="77777777" w:rsidTr="00EF0C0F">
        <w:trPr>
          <w:jc w:val="center"/>
        </w:trPr>
        <w:tc>
          <w:tcPr>
            <w:tcW w:w="720" w:type="dxa"/>
            <w:tcMar>
              <w:top w:w="70" w:type="dxa"/>
              <w:left w:w="80" w:type="dxa"/>
              <w:bottom w:w="70" w:type="dxa"/>
              <w:right w:w="80" w:type="dxa"/>
            </w:tcMar>
            <w:vAlign w:val="center"/>
          </w:tcPr>
          <w:p w14:paraId="58EBF102"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1</w:t>
            </w:r>
          </w:p>
        </w:tc>
        <w:tc>
          <w:tcPr>
            <w:tcW w:w="1944" w:type="dxa"/>
            <w:tcMar>
              <w:top w:w="70" w:type="dxa"/>
              <w:left w:w="80" w:type="dxa"/>
              <w:bottom w:w="70" w:type="dxa"/>
              <w:right w:w="80" w:type="dxa"/>
            </w:tcMar>
            <w:vAlign w:val="center"/>
          </w:tcPr>
          <w:p w14:paraId="6E89B5A9"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Fake Positive News</w:t>
            </w:r>
          </w:p>
        </w:tc>
        <w:tc>
          <w:tcPr>
            <w:tcW w:w="3600" w:type="dxa"/>
            <w:tcMar>
              <w:top w:w="70" w:type="dxa"/>
              <w:left w:w="80" w:type="dxa"/>
              <w:bottom w:w="70" w:type="dxa"/>
              <w:right w:w="80" w:type="dxa"/>
            </w:tcMar>
            <w:vAlign w:val="center"/>
          </w:tcPr>
          <w:p w14:paraId="340B0FBA"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Early uncertainty and deceptive bullish signals</w:t>
            </w:r>
          </w:p>
        </w:tc>
        <w:tc>
          <w:tcPr>
            <w:tcW w:w="3888" w:type="dxa"/>
            <w:tcMar>
              <w:top w:w="70" w:type="dxa"/>
              <w:left w:w="80" w:type="dxa"/>
              <w:bottom w:w="70" w:type="dxa"/>
              <w:right w:w="80" w:type="dxa"/>
            </w:tcMar>
            <w:vAlign w:val="center"/>
          </w:tcPr>
          <w:p w14:paraId="27672BD0"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Encourage entry and early exposure</w:t>
            </w:r>
          </w:p>
        </w:tc>
      </w:tr>
      <w:tr w:rsidR="00504026" w:rsidRPr="0029320A" w14:paraId="3EE2AD44" w14:textId="77777777" w:rsidTr="00EF0C0F">
        <w:trPr>
          <w:jc w:val="center"/>
        </w:trPr>
        <w:tc>
          <w:tcPr>
            <w:tcW w:w="720" w:type="dxa"/>
            <w:tcMar>
              <w:top w:w="70" w:type="dxa"/>
              <w:left w:w="80" w:type="dxa"/>
              <w:bottom w:w="70" w:type="dxa"/>
              <w:right w:w="80" w:type="dxa"/>
            </w:tcMar>
            <w:vAlign w:val="center"/>
          </w:tcPr>
          <w:p w14:paraId="2EC3A131"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2</w:t>
            </w:r>
          </w:p>
        </w:tc>
        <w:tc>
          <w:tcPr>
            <w:tcW w:w="1944" w:type="dxa"/>
            <w:tcMar>
              <w:top w:w="70" w:type="dxa"/>
              <w:left w:w="80" w:type="dxa"/>
              <w:bottom w:w="70" w:type="dxa"/>
              <w:right w:w="80" w:type="dxa"/>
            </w:tcMar>
            <w:vAlign w:val="center"/>
          </w:tcPr>
          <w:p w14:paraId="220BA008"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True Positive News</w:t>
            </w:r>
          </w:p>
        </w:tc>
        <w:tc>
          <w:tcPr>
            <w:tcW w:w="3600" w:type="dxa"/>
            <w:tcMar>
              <w:top w:w="70" w:type="dxa"/>
              <w:left w:w="80" w:type="dxa"/>
              <w:bottom w:w="70" w:type="dxa"/>
              <w:right w:w="80" w:type="dxa"/>
            </w:tcMar>
            <w:vAlign w:val="center"/>
          </w:tcPr>
          <w:p w14:paraId="33071478"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Fundamental validation and stronger positive momentum</w:t>
            </w:r>
          </w:p>
        </w:tc>
        <w:tc>
          <w:tcPr>
            <w:tcW w:w="3888" w:type="dxa"/>
            <w:tcMar>
              <w:top w:w="70" w:type="dxa"/>
              <w:left w:w="80" w:type="dxa"/>
              <w:bottom w:w="70" w:type="dxa"/>
              <w:right w:w="80" w:type="dxa"/>
            </w:tcMar>
            <w:vAlign w:val="center"/>
          </w:tcPr>
          <w:p w14:paraId="31A916F6"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Reinforce confidence in earlier decisions</w:t>
            </w:r>
          </w:p>
        </w:tc>
      </w:tr>
      <w:tr w:rsidR="00504026" w:rsidRPr="0029320A" w14:paraId="36FEEEFD" w14:textId="77777777" w:rsidTr="00EF0C0F">
        <w:trPr>
          <w:jc w:val="center"/>
        </w:trPr>
        <w:tc>
          <w:tcPr>
            <w:tcW w:w="720" w:type="dxa"/>
            <w:tcMar>
              <w:top w:w="70" w:type="dxa"/>
              <w:left w:w="80" w:type="dxa"/>
              <w:bottom w:w="70" w:type="dxa"/>
              <w:right w:w="80" w:type="dxa"/>
            </w:tcMar>
            <w:vAlign w:val="center"/>
          </w:tcPr>
          <w:p w14:paraId="191DD1A3"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3</w:t>
            </w:r>
          </w:p>
        </w:tc>
        <w:tc>
          <w:tcPr>
            <w:tcW w:w="1944" w:type="dxa"/>
            <w:tcMar>
              <w:top w:w="70" w:type="dxa"/>
              <w:left w:w="80" w:type="dxa"/>
              <w:bottom w:w="70" w:type="dxa"/>
              <w:right w:w="80" w:type="dxa"/>
            </w:tcMar>
            <w:vAlign w:val="center"/>
          </w:tcPr>
          <w:p w14:paraId="28001C14"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Bull Market</w:t>
            </w:r>
          </w:p>
        </w:tc>
        <w:tc>
          <w:tcPr>
            <w:tcW w:w="3600" w:type="dxa"/>
            <w:tcMar>
              <w:top w:w="70" w:type="dxa"/>
              <w:left w:w="80" w:type="dxa"/>
              <w:bottom w:w="70" w:type="dxa"/>
              <w:right w:w="80" w:type="dxa"/>
            </w:tcMar>
            <w:vAlign w:val="center"/>
          </w:tcPr>
          <w:p w14:paraId="2741F825"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Broad rally and accelerating movement</w:t>
            </w:r>
          </w:p>
        </w:tc>
        <w:tc>
          <w:tcPr>
            <w:tcW w:w="3888" w:type="dxa"/>
            <w:tcMar>
              <w:top w:w="70" w:type="dxa"/>
              <w:left w:w="80" w:type="dxa"/>
              <w:bottom w:w="70" w:type="dxa"/>
              <w:right w:w="80" w:type="dxa"/>
            </w:tcMar>
            <w:vAlign w:val="center"/>
          </w:tcPr>
          <w:p w14:paraId="28D964DB"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Encourage consideration of higher leverage and larger targets</w:t>
            </w:r>
          </w:p>
        </w:tc>
      </w:tr>
      <w:tr w:rsidR="00504026" w:rsidRPr="0029320A" w14:paraId="7565C593" w14:textId="77777777" w:rsidTr="00EF0C0F">
        <w:trPr>
          <w:jc w:val="center"/>
        </w:trPr>
        <w:tc>
          <w:tcPr>
            <w:tcW w:w="720" w:type="dxa"/>
            <w:tcMar>
              <w:top w:w="70" w:type="dxa"/>
              <w:left w:w="80" w:type="dxa"/>
              <w:bottom w:w="70" w:type="dxa"/>
              <w:right w:w="80" w:type="dxa"/>
            </w:tcMar>
            <w:vAlign w:val="center"/>
          </w:tcPr>
          <w:p w14:paraId="6D233A0C"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4</w:t>
            </w:r>
          </w:p>
        </w:tc>
        <w:tc>
          <w:tcPr>
            <w:tcW w:w="1944" w:type="dxa"/>
            <w:tcMar>
              <w:top w:w="70" w:type="dxa"/>
              <w:left w:w="80" w:type="dxa"/>
              <w:bottom w:w="70" w:type="dxa"/>
              <w:right w:w="80" w:type="dxa"/>
            </w:tcMar>
            <w:vAlign w:val="center"/>
          </w:tcPr>
          <w:p w14:paraId="7B76CBE7"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Strong Growth (FOMO)</w:t>
            </w:r>
          </w:p>
        </w:tc>
        <w:tc>
          <w:tcPr>
            <w:tcW w:w="3600" w:type="dxa"/>
            <w:tcMar>
              <w:top w:w="70" w:type="dxa"/>
              <w:left w:w="80" w:type="dxa"/>
              <w:bottom w:w="70" w:type="dxa"/>
              <w:right w:w="80" w:type="dxa"/>
            </w:tcMar>
            <w:vAlign w:val="center"/>
          </w:tcPr>
          <w:p w14:paraId="17794C57"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Rapid expansion and rising volatility</w:t>
            </w:r>
          </w:p>
        </w:tc>
        <w:tc>
          <w:tcPr>
            <w:tcW w:w="3888" w:type="dxa"/>
            <w:tcMar>
              <w:top w:w="70" w:type="dxa"/>
              <w:left w:w="80" w:type="dxa"/>
              <w:bottom w:w="70" w:type="dxa"/>
              <w:right w:w="80" w:type="dxa"/>
            </w:tcMar>
            <w:vAlign w:val="center"/>
          </w:tcPr>
          <w:p w14:paraId="23725CFB"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Create pressure to participate and increase exposure</w:t>
            </w:r>
          </w:p>
        </w:tc>
      </w:tr>
      <w:tr w:rsidR="00504026" w:rsidRPr="0029320A" w14:paraId="11CB2389" w14:textId="77777777" w:rsidTr="00EF0C0F">
        <w:trPr>
          <w:jc w:val="center"/>
        </w:trPr>
        <w:tc>
          <w:tcPr>
            <w:tcW w:w="720" w:type="dxa"/>
            <w:tcMar>
              <w:top w:w="70" w:type="dxa"/>
              <w:left w:w="80" w:type="dxa"/>
              <w:bottom w:w="70" w:type="dxa"/>
              <w:right w:w="80" w:type="dxa"/>
            </w:tcMar>
            <w:vAlign w:val="center"/>
          </w:tcPr>
          <w:p w14:paraId="5C5981AD"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5</w:t>
            </w:r>
          </w:p>
        </w:tc>
        <w:tc>
          <w:tcPr>
            <w:tcW w:w="1944" w:type="dxa"/>
            <w:tcMar>
              <w:top w:w="70" w:type="dxa"/>
              <w:left w:w="80" w:type="dxa"/>
              <w:bottom w:w="70" w:type="dxa"/>
              <w:right w:w="80" w:type="dxa"/>
            </w:tcMar>
            <w:vAlign w:val="center"/>
          </w:tcPr>
          <w:p w14:paraId="70D0ABA0"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Market Euphoria</w:t>
            </w:r>
          </w:p>
        </w:tc>
        <w:tc>
          <w:tcPr>
            <w:tcW w:w="3600" w:type="dxa"/>
            <w:tcMar>
              <w:top w:w="70" w:type="dxa"/>
              <w:left w:w="80" w:type="dxa"/>
              <w:bottom w:w="70" w:type="dxa"/>
              <w:right w:w="80" w:type="dxa"/>
            </w:tcMar>
            <w:vAlign w:val="center"/>
          </w:tcPr>
          <w:p w14:paraId="10551AE7"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Peak valuations, misleading recoveries and bull traps</w:t>
            </w:r>
          </w:p>
        </w:tc>
        <w:tc>
          <w:tcPr>
            <w:tcW w:w="3888" w:type="dxa"/>
            <w:tcMar>
              <w:top w:w="70" w:type="dxa"/>
              <w:left w:w="80" w:type="dxa"/>
              <w:bottom w:w="70" w:type="dxa"/>
              <w:right w:w="80" w:type="dxa"/>
            </w:tcMar>
            <w:vAlign w:val="center"/>
          </w:tcPr>
          <w:p w14:paraId="2BF5DA79"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Test profit-taking versus continued risk-taking</w:t>
            </w:r>
          </w:p>
        </w:tc>
      </w:tr>
      <w:tr w:rsidR="00504026" w:rsidRPr="0029320A" w14:paraId="3A083CA1" w14:textId="77777777" w:rsidTr="00EF0C0F">
        <w:trPr>
          <w:jc w:val="center"/>
        </w:trPr>
        <w:tc>
          <w:tcPr>
            <w:tcW w:w="720" w:type="dxa"/>
            <w:tcMar>
              <w:top w:w="70" w:type="dxa"/>
              <w:left w:w="80" w:type="dxa"/>
              <w:bottom w:w="70" w:type="dxa"/>
              <w:right w:w="80" w:type="dxa"/>
            </w:tcMar>
            <w:vAlign w:val="center"/>
          </w:tcPr>
          <w:p w14:paraId="391EEE80"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6</w:t>
            </w:r>
          </w:p>
        </w:tc>
        <w:tc>
          <w:tcPr>
            <w:tcW w:w="1944" w:type="dxa"/>
            <w:tcMar>
              <w:top w:w="70" w:type="dxa"/>
              <w:left w:w="80" w:type="dxa"/>
              <w:bottom w:w="70" w:type="dxa"/>
              <w:right w:w="80" w:type="dxa"/>
            </w:tcMar>
            <w:vAlign w:val="center"/>
          </w:tcPr>
          <w:p w14:paraId="72B07306"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Negative Shock</w:t>
            </w:r>
          </w:p>
        </w:tc>
        <w:tc>
          <w:tcPr>
            <w:tcW w:w="3600" w:type="dxa"/>
            <w:tcMar>
              <w:top w:w="70" w:type="dxa"/>
              <w:left w:w="80" w:type="dxa"/>
              <w:bottom w:w="70" w:type="dxa"/>
              <w:right w:w="80" w:type="dxa"/>
            </w:tcMar>
            <w:vAlign w:val="center"/>
          </w:tcPr>
          <w:p w14:paraId="763994CD"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Severe decline and systemic crash</w:t>
            </w:r>
          </w:p>
        </w:tc>
        <w:tc>
          <w:tcPr>
            <w:tcW w:w="3888" w:type="dxa"/>
            <w:tcMar>
              <w:top w:w="70" w:type="dxa"/>
              <w:left w:w="80" w:type="dxa"/>
              <w:bottom w:w="70" w:type="dxa"/>
              <w:right w:w="80" w:type="dxa"/>
            </w:tcMar>
            <w:vAlign w:val="center"/>
          </w:tcPr>
          <w:p w14:paraId="1A0E84C5"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Expose excessive leverage and weak risk management</w:t>
            </w:r>
          </w:p>
        </w:tc>
      </w:tr>
    </w:tbl>
    <w:p w14:paraId="690AB5C4" w14:textId="77777777" w:rsidR="00504026" w:rsidRPr="0029320A" w:rsidRDefault="00504026">
      <w:pPr>
        <w:spacing w:after="0"/>
        <w:rPr>
          <w:rFonts w:asciiTheme="majorHAnsi" w:hAnsiTheme="majorHAnsi" w:cstheme="majorHAnsi"/>
        </w:rPr>
      </w:pPr>
    </w:p>
    <w:p w14:paraId="5AEC12C4" w14:textId="77777777" w:rsidR="00504026" w:rsidRPr="0029320A" w:rsidRDefault="00000000">
      <w:pPr>
        <w:rPr>
          <w:rFonts w:asciiTheme="majorHAnsi" w:hAnsiTheme="majorHAnsi" w:cstheme="majorHAnsi"/>
          <w:sz w:val="22"/>
          <w:szCs w:val="28"/>
        </w:rPr>
      </w:pPr>
      <w:r w:rsidRPr="0029320A">
        <w:rPr>
          <w:rFonts w:asciiTheme="majorHAnsi" w:hAnsiTheme="majorHAnsi" w:cstheme="majorHAnsi"/>
          <w:sz w:val="22"/>
          <w:szCs w:val="28"/>
        </w:rPr>
        <w:t>The behavioural progression behind the six phases is: Understand Leverage → Build Confidence → Recognise Vulnerability → Respond to Warning Signs → Manage Liquidity and Exposure → Reduce Liquidation Risk. The scenario tree uses this progression to explain why players may become more confident before the later market reversal tests their risk management.</w:t>
      </w:r>
    </w:p>
    <w:p w14:paraId="2D98DEFE" w14:textId="77777777" w:rsidR="00504026" w:rsidRPr="0029320A" w:rsidRDefault="00000000">
      <w:pPr>
        <w:pStyle w:val="Heading2"/>
        <w:rPr>
          <w:rFonts w:cstheme="majorHAnsi"/>
        </w:rPr>
      </w:pPr>
      <w:r>
        <w:t>3.3 Scenario-Specific News Drivers</w:t>
      </w:r>
    </w:p>
    <w:p w14:paraId="75D725B6" w14:textId="5E95B08C" w:rsidR="00EF0C0F" w:rsidRPr="0029320A" w:rsidRDefault="00000000">
      <w:pPr>
        <w:rPr>
          <w:rFonts w:asciiTheme="majorHAnsi" w:hAnsiTheme="majorHAnsi" w:cstheme="majorHAnsi"/>
          <w:sz w:val="22"/>
          <w:szCs w:val="28"/>
        </w:rPr>
      </w:pPr>
      <w:r>
        <w:t>The two tables below summarise the five asset-specific news drivers in each scenario. My contribution is to develop industry-level context and asset-specific news across all six phases, with content evolving from early positive signals through growth, FOMO and euphoria to the negative shock. Scenario 1 focuses on Korean semiconductor and technology investments; Scenario 2 uses a separate asset universe spanning shipping, the broad Korean equity market, semiconductor equipment, batteries and automotive manufacturing. The underlying price paths remain determined by the project’s existing scenario data.</w:t>
      </w:r>
    </w:p>
    <w:tbl>
      <w:tblPr>
        <w:tblStyle w:val="TableGrid"/>
        <w:tblW w:w="10065" w:type="dxa"/>
        <w:tblInd w:w="-601" w:type="dxa"/>
        <w:tblLook w:val="04A0" w:firstRow="1" w:lastRow="0" w:firstColumn="1" w:lastColumn="0" w:noHBand="0" w:noVBand="1"/>
      </w:tblPr>
      <w:tblGrid>
        <w:gridCol w:w="2657"/>
        <w:gridCol w:w="2880"/>
        <w:gridCol w:w="4528"/>
      </w:tblGrid>
      <w:tr w:rsidR="00504026" w:rsidRPr="0029320A" w14:paraId="1C7E164B" w14:textId="77777777" w:rsidTr="00EF0C0F">
        <w:tc>
          <w:tcPr>
            <w:tcW w:w="2657" w:type="dxa"/>
            <w:vAlign w:val="center"/>
          </w:tcPr>
          <w:p w14:paraId="539218BA" w14:textId="77777777" w:rsidR="00504026" w:rsidRPr="0029320A" w:rsidRDefault="00000000" w:rsidP="00EF0C0F">
            <w:pPr>
              <w:spacing w:after="20" w:line="276" w:lineRule="auto"/>
              <w:rPr>
                <w:rFonts w:asciiTheme="majorHAnsi" w:hAnsiTheme="majorHAnsi" w:cstheme="majorHAnsi"/>
                <w:b/>
                <w:color w:val="1F4E79"/>
                <w:sz w:val="18"/>
                <w:szCs w:val="28"/>
              </w:rPr>
            </w:pPr>
            <w:r w:rsidRPr="0029320A">
              <w:rPr>
                <w:rFonts w:asciiTheme="majorHAnsi" w:hAnsiTheme="majorHAnsi" w:cstheme="majorHAnsi"/>
                <w:b/>
                <w:color w:val="1F4E79"/>
                <w:sz w:val="18"/>
                <w:szCs w:val="28"/>
              </w:rPr>
              <w:t>Asset / driver</w:t>
            </w:r>
          </w:p>
        </w:tc>
        <w:tc>
          <w:tcPr>
            <w:tcW w:w="2880" w:type="dxa"/>
            <w:vAlign w:val="center"/>
          </w:tcPr>
          <w:p w14:paraId="26CB7E73" w14:textId="77777777" w:rsidR="00504026" w:rsidRPr="0029320A" w:rsidRDefault="00000000" w:rsidP="00EF0C0F">
            <w:pPr>
              <w:spacing w:after="20" w:line="276" w:lineRule="auto"/>
              <w:rPr>
                <w:rFonts w:asciiTheme="majorHAnsi" w:hAnsiTheme="majorHAnsi" w:cstheme="majorHAnsi"/>
                <w:b/>
                <w:color w:val="1F4E79"/>
                <w:sz w:val="18"/>
                <w:szCs w:val="28"/>
              </w:rPr>
            </w:pPr>
            <w:r w:rsidRPr="0029320A">
              <w:rPr>
                <w:rFonts w:asciiTheme="majorHAnsi" w:hAnsiTheme="majorHAnsi" w:cstheme="majorHAnsi"/>
                <w:b/>
                <w:color w:val="1F4E79"/>
                <w:sz w:val="18"/>
                <w:szCs w:val="28"/>
              </w:rPr>
              <w:t>Summary of news drivers</w:t>
            </w:r>
          </w:p>
        </w:tc>
        <w:tc>
          <w:tcPr>
            <w:tcW w:w="4528" w:type="dxa"/>
            <w:vAlign w:val="center"/>
          </w:tcPr>
          <w:p w14:paraId="67BEC450" w14:textId="77777777" w:rsidR="00504026" w:rsidRPr="0029320A" w:rsidRDefault="00000000" w:rsidP="00EF0C0F">
            <w:pPr>
              <w:spacing w:after="20" w:line="276" w:lineRule="auto"/>
              <w:rPr>
                <w:rFonts w:asciiTheme="majorHAnsi" w:hAnsiTheme="majorHAnsi" w:cstheme="majorHAnsi"/>
                <w:b/>
                <w:color w:val="1F4E79"/>
                <w:sz w:val="18"/>
                <w:szCs w:val="28"/>
              </w:rPr>
            </w:pPr>
            <w:r w:rsidRPr="0029320A">
              <w:rPr>
                <w:rFonts w:asciiTheme="majorHAnsi" w:hAnsiTheme="majorHAnsi" w:cstheme="majorHAnsi"/>
                <w:b/>
                <w:color w:val="1F4E79"/>
                <w:sz w:val="18"/>
                <w:szCs w:val="28"/>
              </w:rPr>
              <w:t>Role and risk in the scenario</w:t>
            </w:r>
          </w:p>
        </w:tc>
      </w:tr>
      <w:tr w:rsidR="00504026" w:rsidRPr="0029320A" w14:paraId="017E0661" w14:textId="77777777" w:rsidTr="00EF0C0F">
        <w:tc>
          <w:tcPr>
            <w:tcW w:w="2657" w:type="dxa"/>
            <w:vAlign w:val="center"/>
          </w:tcPr>
          <w:p w14:paraId="2C29FDEF" w14:textId="3EB034B1"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 xml:space="preserve">Vintrumite </w:t>
            </w:r>
          </w:p>
        </w:tc>
        <w:tc>
          <w:tcPr>
            <w:tcW w:w="2880" w:type="dxa"/>
            <w:vAlign w:val="center"/>
          </w:tcPr>
          <w:p w14:paraId="61FF86A0"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AI/data-centre spending, HBM and memory demand, record earnings, memory pricing, semiconductor exports and capacity expansion.</w:t>
            </w:r>
          </w:p>
        </w:tc>
        <w:tc>
          <w:tcPr>
            <w:tcW w:w="4528" w:type="dxa"/>
            <w:vAlign w:val="center"/>
          </w:tcPr>
          <w:p w14:paraId="22DC88EF"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High-impact memory stock; strong AI demand can support earnings expectations, but valuation, export restrictions and shifts in AI spending can trigger sharp reversals.</w:t>
            </w:r>
          </w:p>
        </w:tc>
      </w:tr>
      <w:tr w:rsidR="00504026" w:rsidRPr="0029320A" w14:paraId="6EB1C52F" w14:textId="77777777" w:rsidTr="00EF0C0F">
        <w:tc>
          <w:tcPr>
            <w:tcW w:w="2657" w:type="dxa"/>
            <w:vAlign w:val="center"/>
          </w:tcPr>
          <w:p w14:paraId="5AC76AA3" w14:textId="7679532F"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 xml:space="preserve">Samsung Electronics </w:t>
            </w:r>
          </w:p>
        </w:tc>
        <w:tc>
          <w:tcPr>
            <w:tcW w:w="2880" w:type="dxa"/>
            <w:vAlign w:val="center"/>
          </w:tcPr>
          <w:p w14:paraId="2F52E049"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HBM production expansion, AI-chip demand, semiconductor earnings, technology investment and broader electronics demand.</w:t>
            </w:r>
          </w:p>
        </w:tc>
        <w:tc>
          <w:tcPr>
            <w:tcW w:w="4528" w:type="dxa"/>
            <w:vAlign w:val="center"/>
          </w:tcPr>
          <w:p w14:paraId="19731322"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Diversified technology bellwether whose semiconductor plans connect it to the AI-memory theme; non-semiconductor businesses and global sentiment also affect performance.</w:t>
            </w:r>
          </w:p>
        </w:tc>
      </w:tr>
      <w:tr w:rsidR="00504026" w:rsidRPr="0029320A" w14:paraId="690F2112" w14:textId="77777777" w:rsidTr="00EF0C0F">
        <w:tc>
          <w:tcPr>
            <w:tcW w:w="2657" w:type="dxa"/>
            <w:vAlign w:val="center"/>
          </w:tcPr>
          <w:p w14:paraId="34E68101" w14:textId="3E92AEAA"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 xml:space="preserve">KODEX Semiconductor </w:t>
            </w:r>
          </w:p>
        </w:tc>
        <w:tc>
          <w:tcPr>
            <w:tcW w:w="2880" w:type="dxa"/>
            <w:vAlign w:val="center"/>
          </w:tcPr>
          <w:p w14:paraId="09EFD09E"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Sector-wide chip exports, memory demand, earnings at major chipmakers and changes in semiconductor-sector expectations.</w:t>
            </w:r>
          </w:p>
        </w:tc>
        <w:tc>
          <w:tcPr>
            <w:tcW w:w="4528" w:type="dxa"/>
            <w:vAlign w:val="center"/>
          </w:tcPr>
          <w:p w14:paraId="5022FB4A"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Broadens exposure across Korean semiconductor companies, reducing reliance on one issuer while retaining concentrated sector risk.</w:t>
            </w:r>
          </w:p>
        </w:tc>
      </w:tr>
      <w:tr w:rsidR="00504026" w:rsidRPr="0029320A" w14:paraId="1E5FC861" w14:textId="77777777" w:rsidTr="00EF0C0F">
        <w:tc>
          <w:tcPr>
            <w:tcW w:w="2657" w:type="dxa"/>
            <w:vAlign w:val="center"/>
          </w:tcPr>
          <w:p w14:paraId="04748B8E" w14:textId="581A73B2"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 xml:space="preserve">KODEX Leverage </w:t>
            </w:r>
          </w:p>
        </w:tc>
        <w:tc>
          <w:tcPr>
            <w:tcW w:w="2880" w:type="dxa"/>
            <w:vAlign w:val="center"/>
          </w:tcPr>
          <w:p w14:paraId="061A7C2A"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KOSPI200 direction, large-cap technology momentum, foreign flows, risk appetite and market-</w:t>
            </w:r>
            <w:r w:rsidRPr="0029320A">
              <w:rPr>
                <w:rFonts w:asciiTheme="majorHAnsi" w:hAnsiTheme="majorHAnsi" w:cstheme="majorHAnsi"/>
                <w:sz w:val="18"/>
                <w:szCs w:val="28"/>
              </w:rPr>
              <w:lastRenderedPageBreak/>
              <w:t>wide shocks.</w:t>
            </w:r>
          </w:p>
        </w:tc>
        <w:tc>
          <w:tcPr>
            <w:tcW w:w="4528" w:type="dxa"/>
            <w:vAlign w:val="center"/>
          </w:tcPr>
          <w:p w14:paraId="411A05DD"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lastRenderedPageBreak/>
              <w:t>Approximately 2× daily index exposure can magnify market gains and losses; combining it with player margin leverage increases risk further.</w:t>
            </w:r>
          </w:p>
        </w:tc>
      </w:tr>
      <w:tr w:rsidR="00504026" w:rsidRPr="0029320A" w14:paraId="682AF821" w14:textId="77777777" w:rsidTr="00EF0C0F">
        <w:tc>
          <w:tcPr>
            <w:tcW w:w="2657" w:type="dxa"/>
            <w:vAlign w:val="center"/>
          </w:tcPr>
          <w:p w14:paraId="5B96E397" w14:textId="060DDDD1"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 xml:space="preserve">TIGER Semiconductor TOP10 </w:t>
            </w:r>
          </w:p>
        </w:tc>
        <w:tc>
          <w:tcPr>
            <w:tcW w:w="2880" w:type="dxa"/>
            <w:vAlign w:val="center"/>
          </w:tcPr>
          <w:p w14:paraId="46A5F418"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Results and investment plans of major Korean chipmakers, AI/HBM demand, semiconductor exports and basket-level sector sentiment.</w:t>
            </w:r>
          </w:p>
        </w:tc>
        <w:tc>
          <w:tcPr>
            <w:tcW w:w="4528" w:type="dxa"/>
            <w:vAlign w:val="center"/>
          </w:tcPr>
          <w:p w14:paraId="67920732"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Concentrated basket of leading semiconductor firms; more diversified than a single stock but still vulnerable to a sector-wide correction.</w:t>
            </w:r>
          </w:p>
        </w:tc>
      </w:tr>
    </w:tbl>
    <w:p w14:paraId="38688035" w14:textId="2FA2E658" w:rsidR="00EF0C0F" w:rsidRPr="0029320A" w:rsidRDefault="00000000">
      <w:pPr>
        <w:rPr>
          <w:rFonts w:asciiTheme="majorHAnsi" w:hAnsiTheme="majorHAnsi" w:cstheme="majorHAnsi"/>
          <w:sz w:val="22"/>
          <w:szCs w:val="28"/>
        </w:rPr>
      </w:pPr>
      <w:r>
        <w:t>Scenario comparison: Although both scenarios follow the same six-phase behavioral progression, their news differs according to each asset’s industry and market exposure. Scenario 1 centres on the AI-memory and semiconductor investment cycle, while Scenario 2 covers shipping, broad-market, semiconductor-equipment, battery and automotive drivers.</w:t>
      </w:r>
    </w:p>
    <w:tbl>
      <w:tblPr>
        <w:tblStyle w:val="TableGrid"/>
        <w:tblW w:w="0" w:type="auto"/>
        <w:jc w:val="center"/>
        <w:tblLook w:val="04A0" w:firstRow="1" w:lastRow="0" w:firstColumn="1" w:lastColumn="0" w:noHBand="0" w:noVBand="1"/>
      </w:tblPr>
      <w:tblGrid>
        <w:gridCol w:w="4404"/>
        <w:gridCol w:w="2880"/>
        <w:gridCol w:w="2880"/>
      </w:tblGrid>
      <w:tr w:rsidR="00504026" w:rsidRPr="0029320A" w14:paraId="18188C8D" w14:textId="77777777" w:rsidTr="00EF0C0F">
        <w:trPr>
          <w:jc w:val="center"/>
        </w:trPr>
        <w:tc>
          <w:tcPr>
            <w:tcW w:w="4404" w:type="dxa"/>
            <w:vAlign w:val="center"/>
          </w:tcPr>
          <w:p w14:paraId="25682AD4" w14:textId="77777777" w:rsidR="00504026" w:rsidRPr="0029320A" w:rsidRDefault="00000000" w:rsidP="00EF0C0F">
            <w:pPr>
              <w:spacing w:after="20" w:line="276" w:lineRule="auto"/>
              <w:rPr>
                <w:rFonts w:asciiTheme="majorHAnsi" w:hAnsiTheme="majorHAnsi" w:cstheme="majorHAnsi"/>
                <w:b/>
                <w:color w:val="1F4E79"/>
                <w:sz w:val="18"/>
                <w:szCs w:val="28"/>
              </w:rPr>
            </w:pPr>
            <w:r w:rsidRPr="0029320A">
              <w:rPr>
                <w:rFonts w:asciiTheme="majorHAnsi" w:hAnsiTheme="majorHAnsi" w:cstheme="majorHAnsi"/>
                <w:b/>
                <w:color w:val="1F4E79"/>
                <w:sz w:val="18"/>
                <w:szCs w:val="28"/>
              </w:rPr>
              <w:t>Asset / driver</w:t>
            </w:r>
          </w:p>
        </w:tc>
        <w:tc>
          <w:tcPr>
            <w:tcW w:w="2880" w:type="dxa"/>
            <w:vAlign w:val="center"/>
          </w:tcPr>
          <w:p w14:paraId="283FCBCD" w14:textId="77777777" w:rsidR="00504026" w:rsidRPr="0029320A" w:rsidRDefault="00000000" w:rsidP="00EF0C0F">
            <w:pPr>
              <w:spacing w:after="20" w:line="276" w:lineRule="auto"/>
              <w:rPr>
                <w:rFonts w:asciiTheme="majorHAnsi" w:hAnsiTheme="majorHAnsi" w:cstheme="majorHAnsi"/>
                <w:b/>
                <w:color w:val="1F4E79"/>
                <w:sz w:val="18"/>
                <w:szCs w:val="28"/>
              </w:rPr>
            </w:pPr>
            <w:r w:rsidRPr="0029320A">
              <w:rPr>
                <w:rFonts w:asciiTheme="majorHAnsi" w:hAnsiTheme="majorHAnsi" w:cstheme="majorHAnsi"/>
                <w:b/>
                <w:color w:val="1F4E79"/>
                <w:sz w:val="18"/>
                <w:szCs w:val="28"/>
              </w:rPr>
              <w:t>Summary of news drivers</w:t>
            </w:r>
          </w:p>
        </w:tc>
        <w:tc>
          <w:tcPr>
            <w:tcW w:w="2880" w:type="dxa"/>
            <w:vAlign w:val="center"/>
          </w:tcPr>
          <w:p w14:paraId="327A4792" w14:textId="77777777" w:rsidR="00504026" w:rsidRPr="0029320A" w:rsidRDefault="00000000" w:rsidP="00EF0C0F">
            <w:pPr>
              <w:spacing w:after="20" w:line="276" w:lineRule="auto"/>
              <w:rPr>
                <w:rFonts w:asciiTheme="majorHAnsi" w:hAnsiTheme="majorHAnsi" w:cstheme="majorHAnsi"/>
                <w:b/>
                <w:color w:val="1F4E79"/>
                <w:sz w:val="18"/>
                <w:szCs w:val="28"/>
              </w:rPr>
            </w:pPr>
            <w:r w:rsidRPr="0029320A">
              <w:rPr>
                <w:rFonts w:asciiTheme="majorHAnsi" w:hAnsiTheme="majorHAnsi" w:cstheme="majorHAnsi"/>
                <w:b/>
                <w:color w:val="1F4E79"/>
                <w:sz w:val="18"/>
                <w:szCs w:val="28"/>
              </w:rPr>
              <w:t>Role and risk in the scenario</w:t>
            </w:r>
          </w:p>
        </w:tc>
      </w:tr>
      <w:tr w:rsidR="00504026" w:rsidRPr="0029320A" w14:paraId="3CC20DD8" w14:textId="77777777" w:rsidTr="00EF0C0F">
        <w:trPr>
          <w:jc w:val="center"/>
        </w:trPr>
        <w:tc>
          <w:tcPr>
            <w:tcW w:w="4404" w:type="dxa"/>
            <w:vAlign w:val="center"/>
          </w:tcPr>
          <w:p w14:paraId="00D4AEE8" w14:textId="5E522EF0"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 xml:space="preserve">HMM </w:t>
            </w:r>
          </w:p>
        </w:tc>
        <w:tc>
          <w:tcPr>
            <w:tcW w:w="2880" w:type="dxa"/>
            <w:vAlign w:val="center"/>
          </w:tcPr>
          <w:p w14:paraId="7A4697CD"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Container freight-rate expectations, global trade and China/export demand, shipping-route disruptions, vessel capacity, fuel and charter costs.</w:t>
            </w:r>
          </w:p>
        </w:tc>
        <w:tc>
          <w:tcPr>
            <w:tcW w:w="2880" w:type="dxa"/>
            <w:vAlign w:val="center"/>
          </w:tcPr>
          <w:p w14:paraId="013A830C"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Shipping and global-trade proxy; route-risk premiums may support rates, while weaker cargo demand or excess capacity can reverse sentiment.</w:t>
            </w:r>
          </w:p>
        </w:tc>
      </w:tr>
      <w:tr w:rsidR="00504026" w:rsidRPr="0029320A" w14:paraId="746F2224" w14:textId="77777777" w:rsidTr="00EF0C0F">
        <w:trPr>
          <w:jc w:val="center"/>
        </w:trPr>
        <w:tc>
          <w:tcPr>
            <w:tcW w:w="4404" w:type="dxa"/>
            <w:vAlign w:val="center"/>
          </w:tcPr>
          <w:p w14:paraId="7B99F0EE" w14:textId="26E800F4"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 xml:space="preserve">KODEX 200 </w:t>
            </w:r>
          </w:p>
        </w:tc>
        <w:tc>
          <w:tcPr>
            <w:tcW w:w="2880" w:type="dxa"/>
            <w:vAlign w:val="center"/>
          </w:tcPr>
          <w:p w14:paraId="5BBCE17B"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KOSPI200 constituent performance, foreign investor flows, won movements, interest-rate expectations and broad risk appetite.</w:t>
            </w:r>
          </w:p>
        </w:tc>
        <w:tc>
          <w:tcPr>
            <w:tcW w:w="2880" w:type="dxa"/>
            <w:vAlign w:val="center"/>
          </w:tcPr>
          <w:p w14:paraId="782311CF"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Broad Korean large-cap exposure; company-specific shocks are diversified, but index-wide macro or risk-off events can still weigh on the ETF.</w:t>
            </w:r>
          </w:p>
        </w:tc>
      </w:tr>
      <w:tr w:rsidR="00504026" w:rsidRPr="0029320A" w14:paraId="6B4C6129" w14:textId="77777777" w:rsidTr="00EF0C0F">
        <w:trPr>
          <w:jc w:val="center"/>
        </w:trPr>
        <w:tc>
          <w:tcPr>
            <w:tcW w:w="4404" w:type="dxa"/>
            <w:vAlign w:val="center"/>
          </w:tcPr>
          <w:p w14:paraId="667DA74D" w14:textId="1737743F" w:rsidR="00504026" w:rsidRPr="0029320A" w:rsidRDefault="00000000" w:rsidP="00EF0C0F">
            <w:pPr>
              <w:spacing w:after="20" w:line="276" w:lineRule="auto"/>
              <w:rPr>
                <w:rFonts w:asciiTheme="majorHAnsi" w:hAnsiTheme="majorHAnsi" w:cstheme="majorHAnsi"/>
                <w:sz w:val="18"/>
                <w:szCs w:val="28"/>
              </w:rPr>
            </w:pPr>
            <w:proofErr w:type="spellStart"/>
            <w:r w:rsidRPr="0029320A">
              <w:rPr>
                <w:rFonts w:asciiTheme="majorHAnsi" w:hAnsiTheme="majorHAnsi" w:cstheme="majorHAnsi"/>
                <w:sz w:val="18"/>
                <w:szCs w:val="28"/>
              </w:rPr>
              <w:t>Wonik</w:t>
            </w:r>
            <w:proofErr w:type="spellEnd"/>
            <w:r w:rsidRPr="0029320A">
              <w:rPr>
                <w:rFonts w:asciiTheme="majorHAnsi" w:hAnsiTheme="majorHAnsi" w:cstheme="majorHAnsi"/>
                <w:sz w:val="18"/>
                <w:szCs w:val="28"/>
              </w:rPr>
              <w:t xml:space="preserve"> IPS </w:t>
            </w:r>
          </w:p>
        </w:tc>
        <w:tc>
          <w:tcPr>
            <w:tcW w:w="2880" w:type="dxa"/>
            <w:vAlign w:val="center"/>
          </w:tcPr>
          <w:p w14:paraId="7D882849"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Semiconductor-equipment orders, customer capital expenditure, advanced-chip and memory investment, order backlog and export restrictions.</w:t>
            </w:r>
          </w:p>
        </w:tc>
        <w:tc>
          <w:tcPr>
            <w:tcW w:w="2880" w:type="dxa"/>
            <w:vAlign w:val="center"/>
          </w:tcPr>
          <w:p w14:paraId="6B7E6743"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High-beta equipment supplier whose outlook depends on whether chipmakers’ investment plans translate into actual orders and revenue.</w:t>
            </w:r>
          </w:p>
        </w:tc>
      </w:tr>
      <w:tr w:rsidR="00504026" w:rsidRPr="0029320A" w14:paraId="629BF7C6" w14:textId="77777777" w:rsidTr="00EF0C0F">
        <w:trPr>
          <w:jc w:val="center"/>
        </w:trPr>
        <w:tc>
          <w:tcPr>
            <w:tcW w:w="4404" w:type="dxa"/>
            <w:vAlign w:val="center"/>
          </w:tcPr>
          <w:p w14:paraId="6C384A6B" w14:textId="0D38126B"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 xml:space="preserve">LG Energy Solution </w:t>
            </w:r>
          </w:p>
        </w:tc>
        <w:tc>
          <w:tcPr>
            <w:tcW w:w="2880" w:type="dxa"/>
            <w:vAlign w:val="center"/>
          </w:tcPr>
          <w:p w14:paraId="468BD3B2"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EV and battery demand, U.S. policy and production tax credits, raw-material prices, customer contracts, and grid/data-centre energy-storage demand.</w:t>
            </w:r>
          </w:p>
        </w:tc>
        <w:tc>
          <w:tcPr>
            <w:tcW w:w="2880" w:type="dxa"/>
            <w:vAlign w:val="center"/>
          </w:tcPr>
          <w:p w14:paraId="7D4531FF"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Battery-sector bellwether; policy support and storage demand may help, but EV uncertainty and one-off items can make headline profitability misleading.</w:t>
            </w:r>
          </w:p>
        </w:tc>
      </w:tr>
      <w:tr w:rsidR="00504026" w:rsidRPr="0029320A" w14:paraId="51102039" w14:textId="77777777" w:rsidTr="00EF0C0F">
        <w:trPr>
          <w:jc w:val="center"/>
        </w:trPr>
        <w:tc>
          <w:tcPr>
            <w:tcW w:w="4404" w:type="dxa"/>
            <w:vAlign w:val="center"/>
          </w:tcPr>
          <w:p w14:paraId="147D55C0" w14:textId="6855013C"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 xml:space="preserve">Hyundai Motor </w:t>
            </w:r>
          </w:p>
        </w:tc>
        <w:tc>
          <w:tcPr>
            <w:tcW w:w="2880" w:type="dxa"/>
            <w:vAlign w:val="center"/>
          </w:tcPr>
          <w:p w14:paraId="274F7307"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Global vehicle sales, hybrid and EV mix, U.S. tariffs, exchange rates, raw-material costs, recalls and competition.</w:t>
            </w:r>
          </w:p>
        </w:tc>
        <w:tc>
          <w:tcPr>
            <w:tcW w:w="2880" w:type="dxa"/>
            <w:vAlign w:val="center"/>
          </w:tcPr>
          <w:p w14:paraId="2DFCA9F0" w14:textId="77777777" w:rsidR="00504026" w:rsidRPr="0029320A" w:rsidRDefault="00000000" w:rsidP="00EF0C0F">
            <w:pPr>
              <w:spacing w:after="20" w:line="276" w:lineRule="auto"/>
              <w:rPr>
                <w:rFonts w:asciiTheme="majorHAnsi" w:hAnsiTheme="majorHAnsi" w:cstheme="majorHAnsi"/>
                <w:sz w:val="18"/>
                <w:szCs w:val="28"/>
              </w:rPr>
            </w:pPr>
            <w:r w:rsidRPr="0029320A">
              <w:rPr>
                <w:rFonts w:asciiTheme="majorHAnsi" w:hAnsiTheme="majorHAnsi" w:cstheme="majorHAnsi"/>
                <w:sz w:val="18"/>
                <w:szCs w:val="28"/>
              </w:rPr>
              <w:t>Global automotive exposure; hybrid demand and geographic reach can support the outlook, while trade policy, quality issues and consumer weakness create downside risk.</w:t>
            </w:r>
          </w:p>
        </w:tc>
      </w:tr>
    </w:tbl>
    <w:p w14:paraId="72B101D9" w14:textId="77777777" w:rsidR="00504026" w:rsidRPr="0029320A" w:rsidRDefault="00000000">
      <w:pPr>
        <w:rPr>
          <w:rFonts w:asciiTheme="majorHAnsi" w:hAnsiTheme="majorHAnsi" w:cstheme="majorHAnsi"/>
          <w:sz w:val="22"/>
          <w:szCs w:val="28"/>
        </w:rPr>
      </w:pPr>
      <w:r>
        <w:t>Design constraint: The tables summarise the news drivers described in the supplied Scenario 1 and Scenario 2 files. ETF entries describe fund or index exposure rather than corporate announcements. The news provides contextual information for player decisions; it does not create or modify the predetermined market prices.</w:t>
      </w:r>
    </w:p>
    <w:p w14:paraId="0BA0C531" w14:textId="77777777" w:rsidR="00504026" w:rsidRPr="0029320A" w:rsidRDefault="00000000">
      <w:pPr>
        <w:pStyle w:val="Heading2"/>
        <w:rPr>
          <w:rFonts w:cstheme="majorHAnsi"/>
        </w:rPr>
      </w:pPr>
      <w:r w:rsidRPr="0029320A">
        <w:rPr>
          <w:rFonts w:cstheme="majorHAnsi"/>
        </w:rPr>
        <w:t>3.4 Player Action Mapping and Decision Paths</w:t>
      </w:r>
    </w:p>
    <w:p w14:paraId="31B996E2" w14:textId="77777777" w:rsidR="00504026" w:rsidRPr="0029320A" w:rsidRDefault="00000000">
      <w:pPr>
        <w:rPr>
          <w:rFonts w:asciiTheme="majorHAnsi" w:hAnsiTheme="majorHAnsi" w:cstheme="majorHAnsi"/>
          <w:sz w:val="22"/>
          <w:szCs w:val="28"/>
        </w:rPr>
      </w:pPr>
      <w:r>
        <w:t>I use the existing Input Dictionary and related project documentation to ensure that scenario content corresponds to supported player inputs. My role is not to create the Input Dictionary or implement its variables; I use the documented inputs to understand the initial conditions, player choices and scenario context reflected in the narrative.</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3"/>
        <w:gridCol w:w="3260"/>
        <w:gridCol w:w="4257"/>
      </w:tblGrid>
      <w:tr w:rsidR="00504026" w:rsidRPr="0029320A" w14:paraId="5DE0E318" w14:textId="77777777" w:rsidTr="0029320A">
        <w:trPr>
          <w:jc w:val="center"/>
        </w:trPr>
        <w:tc>
          <w:tcPr>
            <w:tcW w:w="2563" w:type="dxa"/>
            <w:shd w:val="clear" w:color="auto" w:fill="D9EAF7"/>
            <w:tcMar>
              <w:top w:w="70" w:type="dxa"/>
              <w:left w:w="80" w:type="dxa"/>
              <w:bottom w:w="70" w:type="dxa"/>
              <w:right w:w="80" w:type="dxa"/>
            </w:tcMar>
            <w:vAlign w:val="center"/>
          </w:tcPr>
          <w:p w14:paraId="37DE2AC7"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b/>
                <w:color w:val="1F4E79"/>
                <w:sz w:val="18"/>
                <w:szCs w:val="24"/>
              </w:rPr>
              <w:lastRenderedPageBreak/>
              <w:t>Player action</w:t>
            </w:r>
          </w:p>
        </w:tc>
        <w:tc>
          <w:tcPr>
            <w:tcW w:w="3260" w:type="dxa"/>
            <w:shd w:val="clear" w:color="auto" w:fill="D9EAF7"/>
            <w:tcMar>
              <w:top w:w="70" w:type="dxa"/>
              <w:left w:w="80" w:type="dxa"/>
              <w:bottom w:w="70" w:type="dxa"/>
              <w:right w:w="80" w:type="dxa"/>
            </w:tcMar>
            <w:vAlign w:val="center"/>
          </w:tcPr>
          <w:p w14:paraId="611BE37E"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b/>
                <w:color w:val="1F4E79"/>
                <w:sz w:val="18"/>
                <w:szCs w:val="24"/>
              </w:rPr>
              <w:t>Scenario meaning</w:t>
            </w:r>
          </w:p>
        </w:tc>
        <w:tc>
          <w:tcPr>
            <w:tcW w:w="4257" w:type="dxa"/>
            <w:shd w:val="clear" w:color="auto" w:fill="D9EAF7"/>
            <w:tcMar>
              <w:top w:w="70" w:type="dxa"/>
              <w:left w:w="80" w:type="dxa"/>
              <w:bottom w:w="70" w:type="dxa"/>
              <w:right w:w="80" w:type="dxa"/>
            </w:tcMar>
            <w:vAlign w:val="center"/>
          </w:tcPr>
          <w:p w14:paraId="05F33264"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b/>
                <w:color w:val="1F4E79"/>
                <w:sz w:val="18"/>
                <w:szCs w:val="24"/>
              </w:rPr>
              <w:t>Main consequence</w:t>
            </w:r>
          </w:p>
        </w:tc>
      </w:tr>
      <w:tr w:rsidR="00504026" w:rsidRPr="0029320A" w14:paraId="633053A2" w14:textId="77777777" w:rsidTr="0029320A">
        <w:trPr>
          <w:jc w:val="center"/>
        </w:trPr>
        <w:tc>
          <w:tcPr>
            <w:tcW w:w="2563" w:type="dxa"/>
            <w:tcMar>
              <w:top w:w="70" w:type="dxa"/>
              <w:left w:w="80" w:type="dxa"/>
              <w:bottom w:w="70" w:type="dxa"/>
              <w:right w:w="80" w:type="dxa"/>
            </w:tcMar>
            <w:vAlign w:val="center"/>
          </w:tcPr>
          <w:p w14:paraId="1774F579"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Buy</w:t>
            </w:r>
          </w:p>
        </w:tc>
        <w:tc>
          <w:tcPr>
            <w:tcW w:w="3260" w:type="dxa"/>
            <w:tcMar>
              <w:top w:w="70" w:type="dxa"/>
              <w:left w:w="80" w:type="dxa"/>
              <w:bottom w:w="70" w:type="dxa"/>
              <w:right w:w="80" w:type="dxa"/>
            </w:tcMar>
            <w:vAlign w:val="center"/>
          </w:tcPr>
          <w:p w14:paraId="7CF9F00E"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Increase exposure to a selected asset</w:t>
            </w:r>
          </w:p>
        </w:tc>
        <w:tc>
          <w:tcPr>
            <w:tcW w:w="4257" w:type="dxa"/>
            <w:tcMar>
              <w:top w:w="70" w:type="dxa"/>
              <w:left w:w="80" w:type="dxa"/>
              <w:bottom w:w="70" w:type="dxa"/>
              <w:right w:w="80" w:type="dxa"/>
            </w:tcMar>
            <w:vAlign w:val="center"/>
          </w:tcPr>
          <w:p w14:paraId="1B7B45C5"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Raises stock exposure and, when margin is used, may increase debt and amplify gains or losses.</w:t>
            </w:r>
          </w:p>
        </w:tc>
      </w:tr>
      <w:tr w:rsidR="00504026" w:rsidRPr="0029320A" w14:paraId="27D6DDE9" w14:textId="77777777" w:rsidTr="0029320A">
        <w:trPr>
          <w:jc w:val="center"/>
        </w:trPr>
        <w:tc>
          <w:tcPr>
            <w:tcW w:w="2563" w:type="dxa"/>
            <w:tcMar>
              <w:top w:w="70" w:type="dxa"/>
              <w:left w:w="80" w:type="dxa"/>
              <w:bottom w:w="70" w:type="dxa"/>
              <w:right w:w="80" w:type="dxa"/>
            </w:tcMar>
            <w:vAlign w:val="center"/>
          </w:tcPr>
          <w:p w14:paraId="5005491D"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Sell</w:t>
            </w:r>
          </w:p>
        </w:tc>
        <w:tc>
          <w:tcPr>
            <w:tcW w:w="3260" w:type="dxa"/>
            <w:tcMar>
              <w:top w:w="70" w:type="dxa"/>
              <w:left w:w="80" w:type="dxa"/>
              <w:bottom w:w="70" w:type="dxa"/>
              <w:right w:w="80" w:type="dxa"/>
            </w:tcMar>
            <w:vAlign w:val="center"/>
          </w:tcPr>
          <w:p w14:paraId="75D2C083"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Reduce or exit an existing position</w:t>
            </w:r>
          </w:p>
        </w:tc>
        <w:tc>
          <w:tcPr>
            <w:tcW w:w="4257" w:type="dxa"/>
            <w:tcMar>
              <w:top w:w="70" w:type="dxa"/>
              <w:left w:w="80" w:type="dxa"/>
              <w:bottom w:w="70" w:type="dxa"/>
              <w:right w:w="80" w:type="dxa"/>
            </w:tcMar>
            <w:vAlign w:val="center"/>
          </w:tcPr>
          <w:p w14:paraId="31305FC5"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Reduces exposure; cash and holdings update under the project’s settlement rules.</w:t>
            </w:r>
          </w:p>
        </w:tc>
      </w:tr>
      <w:tr w:rsidR="00504026" w:rsidRPr="0029320A" w14:paraId="4F2B6356" w14:textId="77777777" w:rsidTr="0029320A">
        <w:trPr>
          <w:jc w:val="center"/>
        </w:trPr>
        <w:tc>
          <w:tcPr>
            <w:tcW w:w="2563" w:type="dxa"/>
            <w:tcMar>
              <w:top w:w="70" w:type="dxa"/>
              <w:left w:w="80" w:type="dxa"/>
              <w:bottom w:w="70" w:type="dxa"/>
              <w:right w:w="80" w:type="dxa"/>
            </w:tcMar>
            <w:vAlign w:val="center"/>
          </w:tcPr>
          <w:p w14:paraId="790C0936"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Hold</w:t>
            </w:r>
          </w:p>
        </w:tc>
        <w:tc>
          <w:tcPr>
            <w:tcW w:w="3260" w:type="dxa"/>
            <w:tcMar>
              <w:top w:w="70" w:type="dxa"/>
              <w:left w:w="80" w:type="dxa"/>
              <w:bottom w:w="70" w:type="dxa"/>
              <w:right w:w="80" w:type="dxa"/>
            </w:tcMar>
            <w:vAlign w:val="center"/>
          </w:tcPr>
          <w:p w14:paraId="5DCA4717"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Keep the current position</w:t>
            </w:r>
          </w:p>
        </w:tc>
        <w:tc>
          <w:tcPr>
            <w:tcW w:w="4257" w:type="dxa"/>
            <w:tcMar>
              <w:top w:w="70" w:type="dxa"/>
              <w:left w:w="80" w:type="dxa"/>
              <w:bottom w:w="70" w:type="dxa"/>
              <w:right w:w="80" w:type="dxa"/>
            </w:tcMar>
            <w:vAlign w:val="center"/>
          </w:tcPr>
          <w:p w14:paraId="34161B8B"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Leaves the portfolio exposed to subsequent price movements.</w:t>
            </w:r>
          </w:p>
        </w:tc>
      </w:tr>
      <w:tr w:rsidR="00504026" w:rsidRPr="0029320A" w14:paraId="2BFF4EDE" w14:textId="77777777" w:rsidTr="0029320A">
        <w:trPr>
          <w:jc w:val="center"/>
        </w:trPr>
        <w:tc>
          <w:tcPr>
            <w:tcW w:w="2563" w:type="dxa"/>
            <w:tcMar>
              <w:top w:w="70" w:type="dxa"/>
              <w:left w:w="80" w:type="dxa"/>
              <w:bottom w:w="70" w:type="dxa"/>
              <w:right w:w="80" w:type="dxa"/>
            </w:tcMar>
            <w:vAlign w:val="center"/>
          </w:tcPr>
          <w:p w14:paraId="4E8EAACA"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Select margin tier</w:t>
            </w:r>
          </w:p>
        </w:tc>
        <w:tc>
          <w:tcPr>
            <w:tcW w:w="3260" w:type="dxa"/>
            <w:tcMar>
              <w:top w:w="70" w:type="dxa"/>
              <w:left w:w="80" w:type="dxa"/>
              <w:bottom w:w="70" w:type="dxa"/>
              <w:right w:w="80" w:type="dxa"/>
            </w:tcMar>
            <w:vAlign w:val="center"/>
          </w:tcPr>
          <w:p w14:paraId="523AEB56"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Choose available borrowing capacity</w:t>
            </w:r>
          </w:p>
        </w:tc>
        <w:tc>
          <w:tcPr>
            <w:tcW w:w="4257" w:type="dxa"/>
            <w:tcMar>
              <w:top w:w="70" w:type="dxa"/>
              <w:left w:w="80" w:type="dxa"/>
              <w:bottom w:w="70" w:type="dxa"/>
              <w:right w:w="80" w:type="dxa"/>
            </w:tcMar>
            <w:vAlign w:val="center"/>
          </w:tcPr>
          <w:p w14:paraId="396327EC"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Higher leverage increases purchasing power and margin risk.</w:t>
            </w:r>
          </w:p>
        </w:tc>
      </w:tr>
      <w:tr w:rsidR="00504026" w:rsidRPr="0029320A" w14:paraId="61256B67" w14:textId="77777777" w:rsidTr="0029320A">
        <w:trPr>
          <w:jc w:val="center"/>
        </w:trPr>
        <w:tc>
          <w:tcPr>
            <w:tcW w:w="2563" w:type="dxa"/>
            <w:tcMar>
              <w:top w:w="70" w:type="dxa"/>
              <w:left w:w="80" w:type="dxa"/>
              <w:bottom w:w="70" w:type="dxa"/>
              <w:right w:w="80" w:type="dxa"/>
            </w:tcMar>
            <w:vAlign w:val="center"/>
          </w:tcPr>
          <w:p w14:paraId="7C817515"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Preserve cash</w:t>
            </w:r>
          </w:p>
        </w:tc>
        <w:tc>
          <w:tcPr>
            <w:tcW w:w="3260" w:type="dxa"/>
            <w:tcMar>
              <w:top w:w="70" w:type="dxa"/>
              <w:left w:w="80" w:type="dxa"/>
              <w:bottom w:w="70" w:type="dxa"/>
              <w:right w:w="80" w:type="dxa"/>
            </w:tcMar>
            <w:vAlign w:val="center"/>
          </w:tcPr>
          <w:p w14:paraId="0D75B00D"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Keep funds outside risky positions</w:t>
            </w:r>
          </w:p>
        </w:tc>
        <w:tc>
          <w:tcPr>
            <w:tcW w:w="4257" w:type="dxa"/>
            <w:tcMar>
              <w:top w:w="70" w:type="dxa"/>
              <w:left w:w="80" w:type="dxa"/>
              <w:bottom w:w="70" w:type="dxa"/>
              <w:right w:w="80" w:type="dxa"/>
            </w:tcMar>
            <w:vAlign w:val="center"/>
          </w:tcPr>
          <w:p w14:paraId="76EF9B4A"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Maintains liquidity and flexibility for later decisions.</w:t>
            </w:r>
          </w:p>
        </w:tc>
      </w:tr>
      <w:tr w:rsidR="00504026" w:rsidRPr="0029320A" w14:paraId="36E99C01" w14:textId="77777777" w:rsidTr="0029320A">
        <w:trPr>
          <w:jc w:val="center"/>
        </w:trPr>
        <w:tc>
          <w:tcPr>
            <w:tcW w:w="2563" w:type="dxa"/>
            <w:tcMar>
              <w:top w:w="70" w:type="dxa"/>
              <w:left w:w="80" w:type="dxa"/>
              <w:bottom w:w="70" w:type="dxa"/>
              <w:right w:w="80" w:type="dxa"/>
            </w:tcMar>
            <w:vAlign w:val="center"/>
          </w:tcPr>
          <w:p w14:paraId="739642A1"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Bank Savings</w:t>
            </w:r>
          </w:p>
        </w:tc>
        <w:tc>
          <w:tcPr>
            <w:tcW w:w="3260" w:type="dxa"/>
            <w:tcMar>
              <w:top w:w="70" w:type="dxa"/>
              <w:left w:w="80" w:type="dxa"/>
              <w:bottom w:w="70" w:type="dxa"/>
              <w:right w:w="80" w:type="dxa"/>
            </w:tcMar>
            <w:vAlign w:val="center"/>
          </w:tcPr>
          <w:p w14:paraId="66871020"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Allocate eligible funds to savings</w:t>
            </w:r>
          </w:p>
        </w:tc>
        <w:tc>
          <w:tcPr>
            <w:tcW w:w="4257" w:type="dxa"/>
            <w:tcMar>
              <w:top w:w="70" w:type="dxa"/>
              <w:left w:w="80" w:type="dxa"/>
              <w:bottom w:w="70" w:type="dxa"/>
              <w:right w:w="80" w:type="dxa"/>
            </w:tcMar>
            <w:vAlign w:val="center"/>
          </w:tcPr>
          <w:p w14:paraId="66827C5B"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Reduces direct market exposure and earns the configured 4.75% return per completed AM/PM session.</w:t>
            </w:r>
          </w:p>
        </w:tc>
      </w:tr>
    </w:tbl>
    <w:p w14:paraId="3B12B040" w14:textId="77777777" w:rsidR="00504026" w:rsidRPr="0029320A" w:rsidRDefault="00504026">
      <w:pPr>
        <w:spacing w:after="0"/>
        <w:rPr>
          <w:rFonts w:asciiTheme="majorHAnsi" w:hAnsiTheme="majorHAnsi" w:cstheme="maj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3384"/>
        <w:gridCol w:w="4176"/>
      </w:tblGrid>
      <w:tr w:rsidR="00504026" w:rsidRPr="0029320A" w14:paraId="44493F14" w14:textId="77777777" w:rsidTr="00EF0C0F">
        <w:trPr>
          <w:jc w:val="center"/>
        </w:trPr>
        <w:tc>
          <w:tcPr>
            <w:tcW w:w="2520" w:type="dxa"/>
            <w:shd w:val="clear" w:color="auto" w:fill="D9EAF7"/>
            <w:tcMar>
              <w:top w:w="70" w:type="dxa"/>
              <w:left w:w="80" w:type="dxa"/>
              <w:bottom w:w="70" w:type="dxa"/>
              <w:right w:w="80" w:type="dxa"/>
            </w:tcMar>
            <w:vAlign w:val="center"/>
          </w:tcPr>
          <w:p w14:paraId="57005194"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b/>
                <w:color w:val="1F4E79"/>
                <w:sz w:val="18"/>
                <w:szCs w:val="28"/>
              </w:rPr>
              <w:t>Scenario condition</w:t>
            </w:r>
          </w:p>
        </w:tc>
        <w:tc>
          <w:tcPr>
            <w:tcW w:w="3384" w:type="dxa"/>
            <w:shd w:val="clear" w:color="auto" w:fill="D9EAF7"/>
            <w:tcMar>
              <w:top w:w="70" w:type="dxa"/>
              <w:left w:w="80" w:type="dxa"/>
              <w:bottom w:w="70" w:type="dxa"/>
              <w:right w:w="80" w:type="dxa"/>
            </w:tcMar>
            <w:vAlign w:val="center"/>
          </w:tcPr>
          <w:p w14:paraId="42467BCC"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b/>
                <w:color w:val="1F4E79"/>
                <w:sz w:val="18"/>
                <w:szCs w:val="28"/>
              </w:rPr>
              <w:t>Player decision / input</w:t>
            </w:r>
          </w:p>
        </w:tc>
        <w:tc>
          <w:tcPr>
            <w:tcW w:w="4176" w:type="dxa"/>
            <w:shd w:val="clear" w:color="auto" w:fill="D9EAF7"/>
            <w:tcMar>
              <w:top w:w="70" w:type="dxa"/>
              <w:left w:w="80" w:type="dxa"/>
              <w:bottom w:w="70" w:type="dxa"/>
              <w:right w:w="80" w:type="dxa"/>
            </w:tcMar>
            <w:vAlign w:val="center"/>
          </w:tcPr>
          <w:p w14:paraId="25082391"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b/>
                <w:color w:val="1F4E79"/>
                <w:sz w:val="18"/>
                <w:szCs w:val="28"/>
              </w:rPr>
              <w:t>Possible next path</w:t>
            </w:r>
          </w:p>
        </w:tc>
      </w:tr>
      <w:tr w:rsidR="00504026" w:rsidRPr="0029320A" w14:paraId="23C16A5D" w14:textId="77777777" w:rsidTr="00EF0C0F">
        <w:trPr>
          <w:jc w:val="center"/>
        </w:trPr>
        <w:tc>
          <w:tcPr>
            <w:tcW w:w="2520" w:type="dxa"/>
            <w:tcMar>
              <w:top w:w="70" w:type="dxa"/>
              <w:left w:w="80" w:type="dxa"/>
              <w:bottom w:w="70" w:type="dxa"/>
              <w:right w:w="80" w:type="dxa"/>
            </w:tcMar>
            <w:vAlign w:val="center"/>
          </w:tcPr>
          <w:p w14:paraId="4905AE18"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Positive scenario news</w:t>
            </w:r>
          </w:p>
        </w:tc>
        <w:tc>
          <w:tcPr>
            <w:tcW w:w="3384" w:type="dxa"/>
            <w:tcMar>
              <w:top w:w="70" w:type="dxa"/>
              <w:left w:w="80" w:type="dxa"/>
              <w:bottom w:w="70" w:type="dxa"/>
              <w:right w:w="80" w:type="dxa"/>
            </w:tcMar>
            <w:vAlign w:val="center"/>
          </w:tcPr>
          <w:p w14:paraId="79F4A1A9"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Buy + select asset + quantity</w:t>
            </w:r>
          </w:p>
        </w:tc>
        <w:tc>
          <w:tcPr>
            <w:tcW w:w="4176" w:type="dxa"/>
            <w:tcMar>
              <w:top w:w="70" w:type="dxa"/>
              <w:left w:w="80" w:type="dxa"/>
              <w:bottom w:w="70" w:type="dxa"/>
              <w:right w:w="80" w:type="dxa"/>
            </w:tcMar>
            <w:vAlign w:val="center"/>
          </w:tcPr>
          <w:p w14:paraId="38EAD385"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Continue observing with an active position.</w:t>
            </w:r>
          </w:p>
        </w:tc>
      </w:tr>
      <w:tr w:rsidR="00504026" w:rsidRPr="0029320A" w14:paraId="35C34EBD" w14:textId="77777777" w:rsidTr="00EF0C0F">
        <w:trPr>
          <w:jc w:val="center"/>
        </w:trPr>
        <w:tc>
          <w:tcPr>
            <w:tcW w:w="2520" w:type="dxa"/>
            <w:tcMar>
              <w:top w:w="70" w:type="dxa"/>
              <w:left w:w="80" w:type="dxa"/>
              <w:bottom w:w="70" w:type="dxa"/>
              <w:right w:w="80" w:type="dxa"/>
            </w:tcMar>
            <w:vAlign w:val="center"/>
          </w:tcPr>
          <w:p w14:paraId="4E1A2B7B"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No desired position change</w:t>
            </w:r>
          </w:p>
        </w:tc>
        <w:tc>
          <w:tcPr>
            <w:tcW w:w="3384" w:type="dxa"/>
            <w:tcMar>
              <w:top w:w="70" w:type="dxa"/>
              <w:left w:w="80" w:type="dxa"/>
              <w:bottom w:w="70" w:type="dxa"/>
              <w:right w:w="80" w:type="dxa"/>
            </w:tcMar>
            <w:vAlign w:val="center"/>
          </w:tcPr>
          <w:p w14:paraId="5D02E247"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Hold</w:t>
            </w:r>
          </w:p>
        </w:tc>
        <w:tc>
          <w:tcPr>
            <w:tcW w:w="4176" w:type="dxa"/>
            <w:tcMar>
              <w:top w:w="70" w:type="dxa"/>
              <w:left w:w="80" w:type="dxa"/>
              <w:bottom w:w="70" w:type="dxa"/>
              <w:right w:w="80" w:type="dxa"/>
            </w:tcMar>
            <w:vAlign w:val="center"/>
          </w:tcPr>
          <w:p w14:paraId="52AF9A67"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Continue to the next tick with the same holdings.</w:t>
            </w:r>
          </w:p>
        </w:tc>
      </w:tr>
      <w:tr w:rsidR="00504026" w:rsidRPr="0029320A" w14:paraId="0629F986" w14:textId="77777777" w:rsidTr="00EF0C0F">
        <w:trPr>
          <w:jc w:val="center"/>
        </w:trPr>
        <w:tc>
          <w:tcPr>
            <w:tcW w:w="2520" w:type="dxa"/>
            <w:tcMar>
              <w:top w:w="70" w:type="dxa"/>
              <w:left w:w="80" w:type="dxa"/>
              <w:bottom w:w="70" w:type="dxa"/>
              <w:right w:w="80" w:type="dxa"/>
            </w:tcMar>
            <w:vAlign w:val="center"/>
          </w:tcPr>
          <w:p w14:paraId="20B08307"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Need to reduce exposure</w:t>
            </w:r>
          </w:p>
        </w:tc>
        <w:tc>
          <w:tcPr>
            <w:tcW w:w="3384" w:type="dxa"/>
            <w:tcMar>
              <w:top w:w="70" w:type="dxa"/>
              <w:left w:w="80" w:type="dxa"/>
              <w:bottom w:w="70" w:type="dxa"/>
              <w:right w:w="80" w:type="dxa"/>
            </w:tcMar>
            <w:vAlign w:val="center"/>
          </w:tcPr>
          <w:p w14:paraId="2E9F5945"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Sell</w:t>
            </w:r>
          </w:p>
        </w:tc>
        <w:tc>
          <w:tcPr>
            <w:tcW w:w="4176" w:type="dxa"/>
            <w:tcMar>
              <w:top w:w="70" w:type="dxa"/>
              <w:left w:w="80" w:type="dxa"/>
              <w:bottom w:w="70" w:type="dxa"/>
              <w:right w:w="80" w:type="dxa"/>
            </w:tcMar>
            <w:vAlign w:val="center"/>
          </w:tcPr>
          <w:p w14:paraId="3230689C"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Update cash and shares, then reassess risk.</w:t>
            </w:r>
          </w:p>
        </w:tc>
      </w:tr>
      <w:tr w:rsidR="00504026" w:rsidRPr="0029320A" w14:paraId="4E1E1C5E" w14:textId="77777777" w:rsidTr="00EF0C0F">
        <w:trPr>
          <w:jc w:val="center"/>
        </w:trPr>
        <w:tc>
          <w:tcPr>
            <w:tcW w:w="2520" w:type="dxa"/>
            <w:tcMar>
              <w:top w:w="70" w:type="dxa"/>
              <w:left w:w="80" w:type="dxa"/>
              <w:bottom w:w="70" w:type="dxa"/>
              <w:right w:w="80" w:type="dxa"/>
            </w:tcMar>
            <w:vAlign w:val="center"/>
          </w:tcPr>
          <w:p w14:paraId="13563CC9"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Want more purchasing power</w:t>
            </w:r>
          </w:p>
        </w:tc>
        <w:tc>
          <w:tcPr>
            <w:tcW w:w="3384" w:type="dxa"/>
            <w:tcMar>
              <w:top w:w="70" w:type="dxa"/>
              <w:left w:w="80" w:type="dxa"/>
              <w:bottom w:w="70" w:type="dxa"/>
              <w:right w:w="80" w:type="dxa"/>
            </w:tcMar>
            <w:vAlign w:val="center"/>
          </w:tcPr>
          <w:p w14:paraId="6E6699D9"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Choose margin tier / margin toggle</w:t>
            </w:r>
          </w:p>
        </w:tc>
        <w:tc>
          <w:tcPr>
            <w:tcW w:w="4176" w:type="dxa"/>
            <w:tcMar>
              <w:top w:w="70" w:type="dxa"/>
              <w:left w:w="80" w:type="dxa"/>
              <w:bottom w:w="70" w:type="dxa"/>
              <w:right w:w="80" w:type="dxa"/>
            </w:tcMar>
            <w:vAlign w:val="center"/>
          </w:tcPr>
          <w:p w14:paraId="712907D3"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Increase potential exposure and margin risk.</w:t>
            </w:r>
          </w:p>
        </w:tc>
      </w:tr>
      <w:tr w:rsidR="00504026" w:rsidRPr="0029320A" w14:paraId="14E63905" w14:textId="77777777" w:rsidTr="00EF0C0F">
        <w:trPr>
          <w:jc w:val="center"/>
        </w:trPr>
        <w:tc>
          <w:tcPr>
            <w:tcW w:w="2520" w:type="dxa"/>
            <w:tcMar>
              <w:top w:w="70" w:type="dxa"/>
              <w:left w:w="80" w:type="dxa"/>
              <w:bottom w:w="70" w:type="dxa"/>
              <w:right w:w="80" w:type="dxa"/>
            </w:tcMar>
            <w:vAlign w:val="center"/>
          </w:tcPr>
          <w:p w14:paraId="74331F95"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Prefer to keep funds outside the market</w:t>
            </w:r>
          </w:p>
        </w:tc>
        <w:tc>
          <w:tcPr>
            <w:tcW w:w="3384" w:type="dxa"/>
            <w:tcMar>
              <w:top w:w="70" w:type="dxa"/>
              <w:left w:w="80" w:type="dxa"/>
              <w:bottom w:w="70" w:type="dxa"/>
              <w:right w:w="80" w:type="dxa"/>
            </w:tcMar>
            <w:vAlign w:val="center"/>
          </w:tcPr>
          <w:p w14:paraId="684F845F"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Use Bank Savings</w:t>
            </w:r>
          </w:p>
        </w:tc>
        <w:tc>
          <w:tcPr>
            <w:tcW w:w="4176" w:type="dxa"/>
            <w:tcMar>
              <w:top w:w="70" w:type="dxa"/>
              <w:left w:w="80" w:type="dxa"/>
              <w:bottom w:w="70" w:type="dxa"/>
              <w:right w:w="80" w:type="dxa"/>
            </w:tcMar>
            <w:vAlign w:val="center"/>
          </w:tcPr>
          <w:p w14:paraId="4D962A6B"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Move eligible funds to savings and continue.</w:t>
            </w:r>
          </w:p>
        </w:tc>
      </w:tr>
      <w:tr w:rsidR="00504026" w:rsidRPr="0029320A" w14:paraId="4F017E48" w14:textId="77777777" w:rsidTr="00EF0C0F">
        <w:trPr>
          <w:jc w:val="center"/>
        </w:trPr>
        <w:tc>
          <w:tcPr>
            <w:tcW w:w="2520" w:type="dxa"/>
            <w:tcMar>
              <w:top w:w="70" w:type="dxa"/>
              <w:left w:w="80" w:type="dxa"/>
              <w:bottom w:w="70" w:type="dxa"/>
              <w:right w:w="80" w:type="dxa"/>
            </w:tcMar>
            <w:vAlign w:val="center"/>
          </w:tcPr>
          <w:p w14:paraId="5F2628BD"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Critical margin condition</w:t>
            </w:r>
          </w:p>
        </w:tc>
        <w:tc>
          <w:tcPr>
            <w:tcW w:w="3384" w:type="dxa"/>
            <w:tcMar>
              <w:top w:w="70" w:type="dxa"/>
              <w:left w:w="80" w:type="dxa"/>
              <w:bottom w:w="70" w:type="dxa"/>
              <w:right w:w="80" w:type="dxa"/>
            </w:tcMar>
            <w:vAlign w:val="center"/>
          </w:tcPr>
          <w:p w14:paraId="55F5D624"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Buy / Sell / Hold or cash management</w:t>
            </w:r>
          </w:p>
        </w:tc>
        <w:tc>
          <w:tcPr>
            <w:tcW w:w="4176" w:type="dxa"/>
            <w:tcMar>
              <w:top w:w="70" w:type="dxa"/>
              <w:left w:w="80" w:type="dxa"/>
              <w:bottom w:w="70" w:type="dxa"/>
              <w:right w:w="80" w:type="dxa"/>
            </w:tcMar>
            <w:vAlign w:val="center"/>
          </w:tcPr>
          <w:p w14:paraId="53250A1B" w14:textId="77777777" w:rsidR="00504026" w:rsidRPr="0029320A" w:rsidRDefault="00000000">
            <w:pPr>
              <w:spacing w:after="20"/>
              <w:rPr>
                <w:rFonts w:asciiTheme="majorHAnsi" w:hAnsiTheme="majorHAnsi" w:cstheme="majorHAnsi"/>
                <w:sz w:val="18"/>
                <w:szCs w:val="28"/>
              </w:rPr>
            </w:pPr>
            <w:r w:rsidRPr="0029320A">
              <w:rPr>
                <w:rFonts w:asciiTheme="majorHAnsi" w:hAnsiTheme="majorHAnsi" w:cstheme="majorHAnsi"/>
                <w:sz w:val="18"/>
                <w:szCs w:val="28"/>
              </w:rPr>
              <w:t>Continue normally, undergo forced liquidation, or reach Game Over depending on the resulting state.</w:t>
            </w:r>
          </w:p>
        </w:tc>
      </w:tr>
    </w:tbl>
    <w:p w14:paraId="07566D25" w14:textId="77777777" w:rsidR="00504026" w:rsidRPr="0029320A" w:rsidRDefault="00504026">
      <w:pPr>
        <w:spacing w:after="0"/>
        <w:rPr>
          <w:rFonts w:asciiTheme="majorHAnsi" w:hAnsiTheme="majorHAnsi" w:cstheme="majorHAnsi"/>
        </w:rPr>
      </w:pPr>
    </w:p>
    <w:p w14:paraId="19A5E7E1" w14:textId="77777777" w:rsidR="00504026" w:rsidRPr="0029320A" w:rsidRDefault="00000000">
      <w:pPr>
        <w:pStyle w:val="Heading2"/>
        <w:rPr>
          <w:rFonts w:cstheme="majorHAnsi"/>
        </w:rPr>
      </w:pPr>
      <w:r w:rsidRPr="0029320A">
        <w:rPr>
          <w:rFonts w:cstheme="majorHAnsi"/>
        </w:rPr>
        <w:t>3.5 User Paths and Illustrative Endings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6"/>
        <w:gridCol w:w="3816"/>
        <w:gridCol w:w="4608"/>
      </w:tblGrid>
      <w:tr w:rsidR="00504026" w:rsidRPr="0029320A" w14:paraId="494C5426" w14:textId="77777777" w:rsidTr="00EF0C0F">
        <w:trPr>
          <w:jc w:val="center"/>
        </w:trPr>
        <w:tc>
          <w:tcPr>
            <w:tcW w:w="1656" w:type="dxa"/>
            <w:shd w:val="clear" w:color="auto" w:fill="D9EAF7"/>
            <w:tcMar>
              <w:top w:w="70" w:type="dxa"/>
              <w:left w:w="80" w:type="dxa"/>
              <w:bottom w:w="70" w:type="dxa"/>
              <w:right w:w="80" w:type="dxa"/>
            </w:tcMar>
            <w:vAlign w:val="center"/>
          </w:tcPr>
          <w:p w14:paraId="0CBD6880"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b/>
                <w:color w:val="1F4E79"/>
                <w:sz w:val="18"/>
                <w:szCs w:val="24"/>
              </w:rPr>
              <w:t>Path</w:t>
            </w:r>
          </w:p>
        </w:tc>
        <w:tc>
          <w:tcPr>
            <w:tcW w:w="3816" w:type="dxa"/>
            <w:shd w:val="clear" w:color="auto" w:fill="D9EAF7"/>
            <w:tcMar>
              <w:top w:w="70" w:type="dxa"/>
              <w:left w:w="80" w:type="dxa"/>
              <w:bottom w:w="70" w:type="dxa"/>
              <w:right w:w="80" w:type="dxa"/>
            </w:tcMar>
            <w:vAlign w:val="center"/>
          </w:tcPr>
          <w:p w14:paraId="595EAE18"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b/>
                <w:color w:val="1F4E79"/>
                <w:sz w:val="18"/>
                <w:szCs w:val="24"/>
              </w:rPr>
              <w:t>Illustrative choices</w:t>
            </w:r>
          </w:p>
        </w:tc>
        <w:tc>
          <w:tcPr>
            <w:tcW w:w="4608" w:type="dxa"/>
            <w:shd w:val="clear" w:color="auto" w:fill="D9EAF7"/>
            <w:tcMar>
              <w:top w:w="70" w:type="dxa"/>
              <w:left w:w="80" w:type="dxa"/>
              <w:bottom w:w="70" w:type="dxa"/>
              <w:right w:w="80" w:type="dxa"/>
            </w:tcMar>
            <w:vAlign w:val="center"/>
          </w:tcPr>
          <w:p w14:paraId="2049C662"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b/>
                <w:color w:val="1F4E79"/>
                <w:sz w:val="18"/>
                <w:szCs w:val="24"/>
              </w:rPr>
              <w:t>Expected narrative outcome</w:t>
            </w:r>
          </w:p>
        </w:tc>
      </w:tr>
      <w:tr w:rsidR="00504026" w:rsidRPr="0029320A" w14:paraId="48840A28" w14:textId="77777777" w:rsidTr="00EF0C0F">
        <w:trPr>
          <w:jc w:val="center"/>
        </w:trPr>
        <w:tc>
          <w:tcPr>
            <w:tcW w:w="1656" w:type="dxa"/>
            <w:tcMar>
              <w:top w:w="70" w:type="dxa"/>
              <w:left w:w="80" w:type="dxa"/>
              <w:bottom w:w="70" w:type="dxa"/>
              <w:right w:w="80" w:type="dxa"/>
            </w:tcMar>
            <w:vAlign w:val="center"/>
          </w:tcPr>
          <w:p w14:paraId="104518A3"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Happy / safe</w:t>
            </w:r>
          </w:p>
        </w:tc>
        <w:tc>
          <w:tcPr>
            <w:tcW w:w="3816" w:type="dxa"/>
            <w:tcMar>
              <w:top w:w="70" w:type="dxa"/>
              <w:left w:w="80" w:type="dxa"/>
              <w:bottom w:w="70" w:type="dxa"/>
              <w:right w:w="80" w:type="dxa"/>
            </w:tcMar>
            <w:vAlign w:val="center"/>
          </w:tcPr>
          <w:p w14:paraId="45CEEF18"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Small House target, cash-only position, move funds to Bank Savings before Phase 6</w:t>
            </w:r>
          </w:p>
        </w:tc>
        <w:tc>
          <w:tcPr>
            <w:tcW w:w="4608" w:type="dxa"/>
            <w:tcMar>
              <w:top w:w="70" w:type="dxa"/>
              <w:left w:w="80" w:type="dxa"/>
              <w:bottom w:w="70" w:type="dxa"/>
              <w:right w:w="80" w:type="dxa"/>
            </w:tcMar>
            <w:vAlign w:val="center"/>
          </w:tcPr>
          <w:p w14:paraId="2EB7494E"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Remain solvent; the documented example finishes at approximately 2.92× initial capital, near but below the 3× target.</w:t>
            </w:r>
          </w:p>
        </w:tc>
      </w:tr>
      <w:tr w:rsidR="00504026" w:rsidRPr="0029320A" w14:paraId="6E476FB6" w14:textId="77777777" w:rsidTr="00EF0C0F">
        <w:trPr>
          <w:jc w:val="center"/>
        </w:trPr>
        <w:tc>
          <w:tcPr>
            <w:tcW w:w="1656" w:type="dxa"/>
            <w:tcMar>
              <w:top w:w="70" w:type="dxa"/>
              <w:left w:w="80" w:type="dxa"/>
              <w:bottom w:w="70" w:type="dxa"/>
              <w:right w:w="80" w:type="dxa"/>
            </w:tcMar>
            <w:vAlign w:val="center"/>
          </w:tcPr>
          <w:p w14:paraId="0C866BB0"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Alternative</w:t>
            </w:r>
          </w:p>
        </w:tc>
        <w:tc>
          <w:tcPr>
            <w:tcW w:w="3816" w:type="dxa"/>
            <w:tcMar>
              <w:top w:w="70" w:type="dxa"/>
              <w:left w:w="80" w:type="dxa"/>
              <w:bottom w:w="70" w:type="dxa"/>
              <w:right w:w="80" w:type="dxa"/>
            </w:tcMar>
            <w:vAlign w:val="center"/>
          </w:tcPr>
          <w:p w14:paraId="1BDDF989"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Normal House target, 2×–3× margin, take profits during Phase 5</w:t>
            </w:r>
          </w:p>
        </w:tc>
        <w:tc>
          <w:tcPr>
            <w:tcW w:w="4608" w:type="dxa"/>
            <w:tcMar>
              <w:top w:w="70" w:type="dxa"/>
              <w:left w:w="80" w:type="dxa"/>
              <w:bottom w:w="70" w:type="dxa"/>
              <w:right w:w="80" w:type="dxa"/>
            </w:tcMar>
            <w:vAlign w:val="center"/>
          </w:tcPr>
          <w:p w14:paraId="2DBAB1E5"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A more balanced path toward the 20× target, with outcomes dependent on timing and risk exposure.</w:t>
            </w:r>
          </w:p>
        </w:tc>
      </w:tr>
      <w:tr w:rsidR="00504026" w:rsidRPr="0029320A" w14:paraId="3D818D29" w14:textId="77777777" w:rsidTr="00EF0C0F">
        <w:trPr>
          <w:jc w:val="center"/>
        </w:trPr>
        <w:tc>
          <w:tcPr>
            <w:tcW w:w="1656" w:type="dxa"/>
            <w:tcMar>
              <w:top w:w="70" w:type="dxa"/>
              <w:left w:w="80" w:type="dxa"/>
              <w:bottom w:w="70" w:type="dxa"/>
              <w:right w:w="80" w:type="dxa"/>
            </w:tcMar>
            <w:vAlign w:val="center"/>
          </w:tcPr>
          <w:p w14:paraId="45958AEF"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Critical-risk</w:t>
            </w:r>
          </w:p>
        </w:tc>
        <w:tc>
          <w:tcPr>
            <w:tcW w:w="3816" w:type="dxa"/>
            <w:tcMar>
              <w:top w:w="70" w:type="dxa"/>
              <w:left w:w="80" w:type="dxa"/>
              <w:bottom w:w="70" w:type="dxa"/>
              <w:right w:w="80" w:type="dxa"/>
            </w:tcMar>
            <w:vAlign w:val="center"/>
          </w:tcPr>
          <w:p w14:paraId="14FFC95F"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ToLam Villa target, 4× leverage held into Phase 6</w:t>
            </w:r>
          </w:p>
        </w:tc>
        <w:tc>
          <w:tcPr>
            <w:tcW w:w="4608" w:type="dxa"/>
            <w:tcMar>
              <w:top w:w="70" w:type="dxa"/>
              <w:left w:w="80" w:type="dxa"/>
              <w:bottom w:w="70" w:type="dxa"/>
              <w:right w:w="80" w:type="dxa"/>
            </w:tcMar>
            <w:vAlign w:val="center"/>
          </w:tcPr>
          <w:p w14:paraId="33DCED1F"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A price decline can breach the maintenance margin, trigger forced liquidation and potentially wipe out equity.</w:t>
            </w:r>
          </w:p>
        </w:tc>
      </w:tr>
    </w:tbl>
    <w:p w14:paraId="2E114200" w14:textId="77777777" w:rsidR="00504026" w:rsidRPr="0029320A" w:rsidRDefault="00504026">
      <w:pPr>
        <w:spacing w:after="0"/>
        <w:rPr>
          <w:rFonts w:asciiTheme="majorHAnsi" w:hAnsiTheme="majorHAnsi" w:cstheme="majorHAnsi"/>
        </w:rPr>
      </w:pPr>
    </w:p>
    <w:p w14:paraId="671DC740" w14:textId="77777777" w:rsidR="00504026" w:rsidRPr="0029320A" w:rsidRDefault="00000000">
      <w:pPr>
        <w:rPr>
          <w:rFonts w:asciiTheme="majorHAnsi" w:hAnsiTheme="majorHAnsi" w:cstheme="majorHAnsi"/>
          <w:sz w:val="22"/>
          <w:szCs w:val="28"/>
        </w:rPr>
      </w:pPr>
      <w:r w:rsidRPr="0029320A">
        <w:rPr>
          <w:rFonts w:asciiTheme="majorHAnsi" w:hAnsiTheme="majorHAnsi" w:cstheme="majorHAnsi"/>
          <w:sz w:val="22"/>
          <w:szCs w:val="28"/>
        </w:rPr>
        <w:t>These are illustrative scenario paths based on the project documentation, not guaranteed outcomes for every run. They show how a shared price path can lead to different results when player decisions differ.</w:t>
      </w:r>
    </w:p>
    <w:p w14:paraId="7C71C680" w14:textId="77777777" w:rsidR="00504026" w:rsidRPr="0029320A" w:rsidRDefault="00000000">
      <w:pPr>
        <w:pStyle w:val="Heading1"/>
        <w:rPr>
          <w:rFonts w:cstheme="majorHAnsi"/>
        </w:rPr>
      </w:pPr>
      <w:r w:rsidRPr="0029320A">
        <w:rPr>
          <w:rFonts w:cstheme="majorHAnsi"/>
        </w:rPr>
        <w:lastRenderedPageBreak/>
        <w:t>4. How My Work Supports the Team</w:t>
      </w:r>
    </w:p>
    <w:tbl>
      <w:tblPr>
        <w:tblW w:w="0" w:type="auto"/>
        <w:jc w:val="center"/>
        <w:tblLayout w:type="fixed"/>
        <w:tblLook w:val="04A0" w:firstRow="1" w:lastRow="0" w:firstColumn="1" w:lastColumn="0" w:noHBand="0" w:noVBand="1"/>
      </w:tblPr>
      <w:tblGrid>
        <w:gridCol w:w="3384"/>
        <w:gridCol w:w="6696"/>
      </w:tblGrid>
      <w:tr w:rsidR="00504026" w:rsidRPr="0029320A" w14:paraId="04BF4C1C" w14:textId="77777777">
        <w:trPr>
          <w:jc w:val="center"/>
        </w:trPr>
        <w:tc>
          <w:tcPr>
            <w:tcW w:w="3384" w:type="dxa"/>
            <w:shd w:val="clear" w:color="auto" w:fill="D9EAF7"/>
            <w:tcMar>
              <w:top w:w="70" w:type="dxa"/>
              <w:left w:w="80" w:type="dxa"/>
              <w:bottom w:w="70" w:type="dxa"/>
              <w:right w:w="80" w:type="dxa"/>
            </w:tcMar>
            <w:vAlign w:val="center"/>
          </w:tcPr>
          <w:p w14:paraId="33D91E0D"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b/>
                <w:color w:val="1F4E79"/>
                <w:sz w:val="18"/>
                <w:szCs w:val="24"/>
              </w:rPr>
              <w:t>Team member / role</w:t>
            </w:r>
          </w:p>
        </w:tc>
        <w:tc>
          <w:tcPr>
            <w:tcW w:w="6696" w:type="dxa"/>
            <w:shd w:val="clear" w:color="auto" w:fill="D9EAF7"/>
            <w:tcMar>
              <w:top w:w="70" w:type="dxa"/>
              <w:left w:w="80" w:type="dxa"/>
              <w:bottom w:w="70" w:type="dxa"/>
              <w:right w:w="80" w:type="dxa"/>
            </w:tcMar>
            <w:vAlign w:val="center"/>
          </w:tcPr>
          <w:p w14:paraId="2B62B4D0"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b/>
                <w:color w:val="1F4E79"/>
                <w:sz w:val="18"/>
                <w:szCs w:val="24"/>
              </w:rPr>
              <w:t>How the scenario design is used</w:t>
            </w:r>
          </w:p>
        </w:tc>
      </w:tr>
      <w:tr w:rsidR="00504026" w:rsidRPr="0029320A" w14:paraId="22994355" w14:textId="77777777">
        <w:trPr>
          <w:jc w:val="center"/>
        </w:trPr>
        <w:tc>
          <w:tcPr>
            <w:tcW w:w="3384" w:type="dxa"/>
            <w:tcMar>
              <w:top w:w="70" w:type="dxa"/>
              <w:left w:w="80" w:type="dxa"/>
              <w:bottom w:w="70" w:type="dxa"/>
              <w:right w:w="80" w:type="dxa"/>
            </w:tcMar>
            <w:vAlign w:val="center"/>
          </w:tcPr>
          <w:p w14:paraId="39D778A8"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Trần Hữu Dụ — Coordinator / Mechanism Designer</w:t>
            </w:r>
          </w:p>
        </w:tc>
        <w:tc>
          <w:tcPr>
            <w:tcW w:w="6696" w:type="dxa"/>
            <w:tcMar>
              <w:top w:w="70" w:type="dxa"/>
              <w:left w:w="80" w:type="dxa"/>
              <w:bottom w:w="70" w:type="dxa"/>
              <w:right w:w="80" w:type="dxa"/>
            </w:tcMar>
            <w:vAlign w:val="center"/>
          </w:tcPr>
          <w:p w14:paraId="1A3C9E80"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Provides the system workflow, financial formulas, margin rules, target definitions and supported mechanics on which scenario paths are built.</w:t>
            </w:r>
          </w:p>
        </w:tc>
      </w:tr>
      <w:tr w:rsidR="00504026" w:rsidRPr="0029320A" w14:paraId="01F986FE" w14:textId="77777777">
        <w:trPr>
          <w:jc w:val="center"/>
        </w:trPr>
        <w:tc>
          <w:tcPr>
            <w:tcW w:w="3384" w:type="dxa"/>
            <w:tcMar>
              <w:top w:w="70" w:type="dxa"/>
              <w:left w:w="80" w:type="dxa"/>
              <w:bottom w:w="70" w:type="dxa"/>
              <w:right w:w="80" w:type="dxa"/>
            </w:tcMar>
            <w:vAlign w:val="center"/>
          </w:tcPr>
          <w:p w14:paraId="6CB8DB82"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Nguyễn Hồng Nguyên — Data Gatherer / Calibration</w:t>
            </w:r>
          </w:p>
        </w:tc>
        <w:tc>
          <w:tcPr>
            <w:tcW w:w="6696" w:type="dxa"/>
            <w:tcMar>
              <w:top w:w="70" w:type="dxa"/>
              <w:left w:w="80" w:type="dxa"/>
              <w:bottom w:w="70" w:type="dxa"/>
              <w:right w:w="80" w:type="dxa"/>
            </w:tcMar>
            <w:vAlign w:val="center"/>
          </w:tcPr>
          <w:p w14:paraId="0AC9FCF2"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Provides the deterministic market datasets and asset-price paths that the phase structure and news context are designed around.</w:t>
            </w:r>
          </w:p>
        </w:tc>
      </w:tr>
      <w:tr w:rsidR="00504026" w:rsidRPr="0029320A" w14:paraId="686E0D49" w14:textId="77777777">
        <w:trPr>
          <w:jc w:val="center"/>
        </w:trPr>
        <w:tc>
          <w:tcPr>
            <w:tcW w:w="3384" w:type="dxa"/>
            <w:tcMar>
              <w:top w:w="70" w:type="dxa"/>
              <w:left w:w="80" w:type="dxa"/>
              <w:bottom w:w="70" w:type="dxa"/>
              <w:right w:w="80" w:type="dxa"/>
            </w:tcMar>
            <w:vAlign w:val="center"/>
          </w:tcPr>
          <w:p w14:paraId="5CBC5ECA"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Nguyễn Quang Minh — Technical Developer / Engine Architect</w:t>
            </w:r>
          </w:p>
        </w:tc>
        <w:tc>
          <w:tcPr>
            <w:tcW w:w="6696" w:type="dxa"/>
            <w:tcMar>
              <w:top w:w="70" w:type="dxa"/>
              <w:left w:w="80" w:type="dxa"/>
              <w:bottom w:w="70" w:type="dxa"/>
              <w:right w:w="80" w:type="dxa"/>
            </w:tcMar>
            <w:vAlign w:val="center"/>
          </w:tcPr>
          <w:p w14:paraId="418D6525"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Implements the financial state changes and decision mechanics that the scenario paths describe.</w:t>
            </w:r>
          </w:p>
        </w:tc>
      </w:tr>
      <w:tr w:rsidR="00504026" w:rsidRPr="0029320A" w14:paraId="134E52AD" w14:textId="77777777">
        <w:trPr>
          <w:jc w:val="center"/>
        </w:trPr>
        <w:tc>
          <w:tcPr>
            <w:tcW w:w="3384" w:type="dxa"/>
            <w:tcMar>
              <w:top w:w="70" w:type="dxa"/>
              <w:left w:w="80" w:type="dxa"/>
              <w:bottom w:w="70" w:type="dxa"/>
              <w:right w:w="80" w:type="dxa"/>
            </w:tcMar>
            <w:vAlign w:val="center"/>
          </w:tcPr>
          <w:p w14:paraId="6100A958"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Triệu Đức Lương — UI/UX and Frontend Designer</w:t>
            </w:r>
          </w:p>
        </w:tc>
        <w:tc>
          <w:tcPr>
            <w:tcW w:w="6696" w:type="dxa"/>
            <w:tcMar>
              <w:top w:w="70" w:type="dxa"/>
              <w:left w:w="80" w:type="dxa"/>
              <w:bottom w:w="70" w:type="dxa"/>
              <w:right w:w="80" w:type="dxa"/>
            </w:tcMar>
            <w:vAlign w:val="center"/>
          </w:tcPr>
          <w:p w14:paraId="716D9086"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sz w:val="18"/>
                <w:szCs w:val="24"/>
              </w:rPr>
              <w:t>Presents market information, player actions, portfolio metrics and risk feedback through the player interface.</w:t>
            </w:r>
          </w:p>
        </w:tc>
      </w:tr>
    </w:tbl>
    <w:p w14:paraId="3EC68333" w14:textId="77777777" w:rsidR="00504026" w:rsidRPr="0029320A" w:rsidRDefault="00504026">
      <w:pPr>
        <w:spacing w:after="0"/>
        <w:rPr>
          <w:rFonts w:asciiTheme="majorHAnsi" w:hAnsiTheme="majorHAnsi" w:cstheme="majorHAnsi"/>
        </w:rPr>
      </w:pPr>
    </w:p>
    <w:p w14:paraId="60A418E3" w14:textId="77777777" w:rsidR="00504026" w:rsidRPr="0029320A" w:rsidRDefault="00000000">
      <w:pPr>
        <w:rPr>
          <w:rFonts w:asciiTheme="majorHAnsi" w:hAnsiTheme="majorHAnsi" w:cstheme="majorHAnsi"/>
          <w:sz w:val="22"/>
          <w:szCs w:val="24"/>
        </w:rPr>
      </w:pPr>
      <w:r w:rsidRPr="0029320A">
        <w:rPr>
          <w:rFonts w:asciiTheme="majorHAnsi" w:hAnsiTheme="majorHAnsi" w:cstheme="majorHAnsi"/>
          <w:sz w:val="22"/>
          <w:szCs w:val="24"/>
        </w:rPr>
        <w:t>My contribution is the player-facing scenario layer: it links the project’s market data, system rules and interface actions into an understandable sequence of information, decisions and consequences. It does not replace the financial engine, dataset calibration or interface implementation owned by other roles.</w:t>
      </w:r>
    </w:p>
    <w:p w14:paraId="125BA2BF" w14:textId="77777777" w:rsidR="00504026" w:rsidRPr="0029320A" w:rsidRDefault="00000000">
      <w:pPr>
        <w:pStyle w:val="Heading1"/>
        <w:rPr>
          <w:rFonts w:cstheme="majorHAnsi"/>
        </w:rPr>
      </w:pPr>
      <w:r w:rsidRPr="0029320A">
        <w:rPr>
          <w:rFonts w:cstheme="majorHAnsi"/>
        </w:rPr>
        <w:t>5. Integration, Testing and Revision Evidence</w:t>
      </w:r>
    </w:p>
    <w:p w14:paraId="607F2A8A" w14:textId="77777777" w:rsidR="00504026" w:rsidRPr="0029320A" w:rsidRDefault="00000000">
      <w:pPr>
        <w:pStyle w:val="ListBullet"/>
        <w:spacing w:after="40"/>
        <w:rPr>
          <w:rFonts w:asciiTheme="majorHAnsi" w:hAnsiTheme="majorHAnsi" w:cstheme="majorHAnsi"/>
          <w:sz w:val="22"/>
          <w:szCs w:val="28"/>
        </w:rPr>
      </w:pPr>
      <w:r w:rsidRPr="0029320A">
        <w:rPr>
          <w:rFonts w:asciiTheme="majorHAnsi" w:hAnsiTheme="majorHAnsi" w:cstheme="majorHAnsi"/>
          <w:sz w:val="22"/>
          <w:szCs w:val="28"/>
        </w:rPr>
        <w:t>Input alignment: scenario decisions use the documented inputs orders, margin_tier, target_house_type and bank_savings rather than introducing unsupported mechanics.</w:t>
      </w:r>
    </w:p>
    <w:p w14:paraId="098FCFF8" w14:textId="77777777" w:rsidR="00504026" w:rsidRPr="0029320A" w:rsidRDefault="00000000">
      <w:pPr>
        <w:pStyle w:val="ListBullet"/>
        <w:spacing w:after="40"/>
        <w:rPr>
          <w:rFonts w:asciiTheme="majorHAnsi" w:hAnsiTheme="majorHAnsi" w:cstheme="majorHAnsi"/>
          <w:sz w:val="22"/>
          <w:szCs w:val="28"/>
        </w:rPr>
      </w:pPr>
      <w:r w:rsidRPr="0029320A">
        <w:rPr>
          <w:rFonts w:asciiTheme="majorHAnsi" w:hAnsiTheme="majorHAnsi" w:cstheme="majorHAnsi"/>
          <w:sz w:val="22"/>
          <w:szCs w:val="28"/>
        </w:rPr>
        <w:t>Workflow alignment: scenario paths follow the Phase 1 system flow designed by Trần Hữu Dụ and implemented through the engine workflow.</w:t>
      </w:r>
    </w:p>
    <w:p w14:paraId="6D2A1CC8" w14:textId="77777777" w:rsidR="00504026" w:rsidRPr="0029320A" w:rsidRDefault="00000000">
      <w:pPr>
        <w:pStyle w:val="ListBullet"/>
        <w:spacing w:after="40"/>
        <w:rPr>
          <w:rFonts w:asciiTheme="majorHAnsi" w:hAnsiTheme="majorHAnsi" w:cstheme="majorHAnsi"/>
          <w:sz w:val="22"/>
          <w:szCs w:val="28"/>
        </w:rPr>
      </w:pPr>
      <w:r w:rsidRPr="0029320A">
        <w:rPr>
          <w:rFonts w:asciiTheme="majorHAnsi" w:hAnsiTheme="majorHAnsi" w:cstheme="majorHAnsi"/>
          <w:sz w:val="22"/>
          <w:szCs w:val="28"/>
        </w:rPr>
        <w:t>Decision coverage: the documented paths include valid continuation, alternative portfolio choices, rejected or invalid actions, margin breach, forced liquidation and Game Over.</w:t>
      </w:r>
    </w:p>
    <w:p w14:paraId="039F0DA3" w14:textId="77777777" w:rsidR="00504026" w:rsidRPr="0029320A" w:rsidRDefault="00000000">
      <w:pPr>
        <w:pStyle w:val="ListBullet"/>
        <w:spacing w:after="40"/>
        <w:rPr>
          <w:rFonts w:asciiTheme="majorHAnsi" w:hAnsiTheme="majorHAnsi" w:cstheme="majorHAnsi"/>
          <w:sz w:val="22"/>
          <w:szCs w:val="28"/>
        </w:rPr>
      </w:pPr>
      <w:r w:rsidRPr="0029320A">
        <w:rPr>
          <w:rFonts w:asciiTheme="majorHAnsi" w:hAnsiTheme="majorHAnsi" w:cstheme="majorHAnsi"/>
          <w:sz w:val="22"/>
          <w:szCs w:val="28"/>
        </w:rPr>
        <w:t>Data alignment: the six phases follow the documented deterministic market lifecycle; the Section 3.3 summarises five asset-specific news drivers for each of the two supplied scenario-news files.</w:t>
      </w:r>
    </w:p>
    <w:p w14:paraId="07DAC5C3" w14:textId="77777777" w:rsidR="00504026" w:rsidRPr="0029320A" w:rsidRDefault="00000000">
      <w:pPr>
        <w:pStyle w:val="ListBullet"/>
        <w:spacing w:after="40"/>
        <w:rPr>
          <w:rFonts w:asciiTheme="majorHAnsi" w:hAnsiTheme="majorHAnsi" w:cstheme="majorHAnsi"/>
          <w:sz w:val="22"/>
          <w:szCs w:val="28"/>
        </w:rPr>
      </w:pPr>
      <w:r w:rsidRPr="0029320A">
        <w:rPr>
          <w:rFonts w:asciiTheme="majorHAnsi" w:hAnsiTheme="majorHAnsi" w:cstheme="majorHAnsi"/>
          <w:sz w:val="22"/>
          <w:szCs w:val="28"/>
        </w:rPr>
        <w:t>Evidence location: docs/user_flow.md §5–7, QUANG_KHANH_CONTRIBUTION.md, cap-phan-quang-khanh.md, contribution_map.md, Scenario1 news.md and Scenario2 news.md.</w:t>
      </w:r>
    </w:p>
    <w:p w14:paraId="6EE18F5F" w14:textId="77777777" w:rsidR="00504026" w:rsidRPr="0029320A" w:rsidRDefault="00000000">
      <w:pPr>
        <w:rPr>
          <w:rFonts w:asciiTheme="majorHAnsi" w:hAnsiTheme="majorHAnsi" w:cstheme="majorHAnsi"/>
          <w:sz w:val="22"/>
          <w:szCs w:val="28"/>
        </w:rPr>
      </w:pPr>
      <w:r>
        <w:t>The available contribution evidence describes the scenario content and its alignment with existing project documentation. It does not establish that every possible scenario branch has been independently tested end-to-end; no claim of a complete end-to-end test suite is made here.</w:t>
      </w:r>
    </w:p>
    <w:p w14:paraId="5E461EEE" w14:textId="77777777" w:rsidR="00504026" w:rsidRPr="0029320A" w:rsidRDefault="00000000">
      <w:pPr>
        <w:pStyle w:val="Heading1"/>
        <w:rPr>
          <w:rFonts w:cstheme="majorHAnsi"/>
        </w:rPr>
      </w:pPr>
      <w:r w:rsidRPr="0029320A">
        <w:rPr>
          <w:rFonts w:cstheme="majorHAnsi"/>
        </w:rPr>
        <w:t>6. Individual Footprint Self-Check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4"/>
        <w:gridCol w:w="6696"/>
      </w:tblGrid>
      <w:tr w:rsidR="00504026" w:rsidRPr="0029320A" w14:paraId="76285EA4" w14:textId="77777777" w:rsidTr="00EF0C0F">
        <w:trPr>
          <w:jc w:val="center"/>
        </w:trPr>
        <w:tc>
          <w:tcPr>
            <w:tcW w:w="3384" w:type="dxa"/>
            <w:shd w:val="clear" w:color="auto" w:fill="D9EAF7"/>
            <w:tcMar>
              <w:top w:w="70" w:type="dxa"/>
              <w:left w:w="80" w:type="dxa"/>
              <w:bottom w:w="70" w:type="dxa"/>
              <w:right w:w="80" w:type="dxa"/>
            </w:tcMar>
            <w:vAlign w:val="center"/>
          </w:tcPr>
          <w:p w14:paraId="431D6E32"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b/>
                <w:color w:val="1F4E79"/>
                <w:sz w:val="18"/>
                <w:szCs w:val="24"/>
              </w:rPr>
              <w:t>Question</w:t>
            </w:r>
          </w:p>
        </w:tc>
        <w:tc>
          <w:tcPr>
            <w:tcW w:w="6696" w:type="dxa"/>
            <w:shd w:val="clear" w:color="auto" w:fill="D9EAF7"/>
            <w:tcMar>
              <w:top w:w="70" w:type="dxa"/>
              <w:left w:w="80" w:type="dxa"/>
              <w:bottom w:w="70" w:type="dxa"/>
              <w:right w:w="80" w:type="dxa"/>
            </w:tcMar>
            <w:vAlign w:val="center"/>
          </w:tcPr>
          <w:p w14:paraId="5B1956EB"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b/>
                <w:color w:val="1F4E79"/>
                <w:sz w:val="18"/>
                <w:szCs w:val="24"/>
              </w:rPr>
              <w:t>Answer</w:t>
            </w:r>
          </w:p>
        </w:tc>
      </w:tr>
      <w:tr w:rsidR="00504026" w:rsidRPr="0029320A" w14:paraId="1BC3816D" w14:textId="77777777" w:rsidTr="00EF0C0F">
        <w:trPr>
          <w:jc w:val="center"/>
        </w:trPr>
        <w:tc>
          <w:tcPr>
            <w:tcW w:w="3384" w:type="dxa"/>
            <w:tcMar>
              <w:top w:w="70" w:type="dxa"/>
              <w:left w:w="80" w:type="dxa"/>
              <w:bottom w:w="70" w:type="dxa"/>
              <w:right w:w="80" w:type="dxa"/>
            </w:tcMar>
            <w:vAlign w:val="center"/>
          </w:tcPr>
          <w:p>
            <w:r>
              <w:t>1. My main responsibility</w:t>
            </w:r>
          </w:p>
        </w:tc>
        <w:tc>
          <w:tcPr>
            <w:tcW w:w="6696" w:type="dxa"/>
            <w:tcMar>
              <w:top w:w="70" w:type="dxa"/>
              <w:left w:w="80" w:type="dxa"/>
              <w:bottom w:w="70" w:type="dxa"/>
              <w:right w:w="80" w:type="dxa"/>
            </w:tcMar>
            <w:vAlign w:val="center"/>
          </w:tcPr>
          <w:p>
            <w:r>
              <w:t>Designing player-facing scenarios and news content for Scenario 1 and Scenario 2 across six phases, including scenario-related decision paths.</w:t>
            </w:r>
          </w:p>
        </w:tc>
      </w:tr>
      <w:tr w:rsidR="00504026" w:rsidRPr="0029320A" w14:paraId="2FDF4457" w14:textId="77777777" w:rsidTr="00EF0C0F">
        <w:trPr>
          <w:jc w:val="center"/>
        </w:trPr>
        <w:tc>
          <w:tcPr>
            <w:tcW w:w="3384" w:type="dxa"/>
            <w:tcMar>
              <w:top w:w="70" w:type="dxa"/>
              <w:left w:w="80" w:type="dxa"/>
              <w:bottom w:w="70" w:type="dxa"/>
              <w:right w:w="80" w:type="dxa"/>
            </w:tcMar>
            <w:vAlign w:val="center"/>
          </w:tcPr>
          <w:p>
            <w:r>
              <w:t>2. My most important outputs</w:t>
            </w:r>
          </w:p>
        </w:tc>
        <w:tc>
          <w:tcPr>
            <w:tcW w:w="6696" w:type="dxa"/>
            <w:tcMar>
              <w:top w:w="70" w:type="dxa"/>
              <w:left w:w="80" w:type="dxa"/>
              <w:bottom w:w="70" w:type="dxa"/>
              <w:right w:w="80" w:type="dxa"/>
            </w:tcMar>
            <w:vAlign w:val="center"/>
          </w:tcPr>
          <w:p>
            <w:r>
              <w:t>Two scenario news documents; six-phase narrative progression; scenario tree and user-flow paths; player-action mapping using existing inputs.</w:t>
            </w:r>
          </w:p>
        </w:tc>
      </w:tr>
      <w:tr w:rsidR="00504026" w:rsidRPr="0029320A" w14:paraId="7F859BF9" w14:textId="77777777" w:rsidTr="00EF0C0F">
        <w:trPr>
          <w:jc w:val="center"/>
        </w:trPr>
        <w:tc>
          <w:tcPr>
            <w:tcW w:w="3384" w:type="dxa"/>
            <w:tcMar>
              <w:top w:w="70" w:type="dxa"/>
              <w:left w:w="80" w:type="dxa"/>
              <w:bottom w:w="70" w:type="dxa"/>
              <w:right w:w="80" w:type="dxa"/>
            </w:tcMar>
            <w:vAlign w:val="center"/>
          </w:tcPr>
          <w:p>
            <w:r>
              <w:t>3. Where the evidence is located</w:t>
            </w:r>
          </w:p>
        </w:tc>
        <w:tc>
          <w:tcPr>
            <w:tcW w:w="6696" w:type="dxa"/>
            <w:tcMar>
              <w:top w:w="70" w:type="dxa"/>
              <w:left w:w="80" w:type="dxa"/>
              <w:bottom w:w="70" w:type="dxa"/>
              <w:right w:w="80" w:type="dxa"/>
            </w:tcMar>
            <w:vAlign w:val="center"/>
          </w:tcPr>
          <w:p>
            <w:r>
              <w:t>docs/Scenario1 news.md; docs/Scenario2 news.md; Week 3/INPUT_DICTIONARY.md; SOLUTION_STRUCTURE.md; docs/user_flow.md; Market_Dataset.md.</w:t>
            </w:r>
          </w:p>
        </w:tc>
      </w:tr>
      <w:tr w:rsidR="00504026" w:rsidRPr="0029320A" w14:paraId="13E57F72" w14:textId="77777777" w:rsidTr="00EF0C0F">
        <w:trPr>
          <w:jc w:val="center"/>
        </w:trPr>
        <w:tc>
          <w:tcPr>
            <w:tcW w:w="3384" w:type="dxa"/>
            <w:tcMar>
              <w:top w:w="70" w:type="dxa"/>
              <w:left w:w="80" w:type="dxa"/>
              <w:bottom w:w="70" w:type="dxa"/>
              <w:right w:w="80" w:type="dxa"/>
            </w:tcMar>
            <w:vAlign w:val="center"/>
          </w:tcPr>
          <w:p>
            <w:r>
              <w:t>4. How my output supports the group product</w:t>
            </w:r>
          </w:p>
        </w:tc>
        <w:tc>
          <w:tcPr>
            <w:tcW w:w="6696" w:type="dxa"/>
            <w:tcMar>
              <w:top w:w="70" w:type="dxa"/>
              <w:left w:w="80" w:type="dxa"/>
              <w:bottom w:w="70" w:type="dxa"/>
              <w:right w:w="80" w:type="dxa"/>
            </w:tcMar>
            <w:vAlign w:val="center"/>
          </w:tcPr>
          <w:p>
            <w:r>
              <w:t>Turns existing market scenarios into player-facing narratives and connects news to available decisions and behavioral learning about FOMO, leverage, liquidity and market declines.</w:t>
            </w:r>
          </w:p>
        </w:tc>
      </w:tr>
      <w:tr w:rsidR="00504026" w:rsidRPr="0029320A" w14:paraId="7CC92BDA" w14:textId="77777777" w:rsidTr="00EF0C0F">
        <w:trPr>
          <w:jc w:val="center"/>
        </w:trPr>
        <w:tc>
          <w:tcPr>
            <w:tcW w:w="3384" w:type="dxa"/>
            <w:tcMar>
              <w:top w:w="70" w:type="dxa"/>
              <w:left w:w="80" w:type="dxa"/>
              <w:bottom w:w="70" w:type="dxa"/>
              <w:right w:w="80" w:type="dxa"/>
            </w:tcMar>
            <w:vAlign w:val="center"/>
          </w:tcPr>
          <w:p>
            <w:r>
              <w:t>5. What I will improve next</w:t>
            </w:r>
          </w:p>
        </w:tc>
        <w:tc>
          <w:tcPr>
            <w:tcW w:w="6696" w:type="dxa"/>
            <w:tcMar>
              <w:top w:w="70" w:type="dxa"/>
              <w:left w:w="80" w:type="dxa"/>
              <w:bottom w:w="70" w:type="dxa"/>
              <w:right w:w="80" w:type="dxa"/>
            </w:tcMar>
            <w:vAlign w:val="center"/>
          </w:tcPr>
          <w:p>
            <w:r>
              <w:t>Continue refining both scenarios’ news across all six phases; check consistency with predetermined price paths; differentiate asset-specific and market-wide news; strengthen links between news and player decisions.</w:t>
            </w:r>
          </w:p>
        </w:tc>
      </w:tr>
    </w:tbl>
    <w:p w14:paraId="4CA4466D" w14:textId="77777777" w:rsidR="00504026" w:rsidRPr="0029320A" w:rsidRDefault="00504026">
      <w:pPr>
        <w:spacing w:after="0"/>
        <w:rPr>
          <w:rFonts w:asciiTheme="majorHAnsi" w:hAnsiTheme="majorHAnsi" w:cstheme="majorHAnsi"/>
        </w:rPr>
      </w:pPr>
    </w:p>
    <w:p w14:paraId="552EA3BB" w14:textId="77777777" w:rsidR="00504026" w:rsidRPr="0029320A" w:rsidRDefault="00000000">
      <w:pPr>
        <w:pStyle w:val="Heading1"/>
        <w:rPr>
          <w:rFonts w:cstheme="majorHAnsi"/>
        </w:rPr>
      </w:pPr>
      <w:r w:rsidRPr="0029320A">
        <w:rPr>
          <w:rFonts w:cstheme="majorHAnsi"/>
        </w:rPr>
        <w:t>7. Limitations and Open Items</w:t>
      </w:r>
    </w:p>
    <w:p w14:paraId="794C187E" w14:textId="77777777" w:rsidR="00504026" w:rsidRPr="0029320A" w:rsidRDefault="00000000">
      <w:pPr>
        <w:rPr>
          <w:rFonts w:asciiTheme="majorHAnsi" w:hAnsiTheme="majorHAnsi" w:cstheme="majorHAnsi"/>
          <w:sz w:val="22"/>
          <w:szCs w:val="28"/>
        </w:rPr>
      </w:pPr>
      <w:r>
        <w:t>The updated contribution evidence identifies the following ongoing improvements in my area:</w:t>
      </w:r>
    </w:p>
    <w:p w14:paraId="03701FE6" w14:textId="77777777" w:rsidR="00504026" w:rsidRPr="0029320A" w:rsidRDefault="00000000">
      <w:pPr>
        <w:pStyle w:val="ListBullet"/>
        <w:spacing w:after="40"/>
        <w:rPr>
          <w:rFonts w:asciiTheme="majorHAnsi" w:hAnsiTheme="majorHAnsi" w:cstheme="majorHAnsi"/>
          <w:sz w:val="22"/>
          <w:szCs w:val="28"/>
        </w:rPr>
      </w:pPr>
      <w:r>
        <w:t>Further refinement of scenario news across all six phases, stronger differentiation between asset-specific and broader market news, and more explicit links between phase-specific information and relevant player decisions remain useful next steps.</w:t>
      </w:r>
    </w:p>
    <w:p w14:paraId="7F847213" w14:textId="77777777" w:rsidR="00504026" w:rsidRPr="0029320A" w:rsidRDefault="00000000">
      <w:pPr>
        <w:pStyle w:val="ListBullet"/>
        <w:spacing w:after="40"/>
        <w:rPr>
          <w:rFonts w:asciiTheme="majorHAnsi" w:hAnsiTheme="majorHAnsi" w:cstheme="majorHAnsi"/>
          <w:sz w:val="22"/>
          <w:szCs w:val="28"/>
        </w:rPr>
      </w:pPr>
      <w:r>
        <w:t>The scenario descriptions should continue to be checked against the relevant scenario conditions and predetermined price paths. The available documents describe alignment with the Input Dictionary and Solution Structure but do not supply a separate end-to-end test record for every scenario branch.</w:t>
      </w:r>
    </w:p>
    <w:p w14:paraId="17193399" w14:textId="77777777" w:rsidR="00504026" w:rsidRPr="0029320A" w:rsidRDefault="00000000">
      <w:pPr>
        <w:pStyle w:val="ListBullet"/>
        <w:spacing w:after="40"/>
        <w:rPr>
          <w:rFonts w:asciiTheme="majorHAnsi" w:hAnsiTheme="majorHAnsi" w:cstheme="majorHAnsi"/>
          <w:sz w:val="22"/>
          <w:szCs w:val="28"/>
        </w:rPr>
      </w:pPr>
      <w:r>
        <w:t>The project’s interface and engine implementation evidence should be distinguished from scenario-design evidence, because my responsibility focuses on the content layer rather than implementation of the underlying financial rules.</w:t>
      </w:r>
    </w:p>
    <w:p w14:paraId="3CDD2F40" w14:textId="77777777" w:rsidR="00504026" w:rsidRPr="0029320A" w:rsidRDefault="00000000">
      <w:pPr>
        <w:rPr>
          <w:rFonts w:asciiTheme="majorHAnsi" w:hAnsiTheme="majorHAnsi" w:cstheme="majorHAnsi"/>
          <w:sz w:val="22"/>
          <w:szCs w:val="28"/>
        </w:rPr>
      </w:pPr>
      <w:r w:rsidRPr="0029320A">
        <w:rPr>
          <w:rFonts w:asciiTheme="majorHAnsi" w:hAnsiTheme="majorHAnsi" w:cstheme="majorHAnsi"/>
          <w:sz w:val="22"/>
          <w:szCs w:val="28"/>
        </w:rPr>
        <w:t>These limitations are stated to distinguish completed deliverables from planned next steps and to avoid overstating the scope of the contribution.</w:t>
      </w:r>
    </w:p>
    <w:p w14:paraId="0C6A8CB6" w14:textId="77777777" w:rsidR="00504026" w:rsidRPr="0029320A" w:rsidRDefault="00000000">
      <w:pPr>
        <w:pStyle w:val="Heading1"/>
        <w:rPr>
          <w:rFonts w:cstheme="majorHAnsi"/>
        </w:rPr>
      </w:pPr>
      <w:r w:rsidRPr="0029320A">
        <w:rPr>
          <w:rFonts w:cstheme="majorHAnsi"/>
        </w:rPr>
        <w:t>8. Evidence Index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6480"/>
      </w:tblGrid>
      <w:tr w:rsidR="00504026" w:rsidRPr="0029320A" w14:paraId="39B0CF5E" w14:textId="77777777" w:rsidTr="00EF0C0F">
        <w:trPr>
          <w:jc w:val="center"/>
        </w:trPr>
        <w:tc>
          <w:tcPr>
            <w:tcW w:w="3600" w:type="dxa"/>
            <w:shd w:val="clear" w:color="auto" w:fill="D9EAF7"/>
            <w:tcMar>
              <w:top w:w="70" w:type="dxa"/>
              <w:left w:w="80" w:type="dxa"/>
              <w:bottom w:w="70" w:type="dxa"/>
              <w:right w:w="80" w:type="dxa"/>
            </w:tcMar>
            <w:vAlign w:val="center"/>
          </w:tcPr>
          <w:p w14:paraId="6EA4C927"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b/>
                <w:color w:val="1F4E79"/>
                <w:sz w:val="18"/>
                <w:szCs w:val="24"/>
              </w:rPr>
              <w:t>File / artifact</w:t>
            </w:r>
          </w:p>
        </w:tc>
        <w:tc>
          <w:tcPr>
            <w:tcW w:w="6480" w:type="dxa"/>
            <w:shd w:val="clear" w:color="auto" w:fill="D9EAF7"/>
            <w:tcMar>
              <w:top w:w="70" w:type="dxa"/>
              <w:left w:w="80" w:type="dxa"/>
              <w:bottom w:w="70" w:type="dxa"/>
              <w:right w:w="80" w:type="dxa"/>
            </w:tcMar>
            <w:vAlign w:val="center"/>
          </w:tcPr>
          <w:p w14:paraId="42C5CF5C" w14:textId="77777777" w:rsidR="00504026" w:rsidRPr="0029320A" w:rsidRDefault="00000000">
            <w:pPr>
              <w:spacing w:after="20"/>
              <w:rPr>
                <w:rFonts w:asciiTheme="majorHAnsi" w:hAnsiTheme="majorHAnsi" w:cstheme="majorHAnsi"/>
                <w:sz w:val="18"/>
                <w:szCs w:val="24"/>
              </w:rPr>
            </w:pPr>
            <w:r w:rsidRPr="0029320A">
              <w:rPr>
                <w:rFonts w:asciiTheme="majorHAnsi" w:hAnsiTheme="majorHAnsi" w:cstheme="majorHAnsi"/>
                <w:b/>
                <w:color w:val="1F4E79"/>
                <w:sz w:val="18"/>
                <w:szCs w:val="24"/>
              </w:rPr>
              <w:t>Content used as contribution evidence</w:t>
            </w:r>
          </w:p>
        </w:tc>
      </w:tr>
      <w:tr w:rsidR="00504026" w:rsidRPr="0029320A" w14:paraId="2BD1F041" w14:textId="77777777" w:rsidTr="00EF0C0F">
        <w:trPr>
          <w:jc w:val="center"/>
        </w:trPr>
        <w:tc>
          <w:tcPr>
            <w:tcW w:w="3600" w:type="dxa"/>
            <w:tcMar>
              <w:top w:w="70" w:type="dxa"/>
              <w:left w:w="80" w:type="dxa"/>
              <w:bottom w:w="70" w:type="dxa"/>
              <w:right w:w="80" w:type="dxa"/>
            </w:tcMar>
            <w:vAlign w:val="center"/>
          </w:tcPr>
          <w:p>
            <w:r>
              <w:t>docs/user_flow.md / user_flow (1).md</w:t>
            </w:r>
          </w:p>
        </w:tc>
        <w:tc>
          <w:tcPr>
            <w:tcW w:w="6480" w:type="dxa"/>
            <w:tcMar>
              <w:top w:w="70" w:type="dxa"/>
              <w:left w:w="80" w:type="dxa"/>
              <w:bottom w:w="70" w:type="dxa"/>
              <w:right w:w="80" w:type="dxa"/>
            </w:tcMar>
            <w:vAlign w:val="center"/>
          </w:tcPr>
          <w:p>
            <w:r>
              <w:t>Scenario paths, decision paths and possible player outcomes.</w:t>
            </w:r>
          </w:p>
        </w:tc>
      </w:tr>
      <w:tr w:rsidR="00504026" w:rsidRPr="0029320A" w14:paraId="75885693" w14:textId="77777777" w:rsidTr="00EF0C0F">
        <w:trPr>
          <w:jc w:val="center"/>
        </w:trPr>
        <w:tc>
          <w:tcPr>
            <w:tcW w:w="3600" w:type="dxa"/>
            <w:tcMar>
              <w:top w:w="70" w:type="dxa"/>
              <w:left w:w="80" w:type="dxa"/>
              <w:bottom w:w="70" w:type="dxa"/>
              <w:right w:w="80" w:type="dxa"/>
            </w:tcMar>
            <w:vAlign w:val="center"/>
          </w:tcPr>
          <w:p>
            <w:r>
              <w:t>QUANG_KHANH_CONTRIBUTION.md</w:t>
            </w:r>
          </w:p>
        </w:tc>
        <w:tc>
          <w:tcPr>
            <w:tcW w:w="6480" w:type="dxa"/>
            <w:tcMar>
              <w:top w:w="70" w:type="dxa"/>
              <w:left w:w="80" w:type="dxa"/>
              <w:bottom w:w="70" w:type="dxa"/>
              <w:right w:w="80" w:type="dxa"/>
            </w:tcMar>
            <w:vAlign w:val="center"/>
          </w:tcPr>
          <w:p>
            <w:r>
              <w:t>Detailed individual contribution evidence, role and scenario-design responsibilities.</w:t>
            </w:r>
          </w:p>
        </w:tc>
      </w:tr>
      <w:tr w:rsidR="00504026" w:rsidRPr="0029320A" w14:paraId="47D23FA7" w14:textId="77777777" w:rsidTr="00EF0C0F">
        <w:trPr>
          <w:jc w:val="center"/>
        </w:trPr>
        <w:tc>
          <w:tcPr>
            <w:tcW w:w="3600" w:type="dxa"/>
            <w:tcMar>
              <w:top w:w="70" w:type="dxa"/>
              <w:left w:w="80" w:type="dxa"/>
              <w:bottom w:w="70" w:type="dxa"/>
              <w:right w:w="80" w:type="dxa"/>
            </w:tcMar>
            <w:vAlign w:val="center"/>
          </w:tcPr>
          <w:p>
            <w:r>
              <w:t>cap-phan-quang-khanh.md; contribution_map.md</w:t>
            </w:r>
          </w:p>
        </w:tc>
        <w:tc>
          <w:tcPr>
            <w:tcW w:w="6480" w:type="dxa"/>
            <w:tcMar>
              <w:top w:w="70" w:type="dxa"/>
              <w:left w:w="80" w:type="dxa"/>
              <w:bottom w:w="70" w:type="dxa"/>
              <w:right w:w="80" w:type="dxa"/>
            </w:tcMar>
            <w:vAlign w:val="center"/>
          </w:tcPr>
          <w:p>
            <w:r>
              <w:t>Individual footprint, role mapping and integration context.</w:t>
            </w:r>
          </w:p>
        </w:tc>
      </w:tr>
      <w:tr w:rsidR="00504026" w:rsidRPr="0029320A" w14:paraId="64E3FC4A" w14:textId="77777777" w:rsidTr="00EF0C0F">
        <w:trPr>
          <w:jc w:val="center"/>
        </w:trPr>
        <w:tc>
          <w:tcPr>
            <w:tcW w:w="3600" w:type="dxa"/>
            <w:tcMar>
              <w:top w:w="70" w:type="dxa"/>
              <w:left w:w="80" w:type="dxa"/>
              <w:bottom w:w="70" w:type="dxa"/>
              <w:right w:w="80" w:type="dxa"/>
            </w:tcMar>
            <w:vAlign w:val="center"/>
          </w:tcPr>
          <w:p>
            <w:r>
              <w:t>Scenario 1 news.md</w:t>
            </w:r>
          </w:p>
        </w:tc>
        <w:tc>
          <w:tcPr>
            <w:tcW w:w="6480" w:type="dxa"/>
            <w:tcMar>
              <w:top w:w="70" w:type="dxa"/>
              <w:left w:w="80" w:type="dxa"/>
              <w:bottom w:w="70" w:type="dxa"/>
              <w:right w:w="80" w:type="dxa"/>
            </w:tcMar>
            <w:vAlign w:val="center"/>
          </w:tcPr>
          <w:p>
            <w:r>
              <w:t>Scenario 1 industry and asset-specific news across the six-phase narrative.</w:t>
            </w:r>
          </w:p>
        </w:tc>
      </w:tr>
      <w:tr w:rsidR="00504026" w:rsidRPr="0029320A" w14:paraId="4856B7CF" w14:textId="77777777" w:rsidTr="00EF0C0F">
        <w:trPr>
          <w:jc w:val="center"/>
        </w:trPr>
        <w:tc>
          <w:tcPr>
            <w:tcW w:w="3600" w:type="dxa"/>
            <w:tcMar>
              <w:top w:w="70" w:type="dxa"/>
              <w:left w:w="80" w:type="dxa"/>
              <w:bottom w:w="70" w:type="dxa"/>
              <w:right w:w="80" w:type="dxa"/>
            </w:tcMar>
            <w:vAlign w:val="center"/>
          </w:tcPr>
          <w:p>
            <w:r>
              <w:t>Scenario 2 news.md</w:t>
            </w:r>
          </w:p>
        </w:tc>
        <w:tc>
          <w:tcPr>
            <w:tcW w:w="6480" w:type="dxa"/>
            <w:tcMar>
              <w:top w:w="70" w:type="dxa"/>
              <w:left w:w="80" w:type="dxa"/>
              <w:bottom w:w="70" w:type="dxa"/>
              <w:right w:w="80" w:type="dxa"/>
            </w:tcMar>
            <w:vAlign w:val="center"/>
          </w:tcPr>
          <w:p>
            <w:r>
              <w:t>Scenario 2 industry and asset-specific news across the six-phase narrative.</w:t>
            </w:r>
          </w:p>
        </w:tc>
      </w:tr>
      <w:tr w:rsidR="00504026" w:rsidRPr="0029320A" w14:paraId="46F43F08" w14:textId="77777777" w:rsidTr="00EF0C0F">
        <w:trPr>
          <w:jc w:val="center"/>
        </w:trPr>
        <w:tc>
          <w:tcPr>
            <w:tcW w:w="3600" w:type="dxa"/>
            <w:tcMar>
              <w:top w:w="70" w:type="dxa"/>
              <w:left w:w="80" w:type="dxa"/>
              <w:bottom w:w="70" w:type="dxa"/>
              <w:right w:w="80" w:type="dxa"/>
            </w:tcMar>
            <w:vAlign w:val="center"/>
          </w:tcPr>
          <w:p>
            <w:r>
              <w:t>Week 3/INPUT_DICTIONARY.md; SOLUTION_STRUCTURE.md</w:t>
            </w:r>
          </w:p>
        </w:tc>
        <w:tc>
          <w:tcPr>
            <w:tcW w:w="6480" w:type="dxa"/>
            <w:tcMar>
              <w:top w:w="70" w:type="dxa"/>
              <w:left w:w="80" w:type="dxa"/>
              <w:bottom w:w="70" w:type="dxa"/>
              <w:right w:w="80" w:type="dxa"/>
            </w:tcMar>
            <w:vAlign w:val="center"/>
          </w:tcPr>
          <w:p>
            <w:r>
              <w:t>Existing inputs, player actions and scenario framework used as references.</w:t>
            </w:r>
          </w:p>
        </w:tc>
      </w:tr>
    </w:tbl>
    <w:p w14:paraId="2322E46F" w14:textId="77777777" w:rsidR="00504026" w:rsidRPr="0029320A" w:rsidRDefault="00504026">
      <w:pPr>
        <w:spacing w:after="0"/>
        <w:rPr>
          <w:rFonts w:asciiTheme="majorHAnsi" w:hAnsiTheme="majorHAnsi" w:cstheme="majorHAnsi"/>
        </w:rPr>
      </w:pPr>
    </w:p>
    <w:p w14:paraId="0CA23797" w14:textId="77777777" w:rsidR="00504026" w:rsidRPr="0029320A" w:rsidRDefault="00000000">
      <w:pPr>
        <w:pStyle w:val="Heading1"/>
        <w:rPr>
          <w:rFonts w:cstheme="majorHAnsi"/>
        </w:rPr>
      </w:pPr>
      <w:r w:rsidRPr="0029320A">
        <w:rPr>
          <w:rFonts w:cstheme="majorHAnsi"/>
        </w:rPr>
        <w:t>9. Declaration</w:t>
      </w:r>
    </w:p>
    <w:p w14:paraId="463B5759" w14:textId="77777777" w:rsidR="00504026" w:rsidRPr="006423C1" w:rsidRDefault="00000000">
      <w:pPr>
        <w:rPr>
          <w:rFonts w:asciiTheme="majorHAnsi" w:hAnsiTheme="majorHAnsi" w:cstheme="majorHAnsi"/>
          <w:sz w:val="22"/>
          <w:szCs w:val="28"/>
        </w:rPr>
      </w:pPr>
      <w:r w:rsidRPr="006423C1">
        <w:rPr>
          <w:rFonts w:asciiTheme="majorHAnsi" w:hAnsiTheme="majorHAnsi" w:cstheme="majorHAnsi"/>
          <w:sz w:val="22"/>
          <w:szCs w:val="28"/>
        </w:rPr>
        <w:t>I confirm that this report describes my individual contribution to Free Fall 2.0 based on the contribution evidence and project documents listed above.</w:t>
      </w:r>
    </w:p>
    <w:p w14:paraId="6D92D3B6" w14:textId="77777777" w:rsidR="00504026" w:rsidRPr="0029320A" w:rsidRDefault="00504026">
      <w:pPr>
        <w:rPr>
          <w:rFonts w:asciiTheme="majorHAnsi" w:hAnsiTheme="majorHAnsi" w:cstheme="maj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0"/>
        <w:gridCol w:w="5040"/>
      </w:tblGrid>
      <w:tr w:rsidR="00504026" w:rsidRPr="0029320A" w14:paraId="26054A94" w14:textId="77777777" w:rsidTr="00EF0C0F">
        <w:trPr>
          <w:jc w:val="center"/>
        </w:trPr>
        <w:tc>
          <w:tcPr>
            <w:tcW w:w="5040" w:type="dxa"/>
            <w:shd w:val="clear" w:color="auto" w:fill="D9EAF7"/>
            <w:tcMar>
              <w:top w:w="70" w:type="dxa"/>
              <w:left w:w="80" w:type="dxa"/>
              <w:bottom w:w="70" w:type="dxa"/>
              <w:right w:w="80" w:type="dxa"/>
            </w:tcMar>
            <w:vAlign w:val="center"/>
          </w:tcPr>
          <w:p w14:paraId="34D0D9EA" w14:textId="77777777" w:rsidR="00504026" w:rsidRPr="0029320A" w:rsidRDefault="00000000">
            <w:pPr>
              <w:spacing w:after="20"/>
              <w:rPr>
                <w:rFonts w:asciiTheme="majorHAnsi" w:hAnsiTheme="majorHAnsi" w:cstheme="majorHAnsi"/>
              </w:rPr>
            </w:pPr>
            <w:r w:rsidRPr="0029320A">
              <w:rPr>
                <w:rFonts w:asciiTheme="majorHAnsi" w:hAnsiTheme="majorHAnsi" w:cstheme="majorHAnsi"/>
                <w:b/>
                <w:color w:val="1F4E79"/>
                <w:sz w:val="18"/>
              </w:rPr>
              <w:t>Member signature</w:t>
            </w:r>
          </w:p>
        </w:tc>
        <w:tc>
          <w:tcPr>
            <w:tcW w:w="5040" w:type="dxa"/>
            <w:shd w:val="clear" w:color="auto" w:fill="D9EAF7"/>
            <w:tcMar>
              <w:top w:w="70" w:type="dxa"/>
              <w:left w:w="80" w:type="dxa"/>
              <w:bottom w:w="70" w:type="dxa"/>
              <w:right w:w="80" w:type="dxa"/>
            </w:tcMar>
            <w:vAlign w:val="center"/>
          </w:tcPr>
          <w:p w14:paraId="4B44B5F5" w14:textId="77777777" w:rsidR="00504026" w:rsidRPr="0029320A" w:rsidRDefault="00000000">
            <w:pPr>
              <w:spacing w:after="20"/>
              <w:rPr>
                <w:rFonts w:asciiTheme="majorHAnsi" w:hAnsiTheme="majorHAnsi" w:cstheme="majorHAnsi"/>
              </w:rPr>
            </w:pPr>
            <w:r w:rsidRPr="0029320A">
              <w:rPr>
                <w:rFonts w:asciiTheme="majorHAnsi" w:hAnsiTheme="majorHAnsi" w:cstheme="majorHAnsi"/>
                <w:b/>
                <w:color w:val="1F4E79"/>
                <w:sz w:val="18"/>
              </w:rPr>
              <w:t>Date</w:t>
            </w:r>
          </w:p>
        </w:tc>
      </w:tr>
      <w:tr w:rsidR="00504026" w:rsidRPr="0029320A" w14:paraId="11563127" w14:textId="77777777" w:rsidTr="00EF0C0F">
        <w:trPr>
          <w:jc w:val="center"/>
        </w:trPr>
        <w:tc>
          <w:tcPr>
            <w:tcW w:w="5040" w:type="dxa"/>
            <w:tcMar>
              <w:top w:w="70" w:type="dxa"/>
              <w:left w:w="80" w:type="dxa"/>
              <w:bottom w:w="70" w:type="dxa"/>
              <w:right w:w="80" w:type="dxa"/>
            </w:tcMar>
            <w:vAlign w:val="center"/>
          </w:tcPr>
          <w:p w14:paraId="294428D8" w14:textId="77777777" w:rsidR="00EF0C0F" w:rsidRPr="0029320A" w:rsidRDefault="00EF0C0F">
            <w:pPr>
              <w:spacing w:after="20"/>
              <w:rPr>
                <w:rFonts w:asciiTheme="majorHAnsi" w:hAnsiTheme="majorHAnsi" w:cstheme="majorHAnsi"/>
                <w:sz w:val="18"/>
              </w:rPr>
            </w:pPr>
          </w:p>
          <w:p w14:paraId="3E85C388" w14:textId="77777777" w:rsidR="00EF0C0F" w:rsidRPr="0029320A" w:rsidRDefault="00EF0C0F">
            <w:pPr>
              <w:spacing w:after="20"/>
              <w:rPr>
                <w:rFonts w:asciiTheme="majorHAnsi" w:hAnsiTheme="majorHAnsi" w:cstheme="majorHAnsi"/>
                <w:sz w:val="18"/>
              </w:rPr>
            </w:pPr>
          </w:p>
          <w:p w14:paraId="374CEA90" w14:textId="77777777" w:rsidR="00EF0C0F" w:rsidRPr="0029320A" w:rsidRDefault="00EF0C0F">
            <w:pPr>
              <w:spacing w:after="20"/>
              <w:rPr>
                <w:rFonts w:asciiTheme="majorHAnsi" w:hAnsiTheme="majorHAnsi" w:cstheme="majorHAnsi"/>
                <w:sz w:val="18"/>
              </w:rPr>
            </w:pPr>
          </w:p>
          <w:p w14:paraId="5C8A1FCA" w14:textId="77777777" w:rsidR="00EF0C0F" w:rsidRPr="0029320A" w:rsidRDefault="00EF0C0F">
            <w:pPr>
              <w:spacing w:after="20"/>
              <w:rPr>
                <w:rFonts w:asciiTheme="majorHAnsi" w:hAnsiTheme="majorHAnsi" w:cstheme="majorHAnsi"/>
                <w:sz w:val="18"/>
              </w:rPr>
            </w:pPr>
          </w:p>
          <w:p w14:paraId="22477B09" w14:textId="77777777" w:rsidR="00EF0C0F" w:rsidRPr="0029320A" w:rsidRDefault="00EF0C0F">
            <w:pPr>
              <w:spacing w:after="20"/>
              <w:rPr>
                <w:rFonts w:asciiTheme="majorHAnsi" w:hAnsiTheme="majorHAnsi" w:cstheme="majorHAnsi"/>
                <w:sz w:val="18"/>
              </w:rPr>
            </w:pPr>
          </w:p>
          <w:p w14:paraId="340AC9B0" w14:textId="39F25F86" w:rsidR="00504026" w:rsidRPr="0029320A" w:rsidRDefault="00000000">
            <w:pPr>
              <w:spacing w:after="20"/>
              <w:rPr>
                <w:rFonts w:asciiTheme="majorHAnsi" w:hAnsiTheme="majorHAnsi" w:cstheme="majorHAnsi"/>
              </w:rPr>
            </w:pPr>
            <w:r w:rsidRPr="0029320A">
              <w:rPr>
                <w:rFonts w:asciiTheme="majorHAnsi" w:hAnsiTheme="majorHAnsi" w:cstheme="majorHAnsi"/>
                <w:sz w:val="18"/>
              </w:rPr>
              <w:t>Cáp Phan Quang Khánh (2412380020)</w:t>
            </w:r>
          </w:p>
        </w:tc>
        <w:tc>
          <w:tcPr>
            <w:tcW w:w="5040" w:type="dxa"/>
            <w:tcMar>
              <w:top w:w="70" w:type="dxa"/>
              <w:left w:w="80" w:type="dxa"/>
              <w:bottom w:w="70" w:type="dxa"/>
              <w:right w:w="80" w:type="dxa"/>
            </w:tcMar>
            <w:vAlign w:val="center"/>
          </w:tcPr>
          <w:p w14:paraId="7EE56769" w14:textId="77777777" w:rsidR="00EF0C0F" w:rsidRPr="0029320A" w:rsidRDefault="00EF0C0F">
            <w:pPr>
              <w:spacing w:after="20"/>
              <w:rPr>
                <w:rFonts w:asciiTheme="majorHAnsi" w:hAnsiTheme="majorHAnsi" w:cstheme="majorHAnsi"/>
                <w:sz w:val="18"/>
              </w:rPr>
            </w:pPr>
          </w:p>
          <w:p w14:paraId="103F5738" w14:textId="77777777" w:rsidR="00EF0C0F" w:rsidRPr="0029320A" w:rsidRDefault="00EF0C0F">
            <w:pPr>
              <w:spacing w:after="20"/>
              <w:rPr>
                <w:rFonts w:asciiTheme="majorHAnsi" w:hAnsiTheme="majorHAnsi" w:cstheme="majorHAnsi"/>
                <w:sz w:val="18"/>
              </w:rPr>
            </w:pPr>
          </w:p>
          <w:p w14:paraId="04B3EBBF" w14:textId="77777777" w:rsidR="00EF0C0F" w:rsidRPr="0029320A" w:rsidRDefault="00EF0C0F">
            <w:pPr>
              <w:spacing w:after="20"/>
              <w:rPr>
                <w:rFonts w:asciiTheme="majorHAnsi" w:hAnsiTheme="majorHAnsi" w:cstheme="majorHAnsi"/>
                <w:sz w:val="18"/>
              </w:rPr>
            </w:pPr>
          </w:p>
          <w:p w14:paraId="73B538C2" w14:textId="77777777" w:rsidR="00EF0C0F" w:rsidRPr="0029320A" w:rsidRDefault="00EF0C0F">
            <w:pPr>
              <w:spacing w:after="20"/>
              <w:rPr>
                <w:rFonts w:asciiTheme="majorHAnsi" w:hAnsiTheme="majorHAnsi" w:cstheme="majorHAnsi"/>
                <w:sz w:val="18"/>
              </w:rPr>
            </w:pPr>
          </w:p>
          <w:p w14:paraId="14DA8D80" w14:textId="77777777" w:rsidR="00EF0C0F" w:rsidRPr="0029320A" w:rsidRDefault="00EF0C0F">
            <w:pPr>
              <w:spacing w:after="20"/>
              <w:rPr>
                <w:rFonts w:asciiTheme="majorHAnsi" w:hAnsiTheme="majorHAnsi" w:cstheme="majorHAnsi"/>
                <w:sz w:val="18"/>
              </w:rPr>
            </w:pPr>
          </w:p>
          <w:p w14:paraId="1CE82813" w14:textId="139D4E89" w:rsidR="00504026" w:rsidRPr="0029320A" w:rsidRDefault="00000000">
            <w:pPr>
              <w:spacing w:after="20"/>
              <w:rPr>
                <w:rFonts w:asciiTheme="majorHAnsi" w:hAnsiTheme="majorHAnsi" w:cstheme="majorHAnsi"/>
              </w:rPr>
            </w:pPr>
            <w:r w:rsidRPr="0029320A">
              <w:rPr>
                <w:rFonts w:asciiTheme="majorHAnsi" w:hAnsiTheme="majorHAnsi" w:cstheme="majorHAnsi"/>
                <w:sz w:val="18"/>
              </w:rPr>
              <w:t>____ / ____ / 2026</w:t>
            </w:r>
          </w:p>
        </w:tc>
      </w:tr>
    </w:tbl>
    <w:p w14:paraId="32A86D40" w14:textId="77777777" w:rsidR="00504026" w:rsidRPr="0029320A" w:rsidRDefault="00504026">
      <w:pPr>
        <w:spacing w:after="0"/>
        <w:rPr>
          <w:rFonts w:asciiTheme="majorHAnsi" w:hAnsiTheme="majorHAnsi" w:cstheme="majorHAnsi"/>
        </w:rPr>
      </w:pPr>
    </w:p>
    <w:sectPr w:rsidR="00504026" w:rsidRPr="0029320A"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D2104" w14:textId="77777777" w:rsidR="007071DC" w:rsidRDefault="007071DC">
      <w:pPr>
        <w:spacing w:after="0" w:line="240" w:lineRule="auto"/>
      </w:pPr>
      <w:r>
        <w:separator/>
      </w:r>
    </w:p>
  </w:endnote>
  <w:endnote w:type="continuationSeparator" w:id="0">
    <w:p w14:paraId="7573B177" w14:textId="77777777" w:rsidR="007071DC" w:rsidRDefault="0070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A1117" w14:textId="77777777" w:rsidR="00504026" w:rsidRDefault="00000000">
    <w:pPr>
      <w:pStyle w:val="Footer"/>
      <w:jc w:val="center"/>
    </w:pPr>
    <w:r>
      <w:rPr>
        <w:sz w:val="16"/>
      </w:rPr>
      <w:t xml:space="preserve">Page </w:t>
    </w:r>
    <w:r>
      <w:fldChar w:fldCharType="begin"/>
    </w:r>
    <w:r>
      <w:instrText>PAGE</w:instrText>
    </w:r>
    <w:r>
      <w:fldChar w:fldCharType="separate"/>
    </w:r>
    <w:r w:rsidR="00EF0C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141D5" w14:textId="77777777" w:rsidR="007071DC" w:rsidRDefault="007071DC">
      <w:pPr>
        <w:spacing w:after="0" w:line="240" w:lineRule="auto"/>
      </w:pPr>
      <w:r>
        <w:separator/>
      </w:r>
    </w:p>
  </w:footnote>
  <w:footnote w:type="continuationSeparator" w:id="0">
    <w:p w14:paraId="383F53A3" w14:textId="77777777" w:rsidR="007071DC" w:rsidRDefault="0070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519F" w14:textId="77777777" w:rsidR="00504026" w:rsidRDefault="00000000">
    <w:pPr>
      <w:pStyle w:val="Header"/>
      <w:jc w:val="right"/>
    </w:pPr>
    <w:r>
      <w:rPr>
        <w:sz w:val="16"/>
      </w:rPr>
      <w:t>NHA408E · Free Fall 2.0 · Group 06 · Cáp Phan Quang Khánh – 2412380020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165940">
    <w:abstractNumId w:val="8"/>
  </w:num>
  <w:num w:numId="2" w16cid:durableId="1170372643">
    <w:abstractNumId w:val="6"/>
  </w:num>
  <w:num w:numId="3" w16cid:durableId="1728139240">
    <w:abstractNumId w:val="5"/>
  </w:num>
  <w:num w:numId="4" w16cid:durableId="552624599">
    <w:abstractNumId w:val="4"/>
  </w:num>
  <w:num w:numId="5" w16cid:durableId="1819423247">
    <w:abstractNumId w:val="7"/>
  </w:num>
  <w:num w:numId="6" w16cid:durableId="1663006241">
    <w:abstractNumId w:val="3"/>
  </w:num>
  <w:num w:numId="7" w16cid:durableId="1458252505">
    <w:abstractNumId w:val="2"/>
  </w:num>
  <w:num w:numId="8" w16cid:durableId="1420904128">
    <w:abstractNumId w:val="1"/>
  </w:num>
  <w:num w:numId="9" w16cid:durableId="1783180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20A"/>
    <w:rsid w:val="0029639D"/>
    <w:rsid w:val="00326F90"/>
    <w:rsid w:val="00504026"/>
    <w:rsid w:val="006423C1"/>
    <w:rsid w:val="007071DC"/>
    <w:rsid w:val="009504A7"/>
    <w:rsid w:val="00AA1D8D"/>
    <w:rsid w:val="00B47730"/>
    <w:rsid w:val="00CB0664"/>
    <w:rsid w:val="00EF0C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0CA55"/>
  <w14:defaultImageDpi w14:val="300"/>
  <w15:docId w15:val="{5B268568-E3A3-487C-A731-2AE698894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2635</Words>
  <Characters>15022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Khánh Cáp</cp:lastModifiedBy>
  <cp:revision>4</cp:revision>
  <dcterms:created xsi:type="dcterms:W3CDTF">2013-12-23T23:15:00Z</dcterms:created>
  <dcterms:modified xsi:type="dcterms:W3CDTF">2026-10-24T06:35:00Z</dcterms:modified>
  <cp:category/>
</cp:coreProperties>
</file>