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3A5F"/>
          <w:sz w:val="40"/>
        </w:rPr>
        <w:t>INDIVIDUAL CONTRIBUTION REPORT</w:t>
      </w:r>
    </w:p>
    <w:p>
      <w:pPr>
        <w:spacing w:after="240"/>
        <w:jc w:val="center"/>
      </w:pPr>
      <w:r>
        <w:rPr>
          <w:i/>
          <w:color w:val="555F6D"/>
          <w:sz w:val="26"/>
        </w:rPr>
        <w:t>Free Fall 2.0 — Designing the Leverage, Margin and Liquidation Mechanism</w:t>
      </w:r>
    </w:p>
    <w:tbl>
      <w:tblPr>
        <w:tblStyle w:val="TableGrid"/>
        <w:tblW w:type="auto" w:w="0"/>
        <w:jc w:val="center"/>
        <w:tblLook w:firstColumn="1" w:firstRow="1" w:lastColumn="0" w:lastRow="0" w:noHBand="0" w:noVBand="1" w:val="04A0"/>
      </w:tblPr>
      <w:tblGrid>
        <w:gridCol w:w="4759"/>
        <w:gridCol w:w="4759"/>
      </w:tblGrid>
      <w:tr>
        <w:tc>
          <w:tcPr>
            <w:tcW w:type="dxa" w:w="2268"/>
            <w:shd w:val="clear" w:fill="1F3A5F"/>
          </w:tcPr>
          <w:p>
            <w:r/>
            <w:r>
              <w:rPr>
                <w:b/>
                <w:color w:val="FFFFFF"/>
                <w:sz w:val="18"/>
              </w:rPr>
              <w:t>Item</w:t>
            </w:r>
          </w:p>
        </w:tc>
        <w:tc>
          <w:tcPr>
            <w:tcW w:type="dxa" w:w="6917"/>
            <w:shd w:val="clear" w:fill="1F3A5F"/>
          </w:tcPr>
          <w:p>
            <w:r/>
            <w:r>
              <w:rPr>
                <w:b/>
                <w:color w:val="FFFFFF"/>
                <w:sz w:val="18"/>
              </w:rPr>
              <w:t>Detail</w:t>
            </w:r>
          </w:p>
        </w:tc>
      </w:tr>
      <w:tr>
        <w:tc>
          <w:tcPr>
            <w:tcW w:type="dxa" w:w="2268"/>
          </w:tcPr>
          <w:p>
            <w:pPr>
              <w:spacing w:after="20"/>
            </w:pPr>
            <w:r/>
            <w:r>
              <w:rPr>
                <w:sz w:val="18"/>
              </w:rPr>
              <w:t>Member</w:t>
            </w:r>
          </w:p>
        </w:tc>
        <w:tc>
          <w:tcPr>
            <w:tcW w:type="dxa" w:w="6917"/>
          </w:tcPr>
          <w:p>
            <w:pPr>
              <w:spacing w:after="20"/>
            </w:pPr>
            <w:r/>
            <w:r>
              <w:rPr>
                <w:sz w:val="18"/>
              </w:rPr>
              <w:t>Trần Hữu Dụ</w:t>
            </w:r>
          </w:p>
        </w:tc>
      </w:tr>
      <w:tr>
        <w:tc>
          <w:tcPr>
            <w:tcW w:type="dxa" w:w="2268"/>
            <w:shd w:val="clear" w:fill="EDF1F7"/>
          </w:tcPr>
          <w:p>
            <w:pPr>
              <w:spacing w:after="20"/>
            </w:pPr>
            <w:r/>
            <w:r>
              <w:rPr>
                <w:sz w:val="18"/>
              </w:rPr>
              <w:t>Student ID</w:t>
            </w:r>
          </w:p>
        </w:tc>
        <w:tc>
          <w:tcPr>
            <w:tcW w:type="dxa" w:w="6917"/>
            <w:shd w:val="clear" w:fill="EDF1F7"/>
          </w:tcPr>
          <w:p>
            <w:pPr>
              <w:spacing w:after="20"/>
            </w:pPr>
            <w:r/>
            <w:r>
              <w:rPr>
                <w:sz w:val="18"/>
              </w:rPr>
              <w:t>2412380013</w:t>
            </w:r>
          </w:p>
        </w:tc>
      </w:tr>
      <w:tr>
        <w:tc>
          <w:tcPr>
            <w:tcW w:type="dxa" w:w="2268"/>
          </w:tcPr>
          <w:p>
            <w:pPr>
              <w:spacing w:after="20"/>
            </w:pPr>
            <w:r/>
            <w:r>
              <w:rPr>
                <w:sz w:val="18"/>
              </w:rPr>
              <w:t>Role</w:t>
            </w:r>
          </w:p>
        </w:tc>
        <w:tc>
          <w:tcPr>
            <w:tcW w:type="dxa" w:w="6917"/>
          </w:tcPr>
          <w:p>
            <w:pPr>
              <w:spacing w:after="20"/>
            </w:pPr>
            <w:r/>
            <w:r>
              <w:rPr>
                <w:sz w:val="18"/>
              </w:rPr>
              <w:t>Coordinator — Mechanism Designer</w:t>
            </w:r>
          </w:p>
        </w:tc>
      </w:tr>
      <w:tr>
        <w:tc>
          <w:tcPr>
            <w:tcW w:type="dxa" w:w="2268"/>
            <w:shd w:val="clear" w:fill="EDF1F7"/>
          </w:tcPr>
          <w:p>
            <w:pPr>
              <w:spacing w:after="20"/>
            </w:pPr>
            <w:r/>
            <w:r>
              <w:rPr>
                <w:sz w:val="18"/>
              </w:rPr>
              <w:t>Course</w:t>
            </w:r>
          </w:p>
        </w:tc>
        <w:tc>
          <w:tcPr>
            <w:tcW w:type="dxa" w:w="6917"/>
            <w:shd w:val="clear" w:fill="EDF1F7"/>
          </w:tcPr>
          <w:p>
            <w:pPr>
              <w:spacing w:after="20"/>
            </w:pPr>
            <w:r/>
            <w:r>
              <w:rPr>
                <w:sz w:val="18"/>
              </w:rPr>
              <w:t>Technology Applications in Banking and Finance (NHA408E), FTU 2026</w:t>
            </w:r>
          </w:p>
        </w:tc>
      </w:tr>
      <w:tr>
        <w:tc>
          <w:tcPr>
            <w:tcW w:type="dxa" w:w="2268"/>
          </w:tcPr>
          <w:p>
            <w:pPr>
              <w:spacing w:after="20"/>
            </w:pPr>
            <w:r/>
            <w:r>
              <w:rPr>
                <w:sz w:val="18"/>
              </w:rPr>
              <w:t>Project</w:t>
            </w:r>
          </w:p>
        </w:tc>
        <w:tc>
          <w:tcPr>
            <w:tcW w:type="dxa" w:w="6917"/>
          </w:tcPr>
          <w:p>
            <w:pPr>
              <w:spacing w:after="20"/>
            </w:pPr>
            <w:r/>
            <w:r>
              <w:rPr>
                <w:sz w:val="18"/>
              </w:rPr>
              <w:t>Free Fall 2.0 — Group 06, market-crash survival simulator</w:t>
            </w:r>
          </w:p>
        </w:tc>
      </w:tr>
      <w:tr>
        <w:tc>
          <w:tcPr>
            <w:tcW w:type="dxa" w:w="2268"/>
            <w:shd w:val="clear" w:fill="EDF1F7"/>
          </w:tcPr>
          <w:p>
            <w:pPr>
              <w:spacing w:after="20"/>
            </w:pPr>
            <w:r/>
            <w:r>
              <w:rPr>
                <w:sz w:val="18"/>
              </w:rPr>
              <w:t>Evidence</w:t>
            </w:r>
          </w:p>
        </w:tc>
        <w:tc>
          <w:tcPr>
            <w:tcW w:type="dxa" w:w="6917"/>
            <w:shd w:val="clear" w:fill="EDF1F7"/>
          </w:tcPr>
          <w:p>
            <w:pPr>
              <w:spacing w:after="20"/>
            </w:pPr>
            <w:r/>
            <w:r>
              <w:rPr>
                <w:sz w:val="18"/>
              </w:rPr>
              <w:t>docs/financial_logic.md · docs/user_flow.md §1–2 · phase_1_workflow.jpg · archive/Week 2–6</w:t>
            </w:r>
          </w:p>
        </w:tc>
      </w:tr>
    </w:tbl>
    <w:p>
      <w:pPr>
        <w:spacing w:after="40"/>
      </w:pPr>
    </w:p>
    <w:p>
      <w:pPr>
        <w:spacing w:after="200"/>
      </w:pPr>
      <w:r>
        <w:rPr>
          <w:b/>
          <w:color w:val="555F6D"/>
          <w:sz w:val="20"/>
        </w:rPr>
        <w:t xml:space="preserve">Abstract: </w:t>
      </w:r>
      <w:r>
        <w:rPr>
          <w:i/>
          <w:color w:val="555F6D"/>
          <w:sz w:val="20"/>
        </w:rPr>
        <w:t>This report documents my individual contribution to Free Fall 2.0: the rule layer of the product. I specified the formulas that turn a price tick into equity, leverage and margin status, the thresholds that trigger liquidation, the settlement and savings rules, the 3× / 20× / 100× target ladder, and the Phase 1 system flow. Each claim is tied to a repository file, and each figure was re-checked against the shipped engine and its tests.</w:t>
      </w:r>
    </w:p>
    <w:p>
      <w:pPr>
        <w:pStyle w:val="Heading1"/>
      </w:pPr>
      <w:r>
        <w:t>1. Role and scope</w:t>
      </w:r>
    </w:p>
    <w:p>
      <w:pPr>
        <w:spacing w:after="120"/>
      </w:pPr>
      <w:r>
        <w:rPr>
          <w:i w:val="0"/>
          <w:sz w:val="22"/>
        </w:rPr>
        <w:t>My role combined coordination with mechanism design: keeping one definition of equity, margin and leverage across the group's weekly documents, and arbitrating conflicts when a later dataset or test contradicted an earlier specification. Mechanism design meant authoring the rulebook — what is measured, how often, with which thresholds, and what the system does automatically at each threshold. Four streams:</w:t>
      </w:r>
    </w:p>
    <w:p>
      <w:pPr>
        <w:pStyle w:val="ListBullet"/>
        <w:spacing w:after="60"/>
      </w:pPr>
      <w:r>
        <w:rPr>
          <w:b/>
        </w:rPr>
        <w:t xml:space="preserve">Financial risk engine: </w:t>
      </w:r>
      <w:r>
        <w:t>exposure, net equity, trading equity, leverage, margin ratio and margin-call price.</w:t>
      </w:r>
    </w:p>
    <w:p>
      <w:pPr>
        <w:pStyle w:val="ListBullet"/>
        <w:spacing w:after="60"/>
      </w:pPr>
      <w:r>
        <w:rPr>
          <w:b/>
        </w:rPr>
        <w:t xml:space="preserve">Enforcement: </w:t>
      </w:r>
      <w:r>
        <w:t>20 % maintenance margin, ≥ 5.0× liquidation trigger, 5 % fire-sale penalty, lockout after liquidation.</w:t>
      </w:r>
    </w:p>
    <w:p>
      <w:pPr>
        <w:pStyle w:val="ListBullet"/>
        <w:spacing w:after="60"/>
      </w:pPr>
      <w:r>
        <w:rPr>
          <w:b/>
        </w:rPr>
        <w:t xml:space="preserve">System flow: </w:t>
      </w:r>
      <w:r>
        <w:t>the Phase 1 loop, drawn as phase_1_workflow.jpg and written up in the Feature Map.</w:t>
      </w:r>
    </w:p>
    <w:p>
      <w:pPr>
        <w:pStyle w:val="ListBullet"/>
        <w:spacing w:after="60"/>
      </w:pPr>
      <w:r>
        <w:rPr>
          <w:b/>
        </w:rPr>
        <w:t xml:space="preserve">Calibration: </w:t>
      </w:r>
      <w:r>
        <w:t>3× / 20× / 100× targets, 4.75 % Bank Savings and session price limits, benchmark-based.</w:t>
      </w:r>
    </w:p>
    <w:p>
      <w:pPr>
        <w:spacing w:after="120"/>
      </w:pPr>
      <w:r>
        <w:rPr>
          <w:i w:val="0"/>
          <w:sz w:val="22"/>
        </w:rPr>
        <w:t>The constraint was implementability: a rule that cannot be coded deterministically, or shown on a dashboard, is not a usable mechanic.</w:t>
      </w:r>
    </w:p>
    <w:p>
      <w:pPr>
        <w:pStyle w:val="Heading1"/>
      </w:pPr>
      <w:r>
        <w:t>2. The problem the mechanism had to solve</w:t>
      </w:r>
    </w:p>
    <w:p>
      <w:pPr>
        <w:spacing w:after="120"/>
      </w:pPr>
      <w:r>
        <w:rPr>
          <w:i w:val="0"/>
          <w:sz w:val="22"/>
        </w:rPr>
        <w:t>Free Fall 2.0 addresses leverage blindness: students know margin as a formula (borrow, multiply, hope) but not as a sequence in which equity shrinks, the cushion disappears and the broker closes the position at the worst moment. Five requirements became my acceptance criteria:</w:t>
      </w:r>
    </w:p>
    <w:p>
      <w:pPr>
        <w:spacing w:after="60"/>
        <w:ind w:left="425" w:hanging="425"/>
      </w:pPr>
      <w:r>
        <w:t xml:space="preserve">1.  </w:t>
      </w:r>
      <w:r>
        <w:rPr>
          <w:b/>
        </w:rPr>
        <w:t xml:space="preserve">Arithmetic honesty: </w:t>
      </w:r>
      <w:r>
        <w:t>equity measured net of debt on every tick.</w:t>
      </w:r>
    </w:p>
    <w:p>
      <w:pPr>
        <w:spacing w:after="60"/>
        <w:ind w:left="425" w:hanging="425"/>
      </w:pPr>
      <w:r>
        <w:t xml:space="preserve">2.  </w:t>
      </w:r>
      <w:r>
        <w:rPr>
          <w:b/>
        </w:rPr>
        <w:t xml:space="preserve">Early visibility: </w:t>
      </w:r>
      <w:r>
        <w:t>staged margin states, so an attentive player can still de-lever.</w:t>
      </w:r>
    </w:p>
    <w:p>
      <w:pPr>
        <w:spacing w:after="60"/>
        <w:ind w:left="425" w:hanging="425"/>
      </w:pPr>
      <w:r>
        <w:t xml:space="preserve">3.  </w:t>
      </w:r>
      <w:r>
        <w:rPr>
          <w:b/>
        </w:rPr>
        <w:t xml:space="preserve">Automatic enforcement: </w:t>
      </w:r>
      <w:r>
        <w:t>liquidation fires from the rule, not from goodwill.</w:t>
      </w:r>
    </w:p>
    <w:p>
      <w:pPr>
        <w:spacing w:after="60"/>
        <w:ind w:left="425" w:hanging="425"/>
      </w:pPr>
      <w:r>
        <w:t xml:space="preserve">4.  </w:t>
      </w:r>
      <w:r>
        <w:rPr>
          <w:b/>
        </w:rPr>
        <w:t xml:space="preserve">Determinism: </w:t>
      </w:r>
      <w:r>
        <w:t>same scenario and orders, same outcome, which testing depends on.</w:t>
      </w:r>
    </w:p>
    <w:p>
      <w:pPr>
        <w:spacing w:after="60"/>
        <w:ind w:left="425" w:hanging="425"/>
      </w:pPr>
      <w:r>
        <w:t xml:space="preserve">5.  </w:t>
      </w:r>
      <w:r>
        <w:rPr>
          <w:b/>
        </w:rPr>
        <w:t xml:space="preserve">Explainability: </w:t>
      </w:r>
      <w:r>
        <w:t>every outcome traces back to a decision.</w:t>
      </w:r>
    </w:p>
    <w:p>
      <w:pPr>
        <w:pStyle w:val="Heading1"/>
      </w:pPr>
      <w:r>
        <w:t>3. The financial mechanism</w:t>
      </w:r>
    </w:p>
    <w:p>
      <w:pPr>
        <w:spacing w:after="120"/>
      </w:pPr>
      <w:r>
        <w:rPr>
          <w:i w:val="0"/>
          <w:sz w:val="22"/>
        </w:rPr>
        <w:t>The engine's state is deliberately small — cash, Bank Savings, holdings, debt, prices — so everything the player sees is derived on every tick from one source of truth.</w:t>
      </w:r>
    </w:p>
    <w:tbl>
      <w:tblPr>
        <w:tblStyle w:val="TableGrid"/>
        <w:tblW w:type="auto" w:w="0"/>
        <w:jc w:val="center"/>
        <w:tblLook w:firstColumn="1" w:firstRow="1" w:lastColumn="0" w:lastRow="0" w:noHBand="0" w:noVBand="1" w:val="04A0"/>
      </w:tblPr>
      <w:tblGrid>
        <w:gridCol w:w="4759"/>
        <w:gridCol w:w="4759"/>
      </w:tblGrid>
      <w:tr>
        <w:tc>
          <w:tcPr>
            <w:tcW w:type="dxa" w:w="2721"/>
            <w:shd w:val="clear" w:fill="1F3A5F"/>
          </w:tcPr>
          <w:p>
            <w:r/>
            <w:r>
              <w:rPr>
                <w:b/>
                <w:color w:val="FFFFFF"/>
                <w:sz w:val="18"/>
              </w:rPr>
              <w:t>Quantity</w:t>
            </w:r>
          </w:p>
        </w:tc>
        <w:tc>
          <w:tcPr>
            <w:tcW w:type="dxa" w:w="6463"/>
            <w:shd w:val="clear" w:fill="1F3A5F"/>
          </w:tcPr>
          <w:p>
            <w:r/>
            <w:r>
              <w:rPr>
                <w:b/>
                <w:color w:val="FFFFFF"/>
                <w:sz w:val="18"/>
              </w:rPr>
              <w:t>Definition I specified</w:t>
            </w:r>
          </w:p>
        </w:tc>
      </w:tr>
      <w:tr>
        <w:tc>
          <w:tcPr>
            <w:tcW w:type="dxa" w:w="2721"/>
          </w:tcPr>
          <w:p>
            <w:pPr>
              <w:spacing w:after="20"/>
            </w:pPr>
            <w:r/>
            <w:r>
              <w:rPr>
                <w:sz w:val="18"/>
              </w:rPr>
              <w:t>Gross exposure</w:t>
            </w:r>
          </w:p>
        </w:tc>
        <w:tc>
          <w:tcPr>
            <w:tcW w:type="dxa" w:w="6463"/>
          </w:tcPr>
          <w:p>
            <w:pPr>
              <w:spacing w:after="20"/>
            </w:pPr>
            <w:r/>
            <w:r>
              <w:rPr>
                <w:sz w:val="18"/>
              </w:rPr>
              <w:t>Σ Shares(i) × Current price(i)</w:t>
            </w:r>
          </w:p>
        </w:tc>
      </w:tr>
      <w:tr>
        <w:tc>
          <w:tcPr>
            <w:tcW w:type="dxa" w:w="2721"/>
            <w:shd w:val="clear" w:fill="EDF1F7"/>
          </w:tcPr>
          <w:p>
            <w:pPr>
              <w:spacing w:after="20"/>
            </w:pPr>
            <w:r/>
            <w:r>
              <w:rPr>
                <w:sz w:val="18"/>
              </w:rPr>
              <w:t>Net equity</w:t>
            </w:r>
          </w:p>
        </w:tc>
        <w:tc>
          <w:tcPr>
            <w:tcW w:type="dxa" w:w="6463"/>
            <w:shd w:val="clear" w:fill="EDF1F7"/>
          </w:tcPr>
          <w:p>
            <w:pPr>
              <w:spacing w:after="20"/>
            </w:pPr>
            <w:r/>
            <w:r>
              <w:rPr>
                <w:sz w:val="18"/>
              </w:rPr>
              <w:t>Liquid cash + Bank Savings + Gross exposure − Margin debt</w:t>
            </w:r>
          </w:p>
        </w:tc>
      </w:tr>
      <w:tr>
        <w:tc>
          <w:tcPr>
            <w:tcW w:type="dxa" w:w="2721"/>
          </w:tcPr>
          <w:p>
            <w:pPr>
              <w:spacing w:after="20"/>
            </w:pPr>
            <w:r/>
            <w:r>
              <w:rPr>
                <w:sz w:val="18"/>
              </w:rPr>
              <w:t>Trading equity</w:t>
            </w:r>
          </w:p>
        </w:tc>
        <w:tc>
          <w:tcPr>
            <w:tcW w:type="dxa" w:w="6463"/>
          </w:tcPr>
          <w:p>
            <w:pPr>
              <w:spacing w:after="20"/>
            </w:pPr>
            <w:r/>
            <w:r>
              <w:rPr>
                <w:sz w:val="18"/>
              </w:rPr>
              <w:t>Liquid cash + Gross exposure − Margin debt</w:t>
            </w:r>
          </w:p>
        </w:tc>
      </w:tr>
      <w:tr>
        <w:tc>
          <w:tcPr>
            <w:tcW w:type="dxa" w:w="2721"/>
            <w:shd w:val="clear" w:fill="EDF1F7"/>
          </w:tcPr>
          <w:p>
            <w:pPr>
              <w:spacing w:after="20"/>
            </w:pPr>
            <w:r/>
            <w:r>
              <w:rPr>
                <w:sz w:val="18"/>
              </w:rPr>
              <w:t>Effective leverage</w:t>
            </w:r>
          </w:p>
        </w:tc>
        <w:tc>
          <w:tcPr>
            <w:tcW w:type="dxa" w:w="6463"/>
            <w:shd w:val="clear" w:fill="EDF1F7"/>
          </w:tcPr>
          <w:p>
            <w:pPr>
              <w:spacing w:after="20"/>
            </w:pPr>
            <w:r/>
            <w:r>
              <w:rPr>
                <w:sz w:val="18"/>
              </w:rPr>
              <w:t>Gross exposure ÷ Trading equity</w:t>
            </w:r>
          </w:p>
        </w:tc>
      </w:tr>
      <w:tr>
        <w:tc>
          <w:tcPr>
            <w:tcW w:type="dxa" w:w="2721"/>
          </w:tcPr>
          <w:p>
            <w:pPr>
              <w:spacing w:after="20"/>
            </w:pPr>
            <w:r/>
            <w:r>
              <w:rPr>
                <w:sz w:val="18"/>
              </w:rPr>
              <w:t>Margin ratio</w:t>
            </w:r>
          </w:p>
        </w:tc>
        <w:tc>
          <w:tcPr>
            <w:tcW w:type="dxa" w:w="6463"/>
          </w:tcPr>
          <w:p>
            <w:pPr>
              <w:spacing w:after="20"/>
            </w:pPr>
            <w:r/>
            <w:r>
              <w:rPr>
                <w:sz w:val="18"/>
              </w:rPr>
              <w:t>Trading equity ÷ Gross exposure</w:t>
            </w:r>
          </w:p>
        </w:tc>
      </w:tr>
      <w:tr>
        <w:tc>
          <w:tcPr>
            <w:tcW w:type="dxa" w:w="2721"/>
            <w:shd w:val="clear" w:fill="EDF1F7"/>
          </w:tcPr>
          <w:p>
            <w:pPr>
              <w:spacing w:after="20"/>
            </w:pPr>
            <w:r/>
            <w:r>
              <w:rPr>
                <w:sz w:val="18"/>
              </w:rPr>
              <w:t>Order funding</w:t>
            </w:r>
          </w:p>
        </w:tc>
        <w:tc>
          <w:tcPr>
            <w:tcW w:type="dxa" w:w="6463"/>
            <w:shd w:val="clear" w:fill="EDF1F7"/>
          </w:tcPr>
          <w:p>
            <w:pPr>
              <w:spacing w:after="20"/>
            </w:pPr>
            <w:r/>
            <w:r>
              <w:rPr>
                <w:sz w:val="18"/>
              </w:rPr>
              <w:t>Cash required = Order cost ÷ Margin multiple; new debt = cost − cash required</w:t>
            </w:r>
          </w:p>
        </w:tc>
      </w:tr>
      <w:tr>
        <w:tc>
          <w:tcPr>
            <w:tcW w:type="dxa" w:w="2721"/>
          </w:tcPr>
          <w:p>
            <w:pPr>
              <w:spacing w:after="20"/>
            </w:pPr>
            <w:r/>
            <w:r>
              <w:rPr>
                <w:sz w:val="18"/>
              </w:rPr>
              <w:t>Margin-call value</w:t>
            </w:r>
          </w:p>
        </w:tc>
        <w:tc>
          <w:tcPr>
            <w:tcW w:type="dxa" w:w="6463"/>
          </w:tcPr>
          <w:p>
            <w:pPr>
              <w:spacing w:after="20"/>
            </w:pPr>
            <w:r/>
            <w:r>
              <w:rPr>
                <w:sz w:val="18"/>
              </w:rPr>
              <w:t>Margin debt ÷ (1 − Maintenance margin)</w:t>
            </w:r>
          </w:p>
        </w:tc>
      </w:tr>
      <w:tr>
        <w:tc>
          <w:tcPr>
            <w:tcW w:type="dxa" w:w="2721"/>
            <w:shd w:val="clear" w:fill="EDF1F7"/>
          </w:tcPr>
          <w:p>
            <w:pPr>
              <w:spacing w:after="20"/>
            </w:pPr>
            <w:r/>
            <w:r>
              <w:rPr>
                <w:sz w:val="18"/>
              </w:rPr>
              <w:t>Margin-call price</w:t>
            </w:r>
          </w:p>
        </w:tc>
        <w:tc>
          <w:tcPr>
            <w:tcW w:type="dxa" w:w="6463"/>
            <w:shd w:val="clear" w:fill="EDF1F7"/>
          </w:tcPr>
          <w:p>
            <w:pPr>
              <w:spacing w:after="20"/>
            </w:pPr>
            <w:r/>
            <w:r>
              <w:rPr>
                <w:sz w:val="18"/>
              </w:rPr>
              <w:t>Margin debt ÷ [Shares × (1 − Maintenance margin)]</w:t>
            </w:r>
          </w:p>
        </w:tc>
      </w:tr>
      <w:tr>
        <w:tc>
          <w:tcPr>
            <w:tcW w:type="dxa" w:w="2721"/>
          </w:tcPr>
          <w:p>
            <w:pPr>
              <w:spacing w:after="20"/>
            </w:pPr>
            <w:r/>
            <w:r>
              <w:rPr>
                <w:sz w:val="18"/>
              </w:rPr>
              <w:t>Target progress</w:t>
            </w:r>
          </w:p>
        </w:tc>
        <w:tc>
          <w:tcPr>
            <w:tcW w:type="dxa" w:w="6463"/>
          </w:tcPr>
          <w:p>
            <w:pPr>
              <w:spacing w:after="20"/>
            </w:pPr>
            <w:r/>
            <w:r>
              <w:rPr>
                <w:sz w:val="18"/>
              </w:rPr>
              <w:t>Net equity ÷ (Initial capital × House multiple) × 100</w:t>
            </w:r>
          </w:p>
        </w:tc>
      </w:tr>
    </w:tbl>
    <w:p>
      <w:pPr>
        <w:spacing w:after="40"/>
      </w:pPr>
    </w:p>
    <w:p>
      <w:pPr>
        <w:spacing w:after="120"/>
      </w:pPr>
      <w:r>
        <w:rPr>
          <w:i w:val="0"/>
          <w:sz w:val="22"/>
        </w:rPr>
        <w:t>Net equity includes Bank Savings, because money moved to safety is still wealth; the earlier proposal omitted it, and I resolved the conflict in favour of the inclusive definition used by the Solution Structure, the Feature Map and the savings test. Leverage is measured against trading equity, so parking cash in savings lowers risk instead of hiding it.</w:t>
      </w:r>
    </w:p>
    <w:p>
      <w:pPr>
        <w:spacing w:after="120"/>
      </w:pPr>
      <w:r>
        <w:rPr>
          <w:i w:val="0"/>
          <w:sz w:val="22"/>
        </w:rPr>
        <w:t>The call price follows from the 20 % floor: with 30,000 of debt the position must be worth 30,000 ÷ 0.80 = 37,500, a fall of exactly 6.25 % from a 40,000 position bought at 100. At 93.75 the ratio is 20.00 % and the account is only warned; at 93.74 it is 19.99 % and the position is closed.</w:t>
      </w:r>
    </w:p>
    <w:p>
      <w:pPr>
        <w:pStyle w:val="Heading1"/>
      </w:pPr>
      <w:r>
        <w:t>4. Margin tiers, risk states and enforcement</w:t>
      </w:r>
    </w:p>
    <w:p>
      <w:pPr>
        <w:spacing w:after="120"/>
      </w:pPr>
      <w:r>
        <w:rPr>
          <w:i w:val="0"/>
          <w:sz w:val="22"/>
        </w:rPr>
        <w:t>I replaced a typed initial margin ratio with four discrete tiers: easier to explain, easier to display, impossible to mis-key, each with a visible distance to the call.</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1701"/>
            <w:shd w:val="clear" w:fill="1F3A5F"/>
          </w:tcPr>
          <w:p>
            <w:r/>
            <w:r>
              <w:rPr>
                <w:b/>
                <w:color w:val="FFFFFF"/>
                <w:sz w:val="18"/>
              </w:rPr>
              <w:t>Tier</w:t>
            </w:r>
          </w:p>
        </w:tc>
        <w:tc>
          <w:tcPr>
            <w:tcW w:type="dxa" w:w="2041"/>
            <w:shd w:val="clear" w:fill="1F3A5F"/>
          </w:tcPr>
          <w:p>
            <w:r/>
            <w:r>
              <w:rPr>
                <w:b/>
                <w:color w:val="FFFFFF"/>
                <w:sz w:val="18"/>
              </w:rPr>
              <w:t>Debt per unit of equity</w:t>
            </w:r>
          </w:p>
        </w:tc>
        <w:tc>
          <w:tcPr>
            <w:tcW w:type="dxa" w:w="1587"/>
            <w:shd w:val="clear" w:fill="1F3A5F"/>
          </w:tcPr>
          <w:p>
            <w:r/>
            <w:r>
              <w:rPr>
                <w:b/>
                <w:color w:val="FFFFFF"/>
                <w:sz w:val="18"/>
              </w:rPr>
              <w:t>Opening ratio</w:t>
            </w:r>
          </w:p>
        </w:tc>
        <w:tc>
          <w:tcPr>
            <w:tcW w:type="dxa" w:w="1928"/>
            <w:shd w:val="clear" w:fill="1F3A5F"/>
          </w:tcPr>
          <w:p>
            <w:r/>
            <w:r>
              <w:rPr>
                <w:b/>
                <w:color w:val="FFFFFF"/>
                <w:sz w:val="18"/>
              </w:rPr>
              <w:t>Fall to a 20 % call</w:t>
            </w:r>
          </w:p>
        </w:tc>
        <w:tc>
          <w:tcPr>
            <w:tcW w:type="dxa" w:w="1928"/>
            <w:shd w:val="clear" w:fill="1F3A5F"/>
          </w:tcPr>
          <w:p>
            <w:r/>
            <w:r>
              <w:rPr>
                <w:b/>
                <w:color w:val="FFFFFF"/>
                <w:sz w:val="18"/>
              </w:rPr>
              <w:t>Equity wiped out at</w:t>
            </w:r>
          </w:p>
        </w:tc>
      </w:tr>
      <w:tr>
        <w:tc>
          <w:tcPr>
            <w:tcW w:type="dxa" w:w="1701"/>
          </w:tcPr>
          <w:p>
            <w:pPr>
              <w:spacing w:after="20"/>
            </w:pPr>
            <w:r/>
            <w:r>
              <w:rPr>
                <w:sz w:val="18"/>
              </w:rPr>
              <w:t>Cash 1.0×</w:t>
            </w:r>
          </w:p>
        </w:tc>
        <w:tc>
          <w:tcPr>
            <w:tcW w:type="dxa" w:w="2041"/>
          </w:tcPr>
          <w:p>
            <w:pPr>
              <w:spacing w:after="20"/>
            </w:pPr>
            <w:r/>
            <w:r>
              <w:rPr>
                <w:sz w:val="18"/>
              </w:rPr>
              <w:t>0</w:t>
            </w:r>
          </w:p>
        </w:tc>
        <w:tc>
          <w:tcPr>
            <w:tcW w:type="dxa" w:w="1587"/>
          </w:tcPr>
          <w:p>
            <w:pPr>
              <w:spacing w:after="20"/>
            </w:pPr>
            <w:r/>
            <w:r>
              <w:rPr>
                <w:sz w:val="18"/>
              </w:rPr>
              <w:t>100 %</w:t>
            </w:r>
          </w:p>
        </w:tc>
        <w:tc>
          <w:tcPr>
            <w:tcW w:type="dxa" w:w="1928"/>
          </w:tcPr>
          <w:p>
            <w:pPr>
              <w:spacing w:after="20"/>
            </w:pPr>
            <w:r/>
            <w:r>
              <w:rPr>
                <w:sz w:val="18"/>
              </w:rPr>
              <w:t>not applicable</w:t>
            </w:r>
          </w:p>
        </w:tc>
        <w:tc>
          <w:tcPr>
            <w:tcW w:type="dxa" w:w="1928"/>
          </w:tcPr>
          <w:p>
            <w:pPr>
              <w:spacing w:after="20"/>
            </w:pPr>
            <w:r/>
            <w:r>
              <w:rPr>
                <w:sz w:val="18"/>
              </w:rPr>
              <w:t>−100 % (no debt)</w:t>
            </w:r>
          </w:p>
        </w:tc>
      </w:tr>
      <w:tr>
        <w:tc>
          <w:tcPr>
            <w:tcW w:type="dxa" w:w="1701"/>
            <w:shd w:val="clear" w:fill="EDF1F7"/>
          </w:tcPr>
          <w:p>
            <w:pPr>
              <w:spacing w:after="20"/>
            </w:pPr>
            <w:r/>
            <w:r>
              <w:rPr>
                <w:sz w:val="18"/>
              </w:rPr>
              <w:t>2×</w:t>
            </w:r>
          </w:p>
        </w:tc>
        <w:tc>
          <w:tcPr>
            <w:tcW w:type="dxa" w:w="2041"/>
            <w:shd w:val="clear" w:fill="EDF1F7"/>
          </w:tcPr>
          <w:p>
            <w:pPr>
              <w:spacing w:after="20"/>
            </w:pPr>
            <w:r/>
            <w:r>
              <w:rPr>
                <w:sz w:val="18"/>
              </w:rPr>
              <w:t>1</w:t>
            </w:r>
          </w:p>
        </w:tc>
        <w:tc>
          <w:tcPr>
            <w:tcW w:type="dxa" w:w="1587"/>
            <w:shd w:val="clear" w:fill="EDF1F7"/>
          </w:tcPr>
          <w:p>
            <w:pPr>
              <w:spacing w:after="20"/>
            </w:pPr>
            <w:r/>
            <w:r>
              <w:rPr>
                <w:sz w:val="18"/>
              </w:rPr>
              <w:t>50 %</w:t>
            </w:r>
          </w:p>
        </w:tc>
        <w:tc>
          <w:tcPr>
            <w:tcW w:type="dxa" w:w="1928"/>
            <w:shd w:val="clear" w:fill="EDF1F7"/>
          </w:tcPr>
          <w:p>
            <w:pPr>
              <w:spacing w:after="20"/>
            </w:pPr>
            <w:r/>
            <w:r>
              <w:rPr>
                <w:sz w:val="18"/>
              </w:rPr>
              <w:t>−37.50 %</w:t>
            </w:r>
          </w:p>
        </w:tc>
        <w:tc>
          <w:tcPr>
            <w:tcW w:type="dxa" w:w="1928"/>
            <w:shd w:val="clear" w:fill="EDF1F7"/>
          </w:tcPr>
          <w:p>
            <w:pPr>
              <w:spacing w:after="20"/>
            </w:pPr>
            <w:r/>
            <w:r>
              <w:rPr>
                <w:sz w:val="18"/>
              </w:rPr>
              <w:t>−50.0 %</w:t>
            </w:r>
          </w:p>
        </w:tc>
      </w:tr>
      <w:tr>
        <w:tc>
          <w:tcPr>
            <w:tcW w:type="dxa" w:w="1701"/>
          </w:tcPr>
          <w:p>
            <w:pPr>
              <w:spacing w:after="20"/>
            </w:pPr>
            <w:r/>
            <w:r>
              <w:rPr>
                <w:sz w:val="18"/>
              </w:rPr>
              <w:t>3×</w:t>
            </w:r>
          </w:p>
        </w:tc>
        <w:tc>
          <w:tcPr>
            <w:tcW w:type="dxa" w:w="2041"/>
          </w:tcPr>
          <w:p>
            <w:pPr>
              <w:spacing w:after="20"/>
            </w:pPr>
            <w:r/>
            <w:r>
              <w:rPr>
                <w:sz w:val="18"/>
              </w:rPr>
              <w:t>2</w:t>
            </w:r>
          </w:p>
        </w:tc>
        <w:tc>
          <w:tcPr>
            <w:tcW w:type="dxa" w:w="1587"/>
          </w:tcPr>
          <w:p>
            <w:pPr>
              <w:spacing w:after="20"/>
            </w:pPr>
            <w:r/>
            <w:r>
              <w:rPr>
                <w:sz w:val="18"/>
              </w:rPr>
              <w:t>33.3 %</w:t>
            </w:r>
          </w:p>
        </w:tc>
        <w:tc>
          <w:tcPr>
            <w:tcW w:type="dxa" w:w="1928"/>
          </w:tcPr>
          <w:p>
            <w:pPr>
              <w:spacing w:after="20"/>
            </w:pPr>
            <w:r/>
            <w:r>
              <w:rPr>
                <w:sz w:val="18"/>
              </w:rPr>
              <w:t>−16.67 %</w:t>
            </w:r>
          </w:p>
        </w:tc>
        <w:tc>
          <w:tcPr>
            <w:tcW w:type="dxa" w:w="1928"/>
          </w:tcPr>
          <w:p>
            <w:pPr>
              <w:spacing w:after="20"/>
            </w:pPr>
            <w:r/>
            <w:r>
              <w:rPr>
                <w:sz w:val="18"/>
              </w:rPr>
              <w:t>−33.3 %</w:t>
            </w:r>
          </w:p>
        </w:tc>
      </w:tr>
      <w:tr>
        <w:tc>
          <w:tcPr>
            <w:tcW w:type="dxa" w:w="1701"/>
            <w:shd w:val="clear" w:fill="EDF1F7"/>
          </w:tcPr>
          <w:p>
            <w:pPr>
              <w:spacing w:after="20"/>
            </w:pPr>
            <w:r/>
            <w:r>
              <w:rPr>
                <w:sz w:val="18"/>
              </w:rPr>
              <w:t>4×</w:t>
            </w:r>
          </w:p>
        </w:tc>
        <w:tc>
          <w:tcPr>
            <w:tcW w:type="dxa" w:w="2041"/>
            <w:shd w:val="clear" w:fill="EDF1F7"/>
          </w:tcPr>
          <w:p>
            <w:pPr>
              <w:spacing w:after="20"/>
            </w:pPr>
            <w:r/>
            <w:r>
              <w:rPr>
                <w:sz w:val="18"/>
              </w:rPr>
              <w:t>3</w:t>
            </w:r>
          </w:p>
        </w:tc>
        <w:tc>
          <w:tcPr>
            <w:tcW w:type="dxa" w:w="1587"/>
            <w:shd w:val="clear" w:fill="EDF1F7"/>
          </w:tcPr>
          <w:p>
            <w:pPr>
              <w:spacing w:after="20"/>
            </w:pPr>
            <w:r/>
            <w:r>
              <w:rPr>
                <w:sz w:val="18"/>
              </w:rPr>
              <w:t>25 %</w:t>
            </w:r>
          </w:p>
        </w:tc>
        <w:tc>
          <w:tcPr>
            <w:tcW w:type="dxa" w:w="1928"/>
            <w:shd w:val="clear" w:fill="EDF1F7"/>
          </w:tcPr>
          <w:p>
            <w:pPr>
              <w:spacing w:after="20"/>
            </w:pPr>
            <w:r/>
            <w:r>
              <w:rPr>
                <w:sz w:val="18"/>
              </w:rPr>
              <w:t>−6.25 %</w:t>
            </w:r>
          </w:p>
        </w:tc>
        <w:tc>
          <w:tcPr>
            <w:tcW w:type="dxa" w:w="1928"/>
            <w:shd w:val="clear" w:fill="EDF1F7"/>
          </w:tcPr>
          <w:p>
            <w:pPr>
              <w:spacing w:after="20"/>
            </w:pPr>
            <w:r/>
            <w:r>
              <w:rPr>
                <w:sz w:val="18"/>
              </w:rPr>
              <w:t>−25.0 %</w:t>
            </w:r>
          </w:p>
        </w:tc>
      </w:tr>
    </w:tbl>
    <w:p>
      <w:pPr>
        <w:spacing w:after="40"/>
      </w:pPr>
    </w:p>
    <w:p>
      <w:pPr>
        <w:spacing w:after="120"/>
      </w:pPr>
      <w:r>
        <w:rPr>
          <w:i w:val="0"/>
          <w:sz w:val="22"/>
        </w:rPr>
        <w:t>Enforcement is a small state machine. The 20 % maintenance margin and the 5.0× trigger are the same event written two ways, since a 20 % ratio means exposure is five times equity. At the breach the broker sells 100 % of open holdings at the current tick, repays the debt and charges 5 % on gross proceeds; with equity at or below zero the account is wiped out, and either way it is locked against further orders.</w:t>
      </w:r>
    </w:p>
    <w:tbl>
      <w:tblPr>
        <w:tblStyle w:val="TableGrid"/>
        <w:tblW w:type="auto" w:w="0"/>
        <w:jc w:val="center"/>
        <w:tblLook w:firstColumn="1" w:firstRow="1" w:lastColumn="0" w:lastRow="0" w:noHBand="0" w:noVBand="1" w:val="04A0"/>
      </w:tblPr>
      <w:tblGrid>
        <w:gridCol w:w="3173"/>
        <w:gridCol w:w="3173"/>
        <w:gridCol w:w="3173"/>
      </w:tblGrid>
      <w:tr>
        <w:tc>
          <w:tcPr>
            <w:tcW w:type="dxa" w:w="1928"/>
            <w:shd w:val="clear" w:fill="1F3A5F"/>
          </w:tcPr>
          <w:p>
            <w:r/>
            <w:r>
              <w:rPr>
                <w:b/>
                <w:color w:val="FFFFFF"/>
                <w:sz w:val="18"/>
              </w:rPr>
              <w:t>State</w:t>
            </w:r>
          </w:p>
        </w:tc>
        <w:tc>
          <w:tcPr>
            <w:tcW w:type="dxa" w:w="3402"/>
            <w:shd w:val="clear" w:fill="1F3A5F"/>
          </w:tcPr>
          <w:p>
            <w:r/>
            <w:r>
              <w:rPr>
                <w:b/>
                <w:color w:val="FFFFFF"/>
                <w:sz w:val="18"/>
              </w:rPr>
              <w:t>Condition</w:t>
            </w:r>
          </w:p>
        </w:tc>
        <w:tc>
          <w:tcPr>
            <w:tcW w:type="dxa" w:w="3855"/>
            <w:shd w:val="clear" w:fill="1F3A5F"/>
          </w:tcPr>
          <w:p>
            <w:r/>
            <w:r>
              <w:rPr>
                <w:b/>
                <w:color w:val="FFFFFF"/>
                <w:sz w:val="18"/>
              </w:rPr>
              <w:t>System action</w:t>
            </w:r>
          </w:p>
        </w:tc>
      </w:tr>
      <w:tr>
        <w:tc>
          <w:tcPr>
            <w:tcW w:type="dxa" w:w="1928"/>
          </w:tcPr>
          <w:p>
            <w:pPr>
              <w:spacing w:after="20"/>
            </w:pPr>
            <w:r/>
            <w:r>
              <w:rPr>
                <w:sz w:val="18"/>
              </w:rPr>
              <w:t>Safe</w:t>
            </w:r>
          </w:p>
        </w:tc>
        <w:tc>
          <w:tcPr>
            <w:tcW w:type="dxa" w:w="3402"/>
          </w:tcPr>
          <w:p>
            <w:pPr>
              <w:spacing w:after="20"/>
            </w:pPr>
            <w:r/>
            <w:r>
              <w:rPr>
                <w:sz w:val="18"/>
              </w:rPr>
              <w:t>Leverage ≤ 2.5× (ratio ≥ 40 %)</w:t>
            </w:r>
          </w:p>
        </w:tc>
        <w:tc>
          <w:tcPr>
            <w:tcW w:type="dxa" w:w="3855"/>
          </w:tcPr>
          <w:p>
            <w:pPr>
              <w:spacing w:after="20"/>
            </w:pPr>
            <w:r/>
            <w:r>
              <w:rPr>
                <w:sz w:val="18"/>
              </w:rPr>
              <w:t>Normal play</w:t>
            </w:r>
          </w:p>
        </w:tc>
      </w:tr>
      <w:tr>
        <w:tc>
          <w:tcPr>
            <w:tcW w:type="dxa" w:w="1928"/>
            <w:shd w:val="clear" w:fill="EDF1F7"/>
          </w:tcPr>
          <w:p>
            <w:pPr>
              <w:spacing w:after="20"/>
            </w:pPr>
            <w:r/>
            <w:r>
              <w:rPr>
                <w:sz w:val="18"/>
              </w:rPr>
              <w:t>Margin warning</w:t>
            </w:r>
          </w:p>
        </w:tc>
        <w:tc>
          <w:tcPr>
            <w:tcW w:type="dxa" w:w="3402"/>
            <w:shd w:val="clear" w:fill="EDF1F7"/>
          </w:tcPr>
          <w:p>
            <w:pPr>
              <w:spacing w:after="20"/>
            </w:pPr>
            <w:r/>
            <w:r>
              <w:rPr>
                <w:sz w:val="18"/>
              </w:rPr>
              <w:t>2.5× &lt; leverage &lt; 5.0×</w:t>
            </w:r>
          </w:p>
        </w:tc>
        <w:tc>
          <w:tcPr>
            <w:tcW w:type="dxa" w:w="3855"/>
            <w:shd w:val="clear" w:fill="EDF1F7"/>
          </w:tcPr>
          <w:p>
            <w:pPr>
              <w:spacing w:after="20"/>
            </w:pPr>
            <w:r/>
            <w:r>
              <w:rPr>
                <w:sz w:val="18"/>
              </w:rPr>
              <w:t>Warning banner; prompts voluntary de-risking</w:t>
            </w:r>
          </w:p>
        </w:tc>
      </w:tr>
      <w:tr>
        <w:tc>
          <w:tcPr>
            <w:tcW w:type="dxa" w:w="1928"/>
          </w:tcPr>
          <w:p>
            <w:pPr>
              <w:spacing w:after="20"/>
            </w:pPr>
            <w:r/>
            <w:r>
              <w:rPr>
                <w:sz w:val="18"/>
              </w:rPr>
              <w:t>Maintenance breach</w:t>
            </w:r>
          </w:p>
        </w:tc>
        <w:tc>
          <w:tcPr>
            <w:tcW w:type="dxa" w:w="3402"/>
          </w:tcPr>
          <w:p>
            <w:pPr>
              <w:spacing w:after="20"/>
            </w:pPr>
            <w:r/>
            <w:r>
              <w:rPr>
                <w:sz w:val="18"/>
              </w:rPr>
              <w:t>Leverage ≥ 5.0× or ratio &lt; 20 %</w:t>
            </w:r>
          </w:p>
        </w:tc>
        <w:tc>
          <w:tcPr>
            <w:tcW w:type="dxa" w:w="3855"/>
          </w:tcPr>
          <w:p>
            <w:pPr>
              <w:spacing w:after="20"/>
            </w:pPr>
            <w:r/>
            <w:r>
              <w:rPr>
                <w:sz w:val="18"/>
              </w:rPr>
              <w:t>Fire-sale of all holdings, debt repaid, 5 % penalty</w:t>
            </w:r>
          </w:p>
        </w:tc>
      </w:tr>
      <w:tr>
        <w:tc>
          <w:tcPr>
            <w:tcW w:type="dxa" w:w="1928"/>
            <w:shd w:val="clear" w:fill="EDF1F7"/>
          </w:tcPr>
          <w:p>
            <w:pPr>
              <w:spacing w:after="20"/>
            </w:pPr>
            <w:r/>
            <w:r>
              <w:rPr>
                <w:sz w:val="18"/>
              </w:rPr>
              <w:t>Solvency check</w:t>
            </w:r>
          </w:p>
        </w:tc>
        <w:tc>
          <w:tcPr>
            <w:tcW w:type="dxa" w:w="3402"/>
            <w:shd w:val="clear" w:fill="EDF1F7"/>
          </w:tcPr>
          <w:p>
            <w:pPr>
              <w:spacing w:after="20"/>
            </w:pPr>
            <w:r/>
            <w:r>
              <w:rPr>
                <w:sz w:val="18"/>
              </w:rPr>
              <w:t>Net equity ≤ 0</w:t>
            </w:r>
          </w:p>
        </w:tc>
        <w:tc>
          <w:tcPr>
            <w:tcW w:type="dxa" w:w="3855"/>
            <w:shd w:val="clear" w:fill="EDF1F7"/>
          </w:tcPr>
          <w:p>
            <w:pPr>
              <w:spacing w:after="20"/>
            </w:pPr>
            <w:r/>
            <w:r>
              <w:rPr>
                <w:sz w:val="18"/>
              </w:rPr>
              <w:t>Wipeout / game over</w:t>
            </w:r>
          </w:p>
        </w:tc>
      </w:tr>
    </w:tbl>
    <w:p>
      <w:pPr>
        <w:spacing w:after="40"/>
      </w:pPr>
    </w:p>
    <w:p>
      <w:pPr>
        <w:spacing w:after="120"/>
      </w:pPr>
      <w:r>
        <w:rPr>
          <w:i w:val="0"/>
          <w:sz w:val="22"/>
        </w:rPr>
        <w:t>₩10m at 4× builds a ₩40m position on ₩30m of debt; a 20 % shock leaves ₩32m of stock, the 5 % penalty takes ₩1.6m, the ₩30.4m of proceeds repay the debt and ₩0.4m survives. A percentage penalty scales with the size of the mistake, which is why I insisted the suite pin that case exactly.</w:t>
      </w:r>
    </w:p>
    <w:p>
      <w:pPr>
        <w:pStyle w:val="Heading1"/>
      </w:pPr>
      <w:r>
        <w:t>5. The Phase 1 system flow</w:t>
      </w:r>
    </w:p>
    <w:p>
      <w:pPr>
        <w:spacing w:after="120"/>
      </w:pPr>
      <w:r>
        <w:rPr>
          <w:i w:val="0"/>
          <w:sz w:val="22"/>
        </w:rPr>
        <w:t>The second half of my contribution is the interaction loop itself, drawn as phase_1_workflow.jpg, written up in the Feature Map and mirrored in docs/user_flow.md §2 and src/simulation_engine.py:</w:t>
      </w:r>
    </w:p>
    <w:p>
      <w:pPr>
        <w:spacing w:after="60"/>
        <w:ind w:left="425" w:hanging="425"/>
      </w:pPr>
      <w:r>
        <w:t xml:space="preserve">1.  </w:t>
      </w:r>
      <w:r>
        <w:rPr>
          <w:b/>
        </w:rPr>
        <w:t xml:space="preserve">Start: </w:t>
      </w:r>
      <w:r>
        <w:t>Phase 1 is initiated from the start screen.</w:t>
      </w:r>
    </w:p>
    <w:p>
      <w:pPr>
        <w:spacing w:after="60"/>
        <w:ind w:left="425" w:hanging="425"/>
      </w:pPr>
      <w:r>
        <w:t xml:space="preserve">2.  </w:t>
      </w:r>
      <w:r>
        <w:rPr>
          <w:b/>
        </w:rPr>
        <w:t xml:space="preserve">Initialisation: </w:t>
      </w:r>
      <w:r>
        <w:t>cash from the assigned capital; shares, savings and debt at zero; goal, ceiling and news queue attached.</w:t>
      </w:r>
    </w:p>
    <w:p>
      <w:pPr>
        <w:spacing w:after="60"/>
        <w:ind w:left="425" w:hanging="425"/>
      </w:pPr>
      <w:r>
        <w:t xml:space="preserve">3.  </w:t>
      </w:r>
      <w:r>
        <w:rPr>
          <w:b/>
        </w:rPr>
        <w:t xml:space="preserve">Dashboard: </w:t>
      </w:r>
      <w:r>
        <w:t>a 300-second countdown begins.</w:t>
      </w:r>
    </w:p>
    <w:p>
      <w:pPr>
        <w:spacing w:after="60"/>
        <w:ind w:left="425" w:hanging="425"/>
      </w:pPr>
      <w:r>
        <w:t xml:space="preserve">4.  </w:t>
      </w:r>
      <w:r>
        <w:rPr>
          <w:b/>
        </w:rPr>
        <w:t xml:space="preserve">Tick: </w:t>
      </w:r>
      <w:r>
        <w:t>one price per second from the deterministic scenario file — no randomness, no live feed.</w:t>
      </w:r>
    </w:p>
    <w:p>
      <w:pPr>
        <w:spacing w:after="60"/>
        <w:ind w:left="425" w:hanging="425"/>
      </w:pPr>
      <w:r>
        <w:t xml:space="preserve">5.  </w:t>
      </w:r>
      <w:r>
        <w:rPr>
          <w:b/>
        </w:rPr>
        <w:t xml:space="preserve">Validation: </w:t>
      </w:r>
      <w:r>
        <w:t>Buy, Sell or Savings; insufficient power or shares is rejected with the state unchanged; no short selling.</w:t>
      </w:r>
    </w:p>
    <w:p>
      <w:pPr>
        <w:spacing w:after="60"/>
        <w:ind w:left="425" w:hanging="425"/>
      </w:pPr>
      <w:r>
        <w:t xml:space="preserve">6.  </w:t>
      </w:r>
      <w:r>
        <w:rPr>
          <w:b/>
        </w:rPr>
        <w:t xml:space="preserve">Recalculation: </w:t>
      </w:r>
      <w:r>
        <w:t>exposure, net equity, effective leverage and margin ratio.</w:t>
      </w:r>
    </w:p>
    <w:p>
      <w:pPr>
        <w:spacing w:after="60"/>
        <w:ind w:left="425" w:hanging="425"/>
      </w:pPr>
      <w:r>
        <w:t xml:space="preserve">7.  </w:t>
      </w:r>
      <w:r>
        <w:rPr>
          <w:b/>
        </w:rPr>
        <w:t xml:space="preserve">Margin check: </w:t>
      </w:r>
      <w:r>
        <w:t>forced liquidation with penalty, then solvency check; otherwise refresh and continue.</w:t>
      </w:r>
    </w:p>
    <w:p>
      <w:pPr>
        <w:spacing w:after="60"/>
        <w:ind w:left="425" w:hanging="425"/>
      </w:pPr>
      <w:r>
        <w:t xml:space="preserve">8.  </w:t>
      </w:r>
      <w:r>
        <w:rPr>
          <w:b/>
        </w:rPr>
        <w:t xml:space="preserve">Settlement: </w:t>
      </w:r>
      <w:r>
        <w:t>orders before tick 150 deliver after 30 ticks; later orders wait for Phase 2.</w:t>
      </w:r>
    </w:p>
    <w:p>
      <w:pPr>
        <w:spacing w:after="60"/>
        <w:ind w:left="425" w:hanging="425"/>
      </w:pPr>
      <w:r>
        <w:t xml:space="preserve">9.  </w:t>
      </w:r>
      <w:r>
        <w:rPr>
          <w:b/>
        </w:rPr>
        <w:t xml:space="preserve">Phase conclusion: </w:t>
      </w:r>
      <w:r>
        <w:t>savings accrue one session return, target progress is reported, the next phase begins.</w:t>
      </w:r>
    </w:p>
    <w:p>
      <w:pPr>
        <w:spacing w:after="120"/>
      </w:pPr>
      <w:r>
        <w:rPr>
          <w:i w:val="0"/>
          <w:sz w:val="22"/>
        </w:rPr>
        <w:t>Settlement is a design choice: a position can be unsettled while its price moves, and an order placed late in a phase stays exposed across the boundary. That is the liquidity trap the product teaches, and it is why the rule belongs in the flow rather than in implementation detail.</w:t>
      </w:r>
    </w:p>
    <w:p>
      <w:pPr>
        <w:pStyle w:val="Heading1"/>
      </w:pPr>
      <w:r>
        <w:t>6. Difficulty, targets and market constraints</w:t>
      </w:r>
    </w:p>
    <w:p>
      <w:pPr>
        <w:spacing w:after="120"/>
      </w:pPr>
      <w:r>
        <w:rPr>
          <w:i w:val="0"/>
          <w:sz w:val="22"/>
        </w:rPr>
        <w:t>I calibrated three property targets against the backtest benchmarks rather than choosing round numbers; each is a multiple of initial capital, set against what a perfect-foresight optimiser reaches in the same data:</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041"/>
            <w:shd w:val="clear" w:fill="1F3A5F"/>
          </w:tcPr>
          <w:p>
            <w:r/>
            <w:r>
              <w:rPr>
                <w:b/>
                <w:color w:val="FFFFFF"/>
                <w:sz w:val="18"/>
              </w:rPr>
              <w:t>Target</w:t>
            </w:r>
          </w:p>
        </w:tc>
        <w:tc>
          <w:tcPr>
            <w:tcW w:type="dxa" w:w="1361"/>
            <w:shd w:val="clear" w:fill="1F3A5F"/>
          </w:tcPr>
          <w:p>
            <w:r/>
            <w:r>
              <w:rPr>
                <w:b/>
                <w:color w:val="FFFFFF"/>
                <w:sz w:val="18"/>
              </w:rPr>
              <w:t>Multiple</w:t>
            </w:r>
          </w:p>
        </w:tc>
        <w:tc>
          <w:tcPr>
            <w:tcW w:type="dxa" w:w="2835"/>
            <w:shd w:val="clear" w:fill="1F3A5F"/>
          </w:tcPr>
          <w:p>
            <w:r/>
            <w:r>
              <w:rPr>
                <w:b/>
                <w:color w:val="FFFFFF"/>
                <w:sz w:val="18"/>
              </w:rPr>
              <w:t>Share of ~156× benchmark</w:t>
            </w:r>
          </w:p>
        </w:tc>
        <w:tc>
          <w:tcPr>
            <w:tcW w:type="dxa" w:w="3402"/>
            <w:shd w:val="clear" w:fill="1F3A5F"/>
          </w:tcPr>
          <w:p>
            <w:r/>
            <w:r>
              <w:rPr>
                <w:b/>
                <w:color w:val="FFFFFF"/>
                <w:sz w:val="18"/>
              </w:rPr>
              <w:t>Correct style</w:t>
            </w:r>
          </w:p>
        </w:tc>
      </w:tr>
      <w:tr>
        <w:tc>
          <w:tcPr>
            <w:tcW w:type="dxa" w:w="2041"/>
          </w:tcPr>
          <w:p>
            <w:pPr>
              <w:spacing w:after="20"/>
            </w:pPr>
            <w:r/>
            <w:r>
              <w:rPr>
                <w:sz w:val="18"/>
              </w:rPr>
              <w:t>Small House</w:t>
            </w:r>
          </w:p>
        </w:tc>
        <w:tc>
          <w:tcPr>
            <w:tcW w:type="dxa" w:w="1361"/>
          </w:tcPr>
          <w:p>
            <w:pPr>
              <w:spacing w:after="20"/>
            </w:pPr>
            <w:r/>
            <w:r>
              <w:rPr>
                <w:sz w:val="18"/>
              </w:rPr>
              <w:t>3×</w:t>
            </w:r>
          </w:p>
        </w:tc>
        <w:tc>
          <w:tcPr>
            <w:tcW w:type="dxa" w:w="2835"/>
          </w:tcPr>
          <w:p>
            <w:pPr>
              <w:spacing w:after="20"/>
            </w:pPr>
            <w:r/>
            <w:r>
              <w:rPr>
                <w:sz w:val="18"/>
              </w:rPr>
              <w:t>≈ 1.9 %</w:t>
            </w:r>
          </w:p>
        </w:tc>
        <w:tc>
          <w:tcPr>
            <w:tcW w:type="dxa" w:w="3402"/>
          </w:tcPr>
          <w:p>
            <w:pPr>
              <w:spacing w:after="20"/>
            </w:pPr>
            <w:r/>
            <w:r>
              <w:rPr>
                <w:sz w:val="18"/>
              </w:rPr>
              <w:t>Cash only is enough</w:t>
            </w:r>
          </w:p>
        </w:tc>
      </w:tr>
      <w:tr>
        <w:tc>
          <w:tcPr>
            <w:tcW w:type="dxa" w:w="2041"/>
            <w:shd w:val="clear" w:fill="EDF1F7"/>
          </w:tcPr>
          <w:p>
            <w:pPr>
              <w:spacing w:after="20"/>
            </w:pPr>
            <w:r/>
            <w:r>
              <w:rPr>
                <w:sz w:val="18"/>
              </w:rPr>
              <w:t>Normal House</w:t>
            </w:r>
          </w:p>
        </w:tc>
        <w:tc>
          <w:tcPr>
            <w:tcW w:type="dxa" w:w="1361"/>
            <w:shd w:val="clear" w:fill="EDF1F7"/>
          </w:tcPr>
          <w:p>
            <w:pPr>
              <w:spacing w:after="20"/>
            </w:pPr>
            <w:r/>
            <w:r>
              <w:rPr>
                <w:sz w:val="18"/>
              </w:rPr>
              <w:t>20×</w:t>
            </w:r>
          </w:p>
        </w:tc>
        <w:tc>
          <w:tcPr>
            <w:tcW w:type="dxa" w:w="2835"/>
            <w:shd w:val="clear" w:fill="EDF1F7"/>
          </w:tcPr>
          <w:p>
            <w:pPr>
              <w:spacing w:after="20"/>
            </w:pPr>
            <w:r/>
            <w:r>
              <w:rPr>
                <w:sz w:val="18"/>
              </w:rPr>
              <w:t>≈ 12.8 %</w:t>
            </w:r>
          </w:p>
        </w:tc>
        <w:tc>
          <w:tcPr>
            <w:tcW w:type="dxa" w:w="3402"/>
            <w:shd w:val="clear" w:fill="EDF1F7"/>
          </w:tcPr>
          <w:p>
            <w:pPr>
              <w:spacing w:after="20"/>
            </w:pPr>
            <w:r/>
            <w:r>
              <w:rPr>
                <w:sz w:val="18"/>
              </w:rPr>
              <w:t>2×–3× margin with profit-taking</w:t>
            </w:r>
          </w:p>
        </w:tc>
      </w:tr>
      <w:tr>
        <w:tc>
          <w:tcPr>
            <w:tcW w:type="dxa" w:w="2041"/>
          </w:tcPr>
          <w:p>
            <w:pPr>
              <w:spacing w:after="20"/>
            </w:pPr>
            <w:r/>
            <w:r>
              <w:rPr>
                <w:sz w:val="18"/>
              </w:rPr>
              <w:t>ToLam Villa</w:t>
            </w:r>
          </w:p>
        </w:tc>
        <w:tc>
          <w:tcPr>
            <w:tcW w:type="dxa" w:w="1361"/>
          </w:tcPr>
          <w:p>
            <w:pPr>
              <w:spacing w:after="20"/>
            </w:pPr>
            <w:r/>
            <w:r>
              <w:rPr>
                <w:sz w:val="18"/>
              </w:rPr>
              <w:t>100×</w:t>
            </w:r>
          </w:p>
        </w:tc>
        <w:tc>
          <w:tcPr>
            <w:tcW w:type="dxa" w:w="2835"/>
          </w:tcPr>
          <w:p>
            <w:pPr>
              <w:spacing w:after="20"/>
            </w:pPr>
            <w:r/>
            <w:r>
              <w:rPr>
                <w:sz w:val="18"/>
              </w:rPr>
              <w:t>≈ 64.1 %</w:t>
            </w:r>
          </w:p>
        </w:tc>
        <w:tc>
          <w:tcPr>
            <w:tcW w:type="dxa" w:w="3402"/>
          </w:tcPr>
          <w:p>
            <w:pPr>
              <w:spacing w:after="20"/>
            </w:pPr>
            <w:r/>
            <w:r>
              <w:rPr>
                <w:sz w:val="18"/>
              </w:rPr>
              <w:t>4× leverage, near-perfect timing</w:t>
            </w:r>
          </w:p>
        </w:tc>
      </w:tr>
    </w:tbl>
    <w:p>
      <w:pPr>
        <w:spacing w:after="40"/>
      </w:pPr>
    </w:p>
    <w:p>
      <w:pPr>
        <w:spacing w:after="120"/>
      </w:pPr>
      <w:r>
        <w:rPr>
          <w:i w:val="0"/>
          <w:sz w:val="22"/>
        </w:rPr>
        <w:t>The gaps are qualitatively different. At 3× the cash-only benchmark (2.92×–5.20×) already succeeds, so the target teaches position sizing and pre-crash rotation into savings. At 20× only 2×–3× margin reaches, so the player must borrow and manage it. At 100× only 4× held with near-perfect timing works — the tier where a 6.25 % fall ends the game. The three narrative endings follow from the same ladder.</w:t>
      </w:r>
    </w:p>
    <w:p>
      <w:pPr>
        <w:spacing w:after="120"/>
      </w:pPr>
      <w:r>
        <w:rPr>
          <w:i w:val="0"/>
          <w:sz w:val="22"/>
        </w:rPr>
        <w:t>Two rules keep it playable: Bank Savings pays 4.75 % per completed session, giving de-risking a visible opportunity cost, and bounded prices keep liquidations attributable to leverage rather than one absurd candle. My first limit rule (±30 % per half-session, compounding to +69 % / −51 % per phase) was retired after the dataset audit found the PM reference reset ambiguous; the final rule is a phase-wide 70 %–130 % band.</w:t>
      </w:r>
    </w:p>
    <w:p>
      <w:pPr>
        <w:pStyle w:val="Heading1"/>
      </w:pPr>
      <w:r>
        <w:t>7. Documents I authored</w:t>
      </w:r>
    </w:p>
    <w:tbl>
      <w:tblPr>
        <w:tblStyle w:val="TableGrid"/>
        <w:tblW w:type="auto" w:w="0"/>
        <w:jc w:val="center"/>
        <w:tblLook w:firstColumn="1" w:firstRow="1" w:lastColumn="0" w:lastRow="0" w:noHBand="0" w:noVBand="1" w:val="04A0"/>
      </w:tblPr>
      <w:tblGrid>
        <w:gridCol w:w="3173"/>
        <w:gridCol w:w="3173"/>
        <w:gridCol w:w="3173"/>
      </w:tblGrid>
      <w:tr>
        <w:tc>
          <w:tcPr>
            <w:tcW w:type="dxa" w:w="737"/>
            <w:shd w:val="clear" w:fill="1F3A5F"/>
          </w:tcPr>
          <w:p>
            <w:r/>
            <w:r>
              <w:rPr>
                <w:b/>
                <w:color w:val="FFFFFF"/>
                <w:sz w:val="18"/>
              </w:rPr>
              <w:t>Week</w:t>
            </w:r>
          </w:p>
        </w:tc>
        <w:tc>
          <w:tcPr>
            <w:tcW w:type="dxa" w:w="2551"/>
            <w:shd w:val="clear" w:fill="1F3A5F"/>
          </w:tcPr>
          <w:p>
            <w:r/>
            <w:r>
              <w:rPr>
                <w:b/>
                <w:color w:val="FFFFFF"/>
                <w:sz w:val="18"/>
              </w:rPr>
              <w:t>Document</w:t>
            </w:r>
          </w:p>
        </w:tc>
        <w:tc>
          <w:tcPr>
            <w:tcW w:type="dxa" w:w="5896"/>
            <w:shd w:val="clear" w:fill="1F3A5F"/>
          </w:tcPr>
          <w:p>
            <w:r/>
            <w:r>
              <w:rPr>
                <w:b/>
                <w:color w:val="FFFFFF"/>
                <w:sz w:val="18"/>
              </w:rPr>
              <w:t>What it contains</w:t>
            </w:r>
          </w:p>
        </w:tc>
      </w:tr>
      <w:tr>
        <w:tc>
          <w:tcPr>
            <w:tcW w:type="dxa" w:w="737"/>
          </w:tcPr>
          <w:p>
            <w:pPr>
              <w:spacing w:after="20"/>
            </w:pPr>
            <w:r/>
            <w:r>
              <w:rPr>
                <w:sz w:val="18"/>
              </w:rPr>
              <w:t>2</w:t>
            </w:r>
          </w:p>
        </w:tc>
        <w:tc>
          <w:tcPr>
            <w:tcW w:type="dxa" w:w="2551"/>
          </w:tcPr>
          <w:p>
            <w:pPr>
              <w:spacing w:after="20"/>
            </w:pPr>
            <w:r/>
            <w:r>
              <w:rPr>
                <w:sz w:val="18"/>
              </w:rPr>
              <w:t>Solution_Structure.md</w:t>
            </w:r>
          </w:p>
        </w:tc>
        <w:tc>
          <w:tcPr>
            <w:tcW w:type="dxa" w:w="5896"/>
          </w:tcPr>
          <w:p>
            <w:pPr>
              <w:spacing w:after="20"/>
            </w:pPr>
            <w:r/>
            <w:r>
              <w:rPr>
                <w:sz w:val="18"/>
              </w:rPr>
              <w:t>Risk-engine architecture: state variables, formulas, leverage model</w:t>
            </w:r>
          </w:p>
        </w:tc>
      </w:tr>
      <w:tr>
        <w:tc>
          <w:tcPr>
            <w:tcW w:type="dxa" w:w="737"/>
            <w:shd w:val="clear" w:fill="EDF1F7"/>
          </w:tcPr>
          <w:p>
            <w:pPr>
              <w:spacing w:after="20"/>
            </w:pPr>
            <w:r/>
            <w:r>
              <w:rPr>
                <w:sz w:val="18"/>
              </w:rPr>
              <w:t>3</w:t>
            </w:r>
          </w:p>
        </w:tc>
        <w:tc>
          <w:tcPr>
            <w:tcW w:type="dxa" w:w="2551"/>
            <w:shd w:val="clear" w:fill="EDF1F7"/>
          </w:tcPr>
          <w:p>
            <w:pPr>
              <w:spacing w:after="20"/>
            </w:pPr>
            <w:r/>
            <w:r>
              <w:rPr>
                <w:sz w:val="18"/>
              </w:rPr>
              <w:t>ASSUMPTIONS.md</w:t>
            </w:r>
          </w:p>
        </w:tc>
        <w:tc>
          <w:tcPr>
            <w:tcW w:type="dxa" w:w="5896"/>
            <w:shd w:val="clear" w:fill="EDF1F7"/>
          </w:tcPr>
          <w:p>
            <w:pPr>
              <w:spacing w:after="20"/>
            </w:pPr>
            <w:r/>
            <w:r>
              <w:rPr>
                <w:sz w:val="18"/>
              </w:rPr>
              <w:t>Maintenance margin, trigger, penalty, settlement, savings</w:t>
            </w:r>
          </w:p>
        </w:tc>
      </w:tr>
      <w:tr>
        <w:tc>
          <w:tcPr>
            <w:tcW w:type="dxa" w:w="737"/>
          </w:tcPr>
          <w:p>
            <w:pPr>
              <w:spacing w:after="20"/>
            </w:pPr>
            <w:r/>
            <w:r>
              <w:rPr>
                <w:sz w:val="18"/>
              </w:rPr>
              <w:t>3</w:t>
            </w:r>
          </w:p>
        </w:tc>
        <w:tc>
          <w:tcPr>
            <w:tcW w:type="dxa" w:w="2551"/>
          </w:tcPr>
          <w:p>
            <w:pPr>
              <w:spacing w:after="20"/>
            </w:pPr>
            <w:r/>
            <w:r>
              <w:rPr>
                <w:sz w:val="18"/>
              </w:rPr>
              <w:t>INPUT_DICTIONARY.md</w:t>
            </w:r>
          </w:p>
        </w:tc>
        <w:tc>
          <w:tcPr>
            <w:tcW w:type="dxa" w:w="5896"/>
          </w:tcPr>
          <w:p>
            <w:pPr>
              <w:spacing w:after="20"/>
            </w:pPr>
            <w:r/>
            <w:r>
              <w:rPr>
                <w:sz w:val="18"/>
              </w:rPr>
              <w:t>Input schema, margin tiers, target calibration</w:t>
            </w:r>
          </w:p>
        </w:tc>
      </w:tr>
      <w:tr>
        <w:tc>
          <w:tcPr>
            <w:tcW w:type="dxa" w:w="737"/>
            <w:shd w:val="clear" w:fill="EDF1F7"/>
          </w:tcPr>
          <w:p>
            <w:pPr>
              <w:spacing w:after="20"/>
            </w:pPr>
            <w:r/>
            <w:r>
              <w:rPr>
                <w:sz w:val="18"/>
              </w:rPr>
              <w:t>3</w:t>
            </w:r>
          </w:p>
        </w:tc>
        <w:tc>
          <w:tcPr>
            <w:tcW w:type="dxa" w:w="2551"/>
            <w:shd w:val="clear" w:fill="EDF1F7"/>
          </w:tcPr>
          <w:p>
            <w:pPr>
              <w:spacing w:after="20"/>
            </w:pPr>
            <w:r/>
            <w:r>
              <w:rPr>
                <w:sz w:val="18"/>
              </w:rPr>
              <w:t>SAMPLE_INPUT_OUTPUT.md</w:t>
            </w:r>
          </w:p>
        </w:tc>
        <w:tc>
          <w:tcPr>
            <w:tcW w:type="dxa" w:w="5896"/>
            <w:shd w:val="clear" w:fill="EDF1F7"/>
          </w:tcPr>
          <w:p>
            <w:pPr>
              <w:spacing w:after="20"/>
            </w:pPr>
            <w:r/>
            <w:r>
              <w:rPr>
                <w:sz w:val="18"/>
              </w:rPr>
              <w:t>Worked cases: wipeout versus cash-only survival</w:t>
            </w:r>
          </w:p>
        </w:tc>
      </w:tr>
      <w:tr>
        <w:tc>
          <w:tcPr>
            <w:tcW w:type="dxa" w:w="737"/>
          </w:tcPr>
          <w:p>
            <w:pPr>
              <w:spacing w:after="20"/>
            </w:pPr>
            <w:r/>
            <w:r>
              <w:rPr>
                <w:sz w:val="18"/>
              </w:rPr>
              <w:t>4</w:t>
            </w:r>
          </w:p>
        </w:tc>
        <w:tc>
          <w:tcPr>
            <w:tcW w:type="dxa" w:w="2551"/>
          </w:tcPr>
          <w:p>
            <w:pPr>
              <w:spacing w:after="20"/>
            </w:pPr>
            <w:r/>
            <w:r>
              <w:rPr>
                <w:sz w:val="18"/>
              </w:rPr>
              <w:t>MIDTERM_REVIEW.md</w:t>
            </w:r>
          </w:p>
        </w:tc>
        <w:tc>
          <w:tcPr>
            <w:tcW w:type="dxa" w:w="5896"/>
          </w:tcPr>
          <w:p>
            <w:pPr>
              <w:spacing w:after="20"/>
            </w:pPr>
            <w:r/>
            <w:r>
              <w:rPr>
                <w:sz w:val="18"/>
              </w:rPr>
              <w:t>Financial-logic review and margin-call derivation</w:t>
            </w:r>
          </w:p>
        </w:tc>
      </w:tr>
      <w:tr>
        <w:tc>
          <w:tcPr>
            <w:tcW w:type="dxa" w:w="737"/>
            <w:shd w:val="clear" w:fill="EDF1F7"/>
          </w:tcPr>
          <w:p>
            <w:pPr>
              <w:spacing w:after="20"/>
            </w:pPr>
            <w:r/>
            <w:r>
              <w:rPr>
                <w:sz w:val="18"/>
              </w:rPr>
              <w:t>5</w:t>
            </w:r>
          </w:p>
        </w:tc>
        <w:tc>
          <w:tcPr>
            <w:tcW w:type="dxa" w:w="2551"/>
            <w:shd w:val="clear" w:fill="EDF1F7"/>
          </w:tcPr>
          <w:p>
            <w:pPr>
              <w:spacing w:after="20"/>
            </w:pPr>
            <w:r/>
            <w:r>
              <w:rPr>
                <w:sz w:val="18"/>
              </w:rPr>
              <w:t>Feature_map.md</w:t>
            </w:r>
          </w:p>
        </w:tc>
        <w:tc>
          <w:tcPr>
            <w:tcW w:type="dxa" w:w="5896"/>
            <w:shd w:val="clear" w:fill="EDF1F7"/>
          </w:tcPr>
          <w:p>
            <w:pPr>
              <w:spacing w:after="20"/>
            </w:pPr>
            <w:r/>
            <w:r>
              <w:rPr>
                <w:sz w:val="18"/>
              </w:rPr>
              <w:t>Phase 1 loop, T+0.5 rule, phase-by-phase behaviour</w:t>
            </w:r>
          </w:p>
        </w:tc>
      </w:tr>
      <w:tr>
        <w:tc>
          <w:tcPr>
            <w:tcW w:type="dxa" w:w="737"/>
          </w:tcPr>
          <w:p>
            <w:pPr>
              <w:spacing w:after="20"/>
            </w:pPr>
            <w:r/>
            <w:r>
              <w:rPr>
                <w:sz w:val="18"/>
              </w:rPr>
              <w:t>5</w:t>
            </w:r>
          </w:p>
        </w:tc>
        <w:tc>
          <w:tcPr>
            <w:tcW w:type="dxa" w:w="2551"/>
          </w:tcPr>
          <w:p>
            <w:pPr>
              <w:spacing w:after="20"/>
            </w:pPr>
            <w:r/>
            <w:r>
              <w:rPr>
                <w:sz w:val="18"/>
              </w:rPr>
              <w:t>phase_1_workflow.jpg</w:t>
            </w:r>
          </w:p>
        </w:tc>
        <w:tc>
          <w:tcPr>
            <w:tcW w:type="dxa" w:w="5896"/>
          </w:tcPr>
          <w:p>
            <w:pPr>
              <w:spacing w:after="20"/>
            </w:pPr>
            <w:r/>
            <w:r>
              <w:rPr>
                <w:sz w:val="18"/>
              </w:rPr>
              <w:t>The flow diagram the engine was built against</w:t>
            </w:r>
          </w:p>
        </w:tc>
      </w:tr>
    </w:tbl>
    <w:p>
      <w:pPr>
        <w:spacing w:after="40"/>
      </w:pPr>
    </w:p>
    <w:p>
      <w:pPr>
        <w:spacing w:after="120"/>
      </w:pPr>
      <w:r>
        <w:rPr>
          <w:i w:val="0"/>
          <w:sz w:val="22"/>
        </w:rPr>
        <w:t>Two were deliberately unglamorous. The Input Dictionary forced the group to name every quantity the simulation consumes, which let the data gatherer build a schema the engine could read without conversion, and ASSUMPTIONS.md records which choices are conventions rather than facts: unlimited fill, no slippage, 4.75 % savings, a percentage penalty. Writing them down made them reviewable, and two were later corrected.</w:t>
      </w:r>
    </w:p>
    <w:p>
      <w:pPr>
        <w:pStyle w:val="Heading1"/>
      </w:pPr>
      <w:r>
        <w:t>8. Integration and verification</w:t>
      </w:r>
    </w:p>
    <w:p>
      <w:pPr>
        <w:spacing w:after="120"/>
      </w:pPr>
      <w:r>
        <w:rPr>
          <w:i w:val="0"/>
          <w:sz w:val="22"/>
        </w:rPr>
        <w:t>A rulebook is only a contribution if the product obeys it, so I traced my specification into code and tests:</w:t>
      </w:r>
    </w:p>
    <w:p>
      <w:pPr>
        <w:pStyle w:val="ListBullet"/>
        <w:spacing w:after="60"/>
      </w:pPr>
      <w:r>
        <w:rPr>
          <w:b/>
        </w:rPr>
        <w:t xml:space="preserve">Defaults: </w:t>
      </w:r>
      <w:r>
        <w:t>maintenance_margin_ratio = 0.20 and liquidation_penalty_pct = 0.05 ship as engine constructor defaults.</w:t>
      </w:r>
    </w:p>
    <w:p>
      <w:pPr>
        <w:pStyle w:val="ListBullet"/>
        <w:spacing w:after="60"/>
      </w:pPr>
      <w:r>
        <w:rPr>
          <w:b/>
        </w:rPr>
        <w:t xml:space="preserve">Enforcement: </w:t>
      </w:r>
      <w:r>
        <w:t>trigger_forced_liquidation() returns gross proceeds, penalty, net proceeds, remaining debt and final cash — my formula set as a signature.</w:t>
      </w:r>
    </w:p>
    <w:p>
      <w:pPr>
        <w:pStyle w:val="ListBullet"/>
        <w:spacing w:after="60"/>
      </w:pPr>
      <w:r>
        <w:rPr>
          <w:b/>
        </w:rPr>
        <w:t xml:space="preserve">Settlement: </w:t>
      </w:r>
      <w:r>
        <w:t>tick &lt; 150 delivers at tick + 30; tick ≥ 150 delivers at tick 301.</w:t>
      </w:r>
    </w:p>
    <w:p>
      <w:pPr>
        <w:pStyle w:val="ListBullet"/>
        <w:spacing w:after="60"/>
      </w:pPr>
      <w:r>
        <w:rPr>
          <w:b/>
        </w:rPr>
        <w:t xml:space="preserve">Exact match: </w:t>
      </w:r>
      <w:r>
        <w:t>the wipeout test reproduces my hand calculation to the won, ending at ₩400,000 of ₩10,000,000.</w:t>
      </w:r>
    </w:p>
    <w:p>
      <w:pPr>
        <w:pStyle w:val="ListBullet"/>
        <w:spacing w:after="60"/>
      </w:pPr>
      <w:r>
        <w:rPr>
          <w:b/>
        </w:rPr>
        <w:t xml:space="preserve">Boundaries: </w:t>
      </w:r>
      <w:r>
        <w:t>20.00 % warns without liquidation; 19.9914 % liquidates immediately.</w:t>
      </w:r>
    </w:p>
    <w:p>
      <w:pPr>
        <w:pStyle w:val="ListBullet"/>
        <w:spacing w:after="60"/>
      </w:pPr>
      <w:r>
        <w:rPr>
          <w:b/>
        </w:rPr>
        <w:t xml:space="preserve">Dashboard: </w:t>
      </w:r>
      <w:r>
        <w:t>net equity, leverage, margin health and target progress are my derived quantities.</w:t>
      </w:r>
    </w:p>
    <w:p>
      <w:pPr>
        <w:spacing w:after="120"/>
      </w:pPr>
      <w:r>
        <w:rPr>
          <w:i w:val="0"/>
          <w:sz w:val="22"/>
        </w:rPr>
        <w:t>The honest counterpart is what remains unreconciled: the committed file holds four tests where the Week 6 specification records twelve cases and a fourteen-test run; my wording said tick ≤ 150 where the engine uses &lt; 150; and the optimiser assumes a 75-second delay where the engine uses 30 ticks. None changes the mechanism, but each is a place where a reader could see documentation and code disagree.</w:t>
      </w:r>
    </w:p>
    <w:p>
      <w:pPr>
        <w:pStyle w:val="Heading1"/>
      </w:pPr>
      <w:r>
        <w:t>9. How the output supports the team</w:t>
      </w:r>
    </w:p>
    <w:p>
      <w:pPr>
        <w:pStyle w:val="ListBullet"/>
        <w:spacing w:after="60"/>
      </w:pPr>
      <w:r>
        <w:rPr>
          <w:b/>
        </w:rPr>
        <w:t xml:space="preserve">Nguyễn Quang Minh (technical developer): </w:t>
      </w:r>
      <w:r>
        <w:t>a rule set coded directly — variables, thresholds, penalty arithmetic, numbered flow — which is why engine defaults and T+0.5 branching mirror my specification.</w:t>
      </w:r>
    </w:p>
    <w:p>
      <w:pPr>
        <w:pStyle w:val="ListBullet"/>
        <w:spacing w:after="60"/>
      </w:pPr>
      <w:r>
        <w:rPr>
          <w:b/>
        </w:rPr>
        <w:t xml:space="preserve">Cáp Phan Quang Khánh (scenario designer): </w:t>
      </w:r>
      <w:r>
        <w:t>the leverage ladder and target matrix that make the safe, alternative and critical-risk paths financially meaningful.</w:t>
      </w:r>
    </w:p>
    <w:p>
      <w:pPr>
        <w:pStyle w:val="ListBullet"/>
        <w:spacing w:after="60"/>
      </w:pPr>
      <w:r>
        <w:rPr>
          <w:b/>
        </w:rPr>
        <w:t xml:space="preserve">Nguyễn Hồng Nguyên (data gatherer): </w:t>
      </w:r>
      <w:r>
        <w:t>price-limit, continuity and settlement constraints the datasets must satisfy, and the benchmark behind 3× / 20× / 100×.</w:t>
      </w:r>
    </w:p>
    <w:p>
      <w:pPr>
        <w:pStyle w:val="ListBullet"/>
        <w:spacing w:after="60"/>
      </w:pPr>
      <w:r>
        <w:rPr>
          <w:b/>
        </w:rPr>
        <w:t xml:space="preserve">Triệu Đức Lương (UI/UX designer): </w:t>
      </w:r>
      <w:r>
        <w:t>the exact metrics and warning states to visualise, so the interface reports the risk model rather than inventing indicators.</w:t>
      </w:r>
    </w:p>
    <w:p>
      <w:pPr>
        <w:spacing w:after="120"/>
      </w:pPr>
      <w:r>
        <w:rPr>
          <w:i w:val="0"/>
          <w:sz w:val="22"/>
        </w:rPr>
        <w:t>Consolidating the weekly files into the README and docs/ pages also surfaced the discrepancies in section 8.</w:t>
      </w:r>
    </w:p>
    <w:p>
      <w:pPr>
        <w:pStyle w:val="Heading1"/>
      </w:pPr>
      <w:r>
        <w:t>10. Revisions and remaining limitations</w:t>
      </w:r>
    </w:p>
    <w:tbl>
      <w:tblPr>
        <w:tblStyle w:val="TableGrid"/>
        <w:tblW w:type="auto" w:w="0"/>
        <w:jc w:val="center"/>
        <w:tblLook w:firstColumn="1" w:firstRow="1" w:lastColumn="0" w:lastRow="0" w:noHBand="0" w:noVBand="1" w:val="04A0"/>
      </w:tblPr>
      <w:tblGrid>
        <w:gridCol w:w="3173"/>
        <w:gridCol w:w="3173"/>
        <w:gridCol w:w="3173"/>
      </w:tblGrid>
      <w:tr>
        <w:tc>
          <w:tcPr>
            <w:tcW w:type="dxa" w:w="2608"/>
            <w:shd w:val="clear" w:fill="1F3A5F"/>
          </w:tcPr>
          <w:p>
            <w:r/>
            <w:r>
              <w:rPr>
                <w:b/>
                <w:color w:val="FFFFFF"/>
                <w:sz w:val="18"/>
              </w:rPr>
              <w:t>Item</w:t>
            </w:r>
          </w:p>
        </w:tc>
        <w:tc>
          <w:tcPr>
            <w:tcW w:type="dxa" w:w="4195"/>
            <w:shd w:val="clear" w:fill="1F3A5F"/>
          </w:tcPr>
          <w:p>
            <w:r/>
            <w:r>
              <w:rPr>
                <w:b/>
                <w:color w:val="FFFFFF"/>
                <w:sz w:val="18"/>
              </w:rPr>
              <w:t>Before → after</w:t>
            </w:r>
          </w:p>
        </w:tc>
        <w:tc>
          <w:tcPr>
            <w:tcW w:type="dxa" w:w="2381"/>
            <w:shd w:val="clear" w:fill="1F3A5F"/>
          </w:tcPr>
          <w:p>
            <w:r/>
            <w:r>
              <w:rPr>
                <w:b/>
                <w:color w:val="FFFFFF"/>
                <w:sz w:val="18"/>
              </w:rPr>
              <w:t>Status</w:t>
            </w:r>
          </w:p>
        </w:tc>
      </w:tr>
      <w:tr>
        <w:tc>
          <w:tcPr>
            <w:tcW w:type="dxa" w:w="2608"/>
          </w:tcPr>
          <w:p>
            <w:pPr>
              <w:spacing w:after="20"/>
            </w:pPr>
            <w:r/>
            <w:r>
              <w:rPr>
                <w:sz w:val="18"/>
              </w:rPr>
              <w:t>Targets</w:t>
            </w:r>
          </w:p>
        </w:tc>
        <w:tc>
          <w:tcPr>
            <w:tcW w:type="dxa" w:w="4195"/>
          </w:tcPr>
          <w:p>
            <w:pPr>
              <w:spacing w:after="20"/>
            </w:pPr>
            <w:r/>
            <w:r>
              <w:rPr>
                <w:sz w:val="18"/>
              </w:rPr>
              <w:t>2× / 8× → 3× / 20× / 100×</w:t>
            </w:r>
          </w:p>
        </w:tc>
        <w:tc>
          <w:tcPr>
            <w:tcW w:type="dxa" w:w="2381"/>
          </w:tcPr>
          <w:p>
            <w:pPr>
              <w:spacing w:after="20"/>
            </w:pPr>
            <w:r/>
            <w:r>
              <w:rPr>
                <w:sz w:val="18"/>
              </w:rPr>
              <w:t>Revised (Week 5)</w:t>
            </w:r>
          </w:p>
        </w:tc>
      </w:tr>
      <w:tr>
        <w:tc>
          <w:tcPr>
            <w:tcW w:type="dxa" w:w="2608"/>
            <w:shd w:val="clear" w:fill="EDF1F7"/>
          </w:tcPr>
          <w:p>
            <w:pPr>
              <w:spacing w:after="20"/>
            </w:pPr>
            <w:r/>
            <w:r>
              <w:rPr>
                <w:sz w:val="18"/>
              </w:rPr>
              <w:t>Leverage input</w:t>
            </w:r>
          </w:p>
        </w:tc>
        <w:tc>
          <w:tcPr>
            <w:tcW w:type="dxa" w:w="4195"/>
            <w:shd w:val="clear" w:fill="EDF1F7"/>
          </w:tcPr>
          <w:p>
            <w:pPr>
              <w:spacing w:after="20"/>
            </w:pPr>
            <w:r/>
            <w:r>
              <w:rPr>
                <w:sz w:val="18"/>
              </w:rPr>
              <w:t>Continuous ratio → Cash / 2× / 3× / 4×</w:t>
            </w:r>
          </w:p>
        </w:tc>
        <w:tc>
          <w:tcPr>
            <w:tcW w:type="dxa" w:w="2381"/>
            <w:shd w:val="clear" w:fill="EDF1F7"/>
          </w:tcPr>
          <w:p>
            <w:pPr>
              <w:spacing w:after="20"/>
            </w:pPr>
            <w:r/>
            <w:r>
              <w:rPr>
                <w:sz w:val="18"/>
              </w:rPr>
              <w:t>Revised</w:t>
            </w:r>
          </w:p>
        </w:tc>
      </w:tr>
      <w:tr>
        <w:tc>
          <w:tcPr>
            <w:tcW w:type="dxa" w:w="2608"/>
          </w:tcPr>
          <w:p>
            <w:pPr>
              <w:spacing w:after="20"/>
            </w:pPr>
            <w:r/>
            <w:r>
              <w:rPr>
                <w:sz w:val="18"/>
              </w:rPr>
              <w:t>Price limits</w:t>
            </w:r>
          </w:p>
        </w:tc>
        <w:tc>
          <w:tcPr>
            <w:tcW w:type="dxa" w:w="4195"/>
          </w:tcPr>
          <w:p>
            <w:pPr>
              <w:spacing w:after="20"/>
            </w:pPr>
            <w:r/>
            <w:r>
              <w:rPr>
                <w:sz w:val="18"/>
              </w:rPr>
              <w:t>±30 % per half-session → 70 %–130 % band</w:t>
            </w:r>
          </w:p>
        </w:tc>
        <w:tc>
          <w:tcPr>
            <w:tcW w:type="dxa" w:w="2381"/>
          </w:tcPr>
          <w:p>
            <w:pPr>
              <w:spacing w:after="20"/>
            </w:pPr>
            <w:r/>
            <w:r>
              <w:rPr>
                <w:sz w:val="18"/>
              </w:rPr>
              <w:t>Revised after audit</w:t>
            </w:r>
          </w:p>
        </w:tc>
      </w:tr>
      <w:tr>
        <w:tc>
          <w:tcPr>
            <w:tcW w:type="dxa" w:w="2608"/>
            <w:shd w:val="clear" w:fill="EDF1F7"/>
          </w:tcPr>
          <w:p>
            <w:pPr>
              <w:spacing w:after="20"/>
            </w:pPr>
            <w:r/>
            <w:r>
              <w:rPr>
                <w:sz w:val="18"/>
              </w:rPr>
              <w:t>Phase 6 execution penalty</w:t>
            </w:r>
          </w:p>
        </w:tc>
        <w:tc>
          <w:tcPr>
            <w:tcW w:type="dxa" w:w="4195"/>
            <w:shd w:val="clear" w:fill="EDF1F7"/>
          </w:tcPr>
          <w:p>
            <w:pPr>
              <w:spacing w:after="20"/>
            </w:pPr>
            <w:r/>
            <w:r>
              <w:rPr>
                <w:sz w:val="18"/>
              </w:rPr>
              <w:t>Not specified</w:t>
            </w:r>
          </w:p>
        </w:tc>
        <w:tc>
          <w:tcPr>
            <w:tcW w:type="dxa" w:w="2381"/>
            <w:shd w:val="clear" w:fill="EDF1F7"/>
          </w:tcPr>
          <w:p>
            <w:pPr>
              <w:spacing w:after="20"/>
            </w:pPr>
            <w:r/>
            <w:r>
              <w:rPr>
                <w:sz w:val="18"/>
              </w:rPr>
              <w:t>Open</w:t>
            </w:r>
          </w:p>
        </w:tc>
      </w:tr>
      <w:tr>
        <w:tc>
          <w:tcPr>
            <w:tcW w:type="dxa" w:w="2608"/>
          </w:tcPr>
          <w:p>
            <w:pPr>
              <w:spacing w:after="20"/>
            </w:pPr>
            <w:r/>
            <w:r>
              <w:rPr>
                <w:sz w:val="18"/>
              </w:rPr>
              <w:t>Target progress %</w:t>
            </w:r>
          </w:p>
        </w:tc>
        <w:tc>
          <w:tcPr>
            <w:tcW w:type="dxa" w:w="4195"/>
          </w:tcPr>
          <w:p>
            <w:pPr>
              <w:spacing w:after="20"/>
            </w:pPr>
            <w:r/>
            <w:r>
              <w:rPr>
                <w:sz w:val="18"/>
              </w:rPr>
              <w:t>Defined, not implemented</w:t>
            </w:r>
          </w:p>
        </w:tc>
        <w:tc>
          <w:tcPr>
            <w:tcW w:type="dxa" w:w="2381"/>
          </w:tcPr>
          <w:p>
            <w:pPr>
              <w:spacing w:after="20"/>
            </w:pPr>
            <w:r/>
            <w:r>
              <w:rPr>
                <w:sz w:val="18"/>
              </w:rPr>
              <w:t>Open</w:t>
            </w:r>
          </w:p>
        </w:tc>
      </w:tr>
      <w:tr>
        <w:tc>
          <w:tcPr>
            <w:tcW w:type="dxa" w:w="2608"/>
            <w:shd w:val="clear" w:fill="EDF1F7"/>
          </w:tcPr>
          <w:p>
            <w:pPr>
              <w:spacing w:after="20"/>
            </w:pPr>
            <w:r/>
            <w:r>
              <w:rPr>
                <w:sz w:val="18"/>
              </w:rPr>
              <w:t>Debrief formulas</w:t>
            </w:r>
          </w:p>
        </w:tc>
        <w:tc>
          <w:tcPr>
            <w:tcW w:type="dxa" w:w="4195"/>
            <w:shd w:val="clear" w:fill="EDF1F7"/>
          </w:tcPr>
          <w:p>
            <w:pPr>
              <w:spacing w:after="20"/>
            </w:pPr>
            <w:r/>
            <w:r>
              <w:rPr>
                <w:sz w:val="18"/>
              </w:rPr>
              <w:t>Narrative cases only</w:t>
            </w:r>
          </w:p>
        </w:tc>
        <w:tc>
          <w:tcPr>
            <w:tcW w:type="dxa" w:w="2381"/>
            <w:shd w:val="clear" w:fill="EDF1F7"/>
          </w:tcPr>
          <w:p>
            <w:pPr>
              <w:spacing w:after="20"/>
            </w:pPr>
            <w:r/>
            <w:r>
              <w:rPr>
                <w:sz w:val="18"/>
              </w:rPr>
              <w:t>Open</w:t>
            </w:r>
          </w:p>
        </w:tc>
      </w:tr>
      <w:tr>
        <w:tc>
          <w:tcPr>
            <w:tcW w:type="dxa" w:w="2608"/>
          </w:tcPr>
          <w:p>
            <w:pPr>
              <w:spacing w:after="20"/>
            </w:pPr>
            <w:r/>
            <w:r>
              <w:rPr>
                <w:sz w:val="18"/>
              </w:rPr>
              <w:t>Settlement boundary</w:t>
            </w:r>
          </w:p>
        </w:tc>
        <w:tc>
          <w:tcPr>
            <w:tcW w:type="dxa" w:w="4195"/>
          </w:tcPr>
          <w:p>
            <w:pPr>
              <w:spacing w:after="20"/>
            </w:pPr>
            <w:r/>
            <w:r>
              <w:rPr>
                <w:sz w:val="18"/>
              </w:rPr>
              <w:t>≤ 150 vs &lt; 150 in the engine</w:t>
            </w:r>
          </w:p>
        </w:tc>
        <w:tc>
          <w:tcPr>
            <w:tcW w:type="dxa" w:w="2381"/>
          </w:tcPr>
          <w:p>
            <w:pPr>
              <w:spacing w:after="20"/>
            </w:pPr>
            <w:r/>
            <w:r>
              <w:rPr>
                <w:sz w:val="18"/>
              </w:rPr>
              <w:t>Open — doc fix</w:t>
            </w:r>
          </w:p>
        </w:tc>
      </w:tr>
      <w:tr>
        <w:tc>
          <w:tcPr>
            <w:tcW w:type="dxa" w:w="2608"/>
            <w:shd w:val="clear" w:fill="EDF1F7"/>
          </w:tcPr>
          <w:p>
            <w:pPr>
              <w:spacing w:after="20"/>
            </w:pPr>
            <w:r/>
            <w:r>
              <w:rPr>
                <w:sz w:val="18"/>
              </w:rPr>
              <w:t>Settlement delay</w:t>
            </w:r>
          </w:p>
        </w:tc>
        <w:tc>
          <w:tcPr>
            <w:tcW w:type="dxa" w:w="4195"/>
            <w:shd w:val="clear" w:fill="EDF1F7"/>
          </w:tcPr>
          <w:p>
            <w:pPr>
              <w:spacing w:after="20"/>
            </w:pPr>
            <w:r/>
            <w:r>
              <w:rPr>
                <w:sz w:val="18"/>
              </w:rPr>
              <w:t>30 ticks vs 75 s in optimiser</w:t>
            </w:r>
          </w:p>
        </w:tc>
        <w:tc>
          <w:tcPr>
            <w:tcW w:type="dxa" w:w="2381"/>
            <w:shd w:val="clear" w:fill="EDF1F7"/>
          </w:tcPr>
          <w:p>
            <w:pPr>
              <w:spacing w:after="20"/>
            </w:pPr>
            <w:r/>
            <w:r>
              <w:rPr>
                <w:sz w:val="18"/>
              </w:rPr>
              <w:t>Open — align</w:t>
            </w:r>
          </w:p>
        </w:tc>
      </w:tr>
      <w:tr>
        <w:tc>
          <w:tcPr>
            <w:tcW w:type="dxa" w:w="2608"/>
          </w:tcPr>
          <w:p>
            <w:pPr>
              <w:spacing w:after="20"/>
            </w:pPr>
            <w:r/>
            <w:r>
              <w:rPr>
                <w:sz w:val="18"/>
              </w:rPr>
              <w:t>Warning threshold</w:t>
            </w:r>
          </w:p>
        </w:tc>
        <w:tc>
          <w:tcPr>
            <w:tcW w:type="dxa" w:w="4195"/>
          </w:tcPr>
          <w:p>
            <w:pPr>
              <w:spacing w:after="20"/>
            </w:pPr>
            <w:r/>
            <w:r>
              <w:rPr>
                <w:sz w:val="18"/>
              </w:rPr>
              <w:t>&gt; 2.5× vs 20 % ratio in engine</w:t>
            </w:r>
          </w:p>
        </w:tc>
        <w:tc>
          <w:tcPr>
            <w:tcW w:type="dxa" w:w="2381"/>
          </w:tcPr>
          <w:p>
            <w:pPr>
              <w:spacing w:after="20"/>
            </w:pPr>
            <w:r/>
            <w:r>
              <w:rPr>
                <w:sz w:val="18"/>
              </w:rPr>
              <w:t>Open — align</w:t>
            </w:r>
          </w:p>
        </w:tc>
      </w:tr>
    </w:tbl>
    <w:p>
      <w:pPr>
        <w:spacing w:after="40"/>
      </w:pPr>
    </w:p>
    <w:p>
      <w:pPr>
        <w:spacing w:after="120"/>
      </w:pPr>
      <w:r>
        <w:rPr>
          <w:i w:val="0"/>
          <w:sz w:val="22"/>
        </w:rPr>
        <w:t>The three open design items matter more than the wording fixes: Phase 6 is where the game's argument is won or lost, target progress is the only continuous feedback towards the house goal, and the debrief formulas turn a result into a lesson.</w:t>
      </w:r>
    </w:p>
    <w:p>
      <w:pPr>
        <w:pStyle w:val="Heading1"/>
      </w:pPr>
      <w:r>
        <w:t>11. Reflection</w:t>
      </w:r>
    </w:p>
    <w:p>
      <w:pPr>
        <w:spacing w:after="120"/>
      </w:pPr>
      <w:r>
        <w:rPr>
          <w:i w:val="0"/>
          <w:sz w:val="22"/>
        </w:rPr>
        <w:t>Designing this mechanism taught me that the hard part of a financial model is not the algebra but the boundaries: exactly 20 % versus 19.99 %, tick 149 versus 150, the last tick of a session versus the first of the next. A rule is either precise enough to test at those edges or quietly ambiguous, and ambiguity becomes disagreement between code, documentation and expectation.</w:t>
      </w:r>
    </w:p>
    <w:p>
      <w:pPr>
        <w:spacing w:after="120"/>
      </w:pPr>
      <w:r>
        <w:rPr>
          <w:i w:val="0"/>
          <w:sz w:val="22"/>
        </w:rPr>
        <w:t>The second lesson was writing for other people: my early drafts described the mechanism as I understood it, while the surviving versions described it as a developer would implement it and a player would experience it. Treating the flow diagram as a deliverable made the loop reviewable before it was coded, and testing the calibration on real players is what would show whether the targets are fair, not merely possible.</w:t>
      </w:r>
    </w:p>
    <w:p>
      <w:pPr>
        <w:pStyle w:val="Heading1"/>
      </w:pPr>
      <w:r>
        <w:t>Appendix — Evidence map</w:t>
      </w:r>
    </w:p>
    <w:tbl>
      <w:tblPr>
        <w:tblStyle w:val="TableGrid"/>
        <w:tblW w:type="auto" w:w="0"/>
        <w:jc w:val="center"/>
        <w:tblLook w:firstColumn="1" w:firstRow="1" w:lastColumn="0" w:lastRow="0" w:noHBand="0" w:noVBand="1" w:val="04A0"/>
      </w:tblPr>
      <w:tblGrid>
        <w:gridCol w:w="4759"/>
        <w:gridCol w:w="4759"/>
      </w:tblGrid>
      <w:tr>
        <w:tc>
          <w:tcPr>
            <w:tcW w:type="dxa" w:w="4422"/>
            <w:shd w:val="clear" w:fill="1F3A5F"/>
          </w:tcPr>
          <w:p>
            <w:r/>
            <w:r>
              <w:rPr>
                <w:b/>
                <w:color w:val="FFFFFF"/>
                <w:sz w:val="18"/>
              </w:rPr>
              <w:t>Repository file</w:t>
            </w:r>
          </w:p>
        </w:tc>
        <w:tc>
          <w:tcPr>
            <w:tcW w:type="dxa" w:w="4762"/>
            <w:shd w:val="clear" w:fill="1F3A5F"/>
          </w:tcPr>
          <w:p>
            <w:r/>
            <w:r>
              <w:rPr>
                <w:b/>
                <w:color w:val="FFFFFF"/>
                <w:sz w:val="18"/>
              </w:rPr>
              <w:t>What it evidences</w:t>
            </w:r>
          </w:p>
        </w:tc>
      </w:tr>
      <w:tr>
        <w:tc>
          <w:tcPr>
            <w:tcW w:type="dxa" w:w="4422"/>
          </w:tcPr>
          <w:p>
            <w:pPr>
              <w:spacing w:after="20"/>
            </w:pPr>
            <w:r/>
            <w:r>
              <w:rPr>
                <w:sz w:val="18"/>
              </w:rPr>
              <w:t>contribution/evidence/HUU_DU_CONTRIBUTIONS.md</w:t>
            </w:r>
          </w:p>
        </w:tc>
        <w:tc>
          <w:tcPr>
            <w:tcW w:type="dxa" w:w="4762"/>
          </w:tcPr>
          <w:p>
            <w:pPr>
              <w:spacing w:after="20"/>
            </w:pPr>
            <w:r/>
            <w:r>
              <w:rPr>
                <w:sz w:val="18"/>
              </w:rPr>
              <w:t>Original evidence and responsibility table</w:t>
            </w:r>
          </w:p>
        </w:tc>
      </w:tr>
      <w:tr>
        <w:tc>
          <w:tcPr>
            <w:tcW w:type="dxa" w:w="4422"/>
            <w:shd w:val="clear" w:fill="EDF1F7"/>
          </w:tcPr>
          <w:p>
            <w:pPr>
              <w:spacing w:after="20"/>
            </w:pPr>
            <w:r/>
            <w:r>
              <w:rPr>
                <w:sz w:val="18"/>
              </w:rPr>
              <w:t>docs/financial_logic.md</w:t>
            </w:r>
          </w:p>
        </w:tc>
        <w:tc>
          <w:tcPr>
            <w:tcW w:type="dxa" w:w="4762"/>
            <w:shd w:val="clear" w:fill="EDF1F7"/>
          </w:tcPr>
          <w:p>
            <w:pPr>
              <w:spacing w:after="20"/>
            </w:pPr>
            <w:r/>
            <w:r>
              <w:rPr>
                <w:sz w:val="18"/>
              </w:rPr>
              <w:t>Formulas, tiers, risk states, worked examples</w:t>
            </w:r>
          </w:p>
        </w:tc>
      </w:tr>
      <w:tr>
        <w:tc>
          <w:tcPr>
            <w:tcW w:type="dxa" w:w="4422"/>
          </w:tcPr>
          <w:p>
            <w:pPr>
              <w:spacing w:after="20"/>
            </w:pPr>
            <w:r/>
            <w:r>
              <w:rPr>
                <w:sz w:val="18"/>
              </w:rPr>
              <w:t>docs/user_flow.md §1–2, phase_1_workflow.jpg</w:t>
            </w:r>
          </w:p>
        </w:tc>
        <w:tc>
          <w:tcPr>
            <w:tcW w:type="dxa" w:w="4762"/>
          </w:tcPr>
          <w:p>
            <w:pPr>
              <w:spacing w:after="20"/>
            </w:pPr>
            <w:r/>
            <w:r>
              <w:rPr>
                <w:sz w:val="18"/>
              </w:rPr>
              <w:t>Phase 1 system flow (my design)</w:t>
            </w:r>
          </w:p>
        </w:tc>
      </w:tr>
      <w:tr>
        <w:tc>
          <w:tcPr>
            <w:tcW w:type="dxa" w:w="4422"/>
            <w:shd w:val="clear" w:fill="EDF1F7"/>
          </w:tcPr>
          <w:p>
            <w:pPr>
              <w:spacing w:after="20"/>
            </w:pPr>
            <w:r/>
            <w:r>
              <w:rPr>
                <w:sz w:val="18"/>
              </w:rPr>
              <w:t>docs/data_and_sources.md</w:t>
            </w:r>
          </w:p>
        </w:tc>
        <w:tc>
          <w:tcPr>
            <w:tcW w:type="dxa" w:w="4762"/>
            <w:shd w:val="clear" w:fill="EDF1F7"/>
          </w:tcPr>
          <w:p>
            <w:pPr>
              <w:spacing w:after="20"/>
            </w:pPr>
            <w:r/>
            <w:r>
              <w:rPr>
                <w:sz w:val="18"/>
              </w:rPr>
              <w:t>Input dictionary, price limits, assumptions</w:t>
            </w:r>
          </w:p>
        </w:tc>
      </w:tr>
      <w:tr>
        <w:tc>
          <w:tcPr>
            <w:tcW w:type="dxa" w:w="4422"/>
          </w:tcPr>
          <w:p>
            <w:pPr>
              <w:spacing w:after="20"/>
            </w:pPr>
            <w:r/>
            <w:r>
              <w:rPr>
                <w:sz w:val="18"/>
              </w:rPr>
              <w:t>docs/testing.md</w:t>
            </w:r>
          </w:p>
        </w:tc>
        <w:tc>
          <w:tcPr>
            <w:tcW w:type="dxa" w:w="4762"/>
          </w:tcPr>
          <w:p>
            <w:pPr>
              <w:spacing w:after="20"/>
            </w:pPr>
            <w:r/>
            <w:r>
              <w:rPr>
                <w:sz w:val="18"/>
              </w:rPr>
              <w:t>T02–T04 boundary cases, T09 exact match</w:t>
            </w:r>
          </w:p>
        </w:tc>
      </w:tr>
      <w:tr>
        <w:tc>
          <w:tcPr>
            <w:tcW w:type="dxa" w:w="4422"/>
            <w:shd w:val="clear" w:fill="EDF1F7"/>
          </w:tcPr>
          <w:p>
            <w:pPr>
              <w:spacing w:after="20"/>
            </w:pPr>
            <w:r/>
            <w:r>
              <w:rPr>
                <w:sz w:val="18"/>
              </w:rPr>
              <w:t>src/simulation_engine.py</w:t>
            </w:r>
          </w:p>
        </w:tc>
        <w:tc>
          <w:tcPr>
            <w:tcW w:type="dxa" w:w="4762"/>
            <w:shd w:val="clear" w:fill="EDF1F7"/>
          </w:tcPr>
          <w:p>
            <w:pPr>
              <w:spacing w:after="20"/>
            </w:pPr>
            <w:r/>
            <w:r>
              <w:rPr>
                <w:sz w:val="18"/>
              </w:rPr>
              <w:t>Thresholds, penalty and settlement logic</w:t>
            </w:r>
          </w:p>
        </w:tc>
      </w:tr>
      <w:tr>
        <w:tc>
          <w:tcPr>
            <w:tcW w:type="dxa" w:w="4422"/>
          </w:tcPr>
          <w:p>
            <w:pPr>
              <w:spacing w:after="20"/>
            </w:pPr>
            <w:r/>
            <w:r>
              <w:rPr>
                <w:sz w:val="18"/>
              </w:rPr>
              <w:t>docs/revision_summary.md</w:t>
            </w:r>
          </w:p>
        </w:tc>
        <w:tc>
          <w:tcPr>
            <w:tcW w:type="dxa" w:w="4762"/>
          </w:tcPr>
          <w:p>
            <w:pPr>
              <w:spacing w:after="20"/>
            </w:pPr>
            <w:r/>
            <w:r>
              <w:rPr>
                <w:sz w:val="18"/>
              </w:rPr>
              <w:t>Post-midterm rule revisions</w:t>
            </w:r>
          </w:p>
        </w:tc>
      </w:tr>
    </w:tbl>
    <w:p>
      <w:pPr>
        <w:spacing w:after="40"/>
      </w:pPr>
    </w:p>
    <w:p>
      <w:pPr>
        <w:spacing w:after="120"/>
      </w:pPr>
      <w:r>
        <w:rPr>
          <w:i w:val="0"/>
          <w:sz w:val="22"/>
        </w:rPr>
        <w:t>Prepared by Trần Hữu Dụ for the Group 06 final submission. Figures reflect the current commit; open items are listed in section 10 rather than omitted.</w:t>
      </w:r>
    </w:p>
    <w:sectPr w:rsidR="00FC693F" w:rsidRPr="0006063C" w:rsidSect="00034616">
      <w:footerReference w:type="default" r:id="rId9"/>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F6D"/>
        <w:sz w:val="16"/>
      </w:rPr>
      <w:t xml:space="preserve">Free Fall 2.0 — Individual Contribution Report — Trần Hữu Dụ — page </w:t>
    </w:r>
    <w:r>
      <w:rPr>
        <w:color w:val="555F6D"/>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Individual Contribution Report — Trần Hữu Dụ</dc:title>
  <dc:subject>Free Fall 2.0 — NHA408E Group 06</dc:subject>
  <dc:creator>Trần Hữu Dụ</dc:creator>
  <cp:keywords>leverage, margin, liquidation, mechanism design, contribution</cp:keywords>
  <dc:description>generated by python-docx</dc:description>
  <cp:lastModifiedBy/>
  <cp:revision>1</cp:revision>
  <dcterms:created xsi:type="dcterms:W3CDTF">2013-12-23T23:15:00Z</dcterms:created>
  <dcterms:modified xsi:type="dcterms:W3CDTF">2013-12-23T23:15:00Z</dcterms:modified>
  <cp:category/>
</cp:coreProperties>
</file>