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jc w:val="center"/>
      </w:pPr>
      <w:r>
        <w:rPr>
          <w:rFonts w:ascii="Times New Roman" w:hAnsi="Times New Roman"/>
          <w:b/>
          <w:color w:val="1F4E79"/>
          <w:sz w:val="28"/>
        </w:rPr>
        <w:t>FOREIGN TRADE UNIVERSITY</w:t>
      </w:r>
    </w:p>
    <w:p>
      <w:pPr>
        <w:jc w:val="center"/>
      </w:pPr>
      <w:r>
        <w:rPr>
          <w:rFonts w:ascii="Times New Roman" w:hAnsi="Times New Roman"/>
          <w:b/>
          <w:sz w:val="24"/>
        </w:rPr>
        <w:t>FACULTY OF BANKING AND FINANCE</w:t>
      </w:r>
    </w:p>
    <w:p>
      <w:pPr>
        <w:spacing w:before="160" w:after="16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00000" cy="900000"/>
                    </a:xfrm>
                    <a:prstGeom prst="rect"/>
                  </pic:spPr>
                </pic:pic>
              </a:graphicData>
            </a:graphic>
          </wp:inline>
        </w:drawing>
      </w:r>
    </w:p>
    <w:p>
      <w:pPr>
        <w:spacing w:before="400" w:after="200"/>
        <w:jc w:val="center"/>
      </w:pPr>
      <w:r>
        <w:rPr>
          <w:rFonts w:ascii="Times New Roman" w:hAnsi="Times New Roman"/>
          <w:b/>
          <w:color w:val="1F4E79"/>
          <w:sz w:val="48"/>
        </w:rPr>
        <w:t>PERSONAL PROJECT REPORT</w:t>
      </w:r>
    </w:p>
    <w:p>
      <w:pPr>
        <w:spacing w:after="360"/>
        <w:jc w:val="center"/>
      </w:pPr>
      <w:r>
        <w:rPr>
          <w:rFonts w:ascii="Times New Roman" w:hAnsi="Times New Roman"/>
          <w:b/>
          <w:sz w:val="34"/>
        </w:rPr>
        <w:t>FINFOLIO 2.0 — PORTFOLIO ATTRIBUTION &amp; RISK ANALYTICS</w:t>
      </w:r>
    </w:p>
    <w:tbl>
      <w:tblPr>
        <w:tblW w:type="auto" w:w="0"/>
        <w:jc w:val="center"/>
        <w:tblLayout w:type="fixed"/>
        <w:tblLook w:firstColumn="1" w:firstRow="1" w:lastColumn="0" w:lastRow="0" w:noHBand="0" w:noVBand="1" w:val="04A0"/>
      </w:tblPr>
      <w:tblGrid>
        <w:gridCol w:w="2381"/>
        <w:gridCol w:w="5896"/>
      </w:tblGrid>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Hoàng Khánh Linh</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 ID</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2412380024</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Role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Product Owner / Financial Logic Lead</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Group</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G09 — K63</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Course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Information Technology Applications in Finance and Banking (NHA408E)</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Instructor</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Phan Trần Trung Dũng</w:t>
            </w:r>
          </w:p>
        </w:tc>
      </w:tr>
    </w:tbl>
    <w:p>
      <w:pPr>
        <w:spacing w:before="640"/>
        <w:jc w:val="center"/>
      </w:pPr>
      <w:r>
        <w:rPr>
          <w:rFonts w:ascii="Times New Roman" w:hAnsi="Times New Roman"/>
          <w:sz w:val="22"/>
        </w:rPr>
        <w:t>Hanoi, October 2026</w:t>
      </w:r>
    </w:p>
    <w:p>
      <w:pPr>
        <w:sectPr>
          <w:headerReference w:type="default" r:id="rId22"/>
          <w:footerReference w:type="default" r:id="rId23"/>
          <w:footnotePr>
            <w:numRestart w:val="eachSect"/>
          </w:footnotePr>
          <w:pgSz w:w="12240" w:h="15840"/>
          <w:pgMar w:top="1134" w:right="1134" w:bottom="1134" w:left="1701" w:header="720" w:footer="720" w:gutter="0"/>
          <w:cols w:space="720"/>
          <w:titlePg/>
          <w:pgBorders w:display="firstPage" w:offsetFrom="page">
            <w:top w:val="double" w:sz="6" w:space="24" w:color="000000"/>
            <w:left w:val="double" w:sz="6" w:space="24" w:color="000000"/>
            <w:bottom w:val="double" w:sz="6" w:space="24" w:color="000000"/>
            <w:right w:val="double" w:sz="6" w:space="24" w:color="000000"/>
          </w:pgBorders>
        </w:sectPr>
      </w:pPr>
    </w:p>
    <w:p>
      <w:pPr>
        <w:pStyle w:val="ReferenceFront"/>
        <w:jc w:val="center"/>
      </w:pPr>
      <w:r>
        <w:t>ABSTRACT</w:t>
      </w:r>
    </w:p>
    <w:p>
      <w:pPr>
        <w:pStyle w:val="ReportAbstract"/>
      </w:pPr>
      <w:r>
        <w:t>This report documents my responsibility for product scope and the financial methodology of Finfolio 2.0. It focuses on return attribution, Euler risk attribution, FX attribution, optimization assumptions and analytical claim boundaries, with traceable evidence in the team repository.</w:t>
      </w:r>
    </w:p>
    <w:p>
      <w:pPr>
        <w:pStyle w:val="ReportAbstract"/>
      </w:pPr>
      <w:r>
        <w:rPr>
          <w:b/>
        </w:rPr>
        <w:t xml:space="preserve">Keywords: </w:t>
      </w:r>
      <w:r>
        <w:t>Finfolio 2.0; portfolio attribution; risk analytics; individual contribution; reproducibility.</w:t>
      </w:r>
    </w:p>
    <w:p>
      <w:pPr>
        <w:pStyle w:val="Heading2"/>
      </w:pPr>
      <w:r>
        <w:t>Verification principle</w:t>
      </w:r>
    </w:p>
    <w:p>
      <w:pPr>
        <w:pStyle w:val="ReportAbstract"/>
      </w:pPr>
      <w:r>
        <w:t>This report interprets the member's responsibilities from the G09 Individual Footprint. Each contribution is linked to an output, repository file or reproducible check. Git commit authorship is not treated as sole proof because one member may integrate files for the team.</w:t>
      </w:r>
    </w:p>
    <w:p>
      <w:pPr>
        <w:pStyle w:val="ReferenceFront"/>
        <w:jc w:val="center"/>
      </w:pPr>
      <w:r>
        <w:t>CONTENTS</w:t>
      </w:r>
    </w:p>
    <w:p>
      <w:pPr>
        <w:spacing w:after="100"/>
        <w:ind w:left="283" w:right="283"/>
        <w:tabs>
          <w:tab w:val="right" w:leader="dot" w:pos="8700"/>
        </w:tabs>
      </w:pPr>
      <w:r>
        <w:rPr>
          <w:rFonts w:ascii="Times New Roman" w:hAnsi="Times New Roman"/>
          <w:sz w:val="22"/>
        </w:rPr>
        <w:t>I. Role and accountability</w:t>
        <w:tab/>
        <w:t>3</w:t>
      </w:r>
    </w:p>
    <w:p>
      <w:pPr>
        <w:spacing w:after="100"/>
        <w:ind w:left="283" w:right="283"/>
        <w:tabs>
          <w:tab w:val="right" w:leader="dot" w:pos="8700"/>
        </w:tabs>
      </w:pPr>
      <w:r>
        <w:rPr>
          <w:rFonts w:ascii="Times New Roman" w:hAnsi="Times New Roman"/>
          <w:sz w:val="22"/>
        </w:rPr>
        <w:t>II. Distinctive contribution to Finfolio 2.0</w:t>
        <w:tab/>
        <w:t>3</w:t>
      </w:r>
    </w:p>
    <w:p>
      <w:pPr>
        <w:spacing w:after="100"/>
        <w:ind w:left="283" w:right="283"/>
        <w:tabs>
          <w:tab w:val="right" w:leader="dot" w:pos="8700"/>
        </w:tabs>
      </w:pPr>
      <w:r>
        <w:rPr>
          <w:rFonts w:ascii="Times New Roman" w:hAnsi="Times New Roman"/>
          <w:sz w:val="22"/>
        </w:rPr>
        <w:t>III. Work completed across the project</w:t>
        <w:tab/>
        <w:t>3</w:t>
      </w:r>
    </w:p>
    <w:p>
      <w:pPr>
        <w:spacing w:after="100"/>
        <w:ind w:left="283" w:right="283"/>
        <w:tabs>
          <w:tab w:val="right" w:leader="dot" w:pos="8700"/>
        </w:tabs>
      </w:pPr>
      <w:r>
        <w:rPr>
          <w:rFonts w:ascii="Times New Roman" w:hAnsi="Times New Roman"/>
          <w:sz w:val="22"/>
        </w:rPr>
        <w:t>IV. Evidence and reproducibility</w:t>
        <w:tab/>
        <w:t>4</w:t>
      </w:r>
    </w:p>
    <w:p>
      <w:pPr>
        <w:spacing w:after="100"/>
        <w:ind w:left="283" w:right="283"/>
        <w:tabs>
          <w:tab w:val="right" w:leader="dot" w:pos="8700"/>
        </w:tabs>
      </w:pPr>
      <w:r>
        <w:rPr>
          <w:rFonts w:ascii="Times New Roman" w:hAnsi="Times New Roman"/>
          <w:sz w:val="22"/>
        </w:rPr>
        <w:t>V. Weekly evidence trail</w:t>
        <w:tab/>
        <w:t>5</w:t>
      </w:r>
    </w:p>
    <w:p>
      <w:pPr>
        <w:spacing w:after="100"/>
        <w:ind w:left="283" w:right="283"/>
        <w:tabs>
          <w:tab w:val="right" w:leader="dot" w:pos="8700"/>
        </w:tabs>
      </w:pPr>
      <w:r>
        <w:rPr>
          <w:rFonts w:ascii="Times New Roman" w:hAnsi="Times New Roman"/>
          <w:sz w:val="22"/>
        </w:rPr>
        <w:t>VI. Limitations and lessons learned</w:t>
        <w:tab/>
        <w:t>5</w:t>
      </w:r>
    </w:p>
    <w:p>
      <w:pPr>
        <w:spacing w:after="100"/>
        <w:ind w:left="283" w:right="283"/>
        <w:tabs>
          <w:tab w:val="right" w:leader="dot" w:pos="8700"/>
        </w:tabs>
      </w:pPr>
      <w:r>
        <w:rPr>
          <w:rFonts w:ascii="Times New Roman" w:hAnsi="Times New Roman"/>
          <w:sz w:val="22"/>
        </w:rPr>
        <w:t>Individual declaration</w:t>
        <w:tab/>
        <w:t>6</w:t>
      </w:r>
    </w:p>
    <w:p>
      <w:r>
        <w:br w:type="page"/>
      </w:r>
    </w:p>
    <w:p>
      <w:pPr>
        <w:pStyle w:val="Heading1"/>
      </w:pPr>
      <w:r>
        <w:t>I. Role and accountability</w:t>
      </w:r>
    </w:p>
    <w:p>
      <w:r>
        <w:t>As Product Owner and Financial Logic Lead, I defined the product scope and approved the financial meaning of Finfolio 2.0 outputs. My work focused on return attribution, Euler risk attribution, FX attribution, optimization assumptions and claim boundaries. I did not own benchmark data engineering or Monte Carlo implementation: benchmark, currency and common-date requirements belong to Trần Minh Ngọc, while the Monte Carlo algorithm and implementation belong to Lê Bảo An.</w:t>
      </w:r>
    </w:p>
    <w:p>
      <w:pPr>
        <w:pStyle w:val="Heading1"/>
      </w:pPr>
      <w:r>
        <w:t>II. Distinctive contribution to Finfolio 2.0</w:t>
      </w:r>
    </w:p>
    <w:p>
      <w:pPr>
        <w:pStyle w:val="Heading2"/>
      </w:pPr>
      <w:r>
        <w:t>2.1 Euler risk-attribution methodology</w:t>
      </w:r>
    </w:p>
    <w:p>
      <w:r>
        <w:t>I specified the relationship between portfolio volatility, marginal contribution to risk and component risk. For a daily covariance matrix Σ and portfolio weights w, annualized volatility is σₚ = √(252 · wᵀΣw). Component risk is RCᵢ = wᵢ(Σw)ᵢ√252 / √(wᵀΣw), with the acceptance identity ∑RCᵢ = σₚ. This converts a single volatility number into an attributable and reconcilable explanation.</w:t>
      </w:r>
    </w:p>
    <w:p>
      <w:pPr>
        <w:pStyle w:val="Heading2"/>
      </w:pPr>
      <w:r>
        <w:t>2.2 Three-part FX attribution</w:t>
      </w:r>
    </w:p>
    <w:p>
      <w:r>
        <w:t>For foreign-currency assets, I specified the exact identity rVND = (1 + rlocal)(1 + rFX) − 1. The contribution is separated into local-asset return, FX return and their interaction. The three components must reconcile with the VND-denominated holding return, preventing an international asset's performance from being incorrectly attributed only to its market price.</w:t>
      </w:r>
    </w:p>
    <w:p>
      <w:pPr>
        <w:pStyle w:val="Heading2"/>
      </w:pPr>
      <w:r>
        <w:t>2.3 Responsible optimization framing</w:t>
      </w:r>
    </w:p>
    <w:p>
      <w:r>
        <w:t>I defined minimum-volatility and maximum-Sharpe as historical reference-allocation exercises subject to long-only weights, a 100% total, per-instrument caps and a commodity-group cap. I also established the terminology “reference allocation” and rejected claims such as “best portfolio” or guaranteed improvement. This boundary is essential because estimated means and covariance matrices are sample-dependent.</w:t>
      </w:r>
    </w:p>
    <w:p>
      <w:pPr>
        <w:pStyle w:val="Heading1"/>
      </w:pPr>
      <w:r>
        <w:t>III. Work completed across the project</w:t>
      </w:r>
    </w:p>
    <w:p>
      <w:pPr>
        <w:pStyle w:val="Heading2"/>
      </w:pPr>
      <w:r>
        <w:t>3.1 Problem and product scope — Weeks 1–2</w:t>
      </w:r>
    </w:p>
    <w:p>
      <w:pPr>
        <w:pStyle w:val="ListBullet"/>
        <w:ind w:left="369" w:hanging="198"/>
      </w:pPr>
      <w:r>
        <w:t>• Helped select Finfolio 2.0 from the candidate project ideas and defined the target user as a self-directed retail investor with a multi-asset portfolio.</w:t>
      </w:r>
    </w:p>
    <w:p>
      <w:pPr>
        <w:pStyle w:val="ListBullet"/>
        <w:ind w:left="369" w:hanging="198"/>
      </w:pPr>
      <w:r>
        <w:t>• Specified the core sequence: essential inputs, validation, current analysis, attribution, comparison, explanation and user decision.</w:t>
      </w:r>
    </w:p>
    <w:p>
      <w:pPr>
        <w:pStyle w:val="ListBullet"/>
        <w:ind w:left="369" w:hanging="198"/>
      </w:pPr>
      <w:r>
        <w:t>• Limited the product to supported stocks and commodity proxies with transparent data coverage.</w:t>
      </w:r>
    </w:p>
    <w:p>
      <w:pPr>
        <w:pStyle w:val="Heading2"/>
      </w:pPr>
      <w:r>
        <w:t>3.2 Return and contribution logic — Week 4</w:t>
      </w:r>
    </w:p>
    <w:p>
      <w:pPr>
        <w:pStyle w:val="ListBullet"/>
        <w:ind w:left="369" w:hanging="198"/>
      </w:pPr>
      <w:r>
        <w:t>• Defined the buy-and-hold portfolio value path and period return.</w:t>
      </w:r>
    </w:p>
    <w:p>
      <w:pPr>
        <w:pStyle w:val="ListBullet"/>
        <w:ind w:left="369" w:hanging="198"/>
      </w:pPr>
      <w:r>
        <w:t>• Required return contributions to reconcile with total portfolio return.</w:t>
      </w:r>
    </w:p>
    <w:p>
      <w:pPr>
        <w:pStyle w:val="ListBullet"/>
        <w:ind w:left="369" w:hanging="198"/>
      </w:pPr>
      <w:r>
        <w:t>• Defined mutually exclusive grouping rules for instrument, asset class, sector and industry views.</w:t>
      </w:r>
    </w:p>
    <w:p>
      <w:pPr>
        <w:pStyle w:val="Heading2"/>
      </w:pPr>
      <w:r>
        <w:t>3.3 Risk methodology — Week 4</w:t>
      </w:r>
    </w:p>
    <w:p>
      <w:pPr>
        <w:pStyle w:val="ListBullet"/>
        <w:ind w:left="369" w:hanging="198"/>
      </w:pPr>
      <w:r>
        <w:t>• Specified sample covariance and annualization conventions.</w:t>
      </w:r>
    </w:p>
    <w:p>
      <w:pPr>
        <w:pStyle w:val="ListBullet"/>
        <w:ind w:left="369" w:hanging="198"/>
      </w:pPr>
      <w:r>
        <w:t>• Defined marginal and Euler component risk with a numerical reconciliation tolerance.</w:t>
      </w:r>
    </w:p>
    <w:p>
      <w:pPr>
        <w:pStyle w:val="ListBullet"/>
        <w:ind w:left="369" w:hanging="198"/>
      </w:pPr>
      <w:r>
        <w:t>• Required the financial engine to calculate only after the data layer has passed compatibility and common-date checks.</w:t>
      </w:r>
    </w:p>
    <w:p>
      <w:pPr>
        <w:pStyle w:val="Heading2"/>
      </w:pPr>
      <w:r>
        <w:t>3.4 Optimization assumptions — Weeks 4–7</w:t>
      </w:r>
    </w:p>
    <w:p>
      <w:pPr>
        <w:pStyle w:val="ListBullet"/>
        <w:ind w:left="369" w:hanging="198"/>
      </w:pPr>
      <w:r>
        <w:t>• Defined the minimum-variance and maximum-Sharpe objectives and their constraints.</w:t>
      </w:r>
    </w:p>
    <w:p>
      <w:pPr>
        <w:pStyle w:val="ListBullet"/>
        <w:ind w:left="369" w:hanging="198"/>
      </w:pPr>
      <w:r>
        <w:t>• Approved the inherited 3% annual risk-free-rate default, with explicit disclosure and an advanced override rather than a mandatory user input.</w:t>
      </w:r>
    </w:p>
    <w:p>
      <w:pPr>
        <w:pStyle w:val="ListBullet"/>
        <w:ind w:left="369" w:hanging="198"/>
      </w:pPr>
      <w:r>
        <w:t>• Required before/after comparisons to use the same period, observations and assumptions.</w:t>
      </w:r>
    </w:p>
    <w:p>
      <w:pPr>
        <w:pStyle w:val="Heading2"/>
      </w:pPr>
      <w:r>
        <w:t>3.5 Method approval and claim boundaries — Week 7</w:t>
      </w:r>
    </w:p>
    <w:p>
      <w:pPr>
        <w:pStyle w:val="ListBullet"/>
        <w:ind w:left="369" w:hanging="198"/>
      </w:pPr>
      <w:r>
        <w:t>• Reviewed definitions and explanations for CAGR, drawdown, Sharpe, Sortino, Calmar, historical VaR/CVaR, skewness, excess kurtosis, beta, alpha, tracking error and information ratio.</w:t>
      </w:r>
    </w:p>
    <w:p>
      <w:pPr>
        <w:pStyle w:val="ListBullet"/>
        <w:ind w:left="369" w:hanging="198"/>
      </w:pPr>
      <w:r>
        <w:t>• Required each advanced metric to show its unit, assumption and limitation.</w:t>
      </w:r>
    </w:p>
    <w:p>
      <w:pPr>
        <w:pStyle w:val="ListBullet"/>
        <w:ind w:left="369" w:hanging="198"/>
      </w:pPr>
      <w:r>
        <w:t>• Approved analytical wording while excluding personalized investment advice.</w:t>
      </w:r>
    </w:p>
    <w:p>
      <w:pPr>
        <w:pStyle w:val="Heading1"/>
      </w:pPr>
      <w:r>
        <w:t>IV. Evidence and reproducibility</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309"/>
        <w:gridCol w:w="2309"/>
        <w:gridCol w:w="2309"/>
        <w:gridCol w:w="2309"/>
      </w:tblGrid>
      <w:tr>
        <w:trPr>
          <w:tblHeader w:val="true"/>
          <w:cantSplit/>
        </w:trPr>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Deliverable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Actual contribution</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Repository evidence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How to reproduce or explain it</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Return methodology</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Buy-and-hold value and return-contribution reconciliation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docs/WEEK4.md</w:t>
            </w:r>
            <w:r>
              <w:rPr>
                <w:rFonts w:ascii="Times New Roman" w:hAnsi="Times New Roman"/>
                <w:sz w:val="15"/>
              </w:rPr>
              <w:t xml:space="preserve">, </w:t>
            </w:r>
            <w:r>
              <w:rPr>
                <w:rFonts w:ascii="Times New Roman" w:hAnsi="Times New Roman"/>
                <w:color w:val="464646"/>
                <w:sz w:val="15"/>
              </w:rPr>
              <w:t>demo/finance.mjs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Explain why contributions sum to portfolio return</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Euler risk</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Covariance, marginal risk and component-risk identity</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docs/WEEK4.md</w:t>
            </w:r>
            <w:r>
              <w:rPr>
                <w:rFonts w:ascii="Times New Roman" w:hAnsi="Times New Roman"/>
                <w:sz w:val="15"/>
              </w:rPr>
              <w:t xml:space="preserve">, </w:t>
            </w:r>
            <w:r>
              <w:rPr>
                <w:rFonts w:ascii="Times New Roman" w:hAnsi="Times New Roman"/>
                <w:color w:val="464646"/>
                <w:sz w:val="15"/>
              </w:rPr>
              <w:t>demo/finance.mjs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Reconcile ∑RCᵢ with annualized portfolio volatility</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FX attribution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Local-price, FX and interaction decomposition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docs/FX_ATTRIBUTION.md</w:t>
            </w:r>
            <w:r>
              <w:rPr>
                <w:rFonts w:ascii="Times New Roman" w:hAnsi="Times New Roman"/>
                <w:sz w:val="15"/>
              </w:rPr>
              <w:t xml:space="preserve">, </w:t>
            </w:r>
            <w:r>
              <w:rPr>
                <w:rFonts w:ascii="Times New Roman" w:hAnsi="Times New Roman"/>
                <w:color w:val="464646"/>
                <w:sz w:val="15"/>
              </w:rPr>
              <w:t>demo/attribution.mjs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Use a VND stock plus a USD commodity proxy example</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Optimization assumptions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Objectives, constraints, risk-free-rate and in-sample boundary</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docs/OPTIMIZATION.md</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Explain feasible caps and why the output is only a reference</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Metric and claim review</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Definitions, units, assumptions and permitted wording</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docs/FINAL_METHODS.md</w:t>
            </w:r>
            <w:r>
              <w:rPr>
                <w:rFonts w:ascii="Times New Roman" w:hAnsi="Times New Roman"/>
                <w:sz w:val="15"/>
              </w:rPr>
              <w:t xml:space="preserve">, </w:t>
            </w:r>
            <w:r>
              <w:rPr>
                <w:rFonts w:ascii="Times New Roman" w:hAnsi="Times New Roman"/>
                <w:color w:val="464646"/>
                <w:sz w:val="15"/>
              </w:rPr>
              <w:t>docs/WEEK5.md</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Trace each visible metric to its disclosed method</w:t>
            </w:r>
          </w:p>
        </w:tc>
      </w:tr>
    </w:tbl>
    <w:p>
      <w:pPr>
        <w:spacing w:after="20"/>
      </w:pPr>
    </w:p>
    <w:p>
      <w:pPr>
        <w:pStyle w:val="Heading1"/>
      </w:pPr>
      <w:r>
        <w:t>V. Weekly evidence trail</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3079"/>
        <w:gridCol w:w="3079"/>
        <w:gridCol w:w="3079"/>
      </w:tblGrid>
      <w:tr>
        <w:trPr>
          <w:tblHeader w:val="true"/>
          <w:cantSplit/>
        </w:trPr>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Week</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Verified output</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Personal significance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W1</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Problem statement and target user</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Grounded the project in a specific investor need</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W2</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MVP logic and product boundary</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Prevented uncontrolled feature expansion</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W3</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Financial conditions to be satisfied by the data layer</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Separated methodology from data ownership</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W4</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Return, Euler risk, FX and optimization specifications</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Provided the core financial contract for implementation</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W5</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Claim-boundary and explanation review</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Prevented advice-like language</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W6</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Financial reconciliation acceptance</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Checked implementation against the approved method</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W7</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Final method and optimization review</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Finalized the defensible analytical scope</w:t>
            </w:r>
          </w:p>
        </w:tc>
      </w:tr>
    </w:tbl>
    <w:p>
      <w:pPr>
        <w:spacing w:after="20"/>
      </w:pPr>
    </w:p>
    <w:p>
      <w:pPr>
        <w:pStyle w:val="Heading1"/>
      </w:pPr>
      <w:r>
        <w:t>VI. Limitations and lessons learned</w:t>
      </w:r>
    </w:p>
    <w:p>
      <w:r>
        <w:t>The model currently focuses on price return and does not fully model dividend reinvestment. The 3% risk-free rate is a disclosed static assumption, and maximum-Sharpe weights remain exposed to in-sample estimation error. These limitations are visible because an analytically correct formula can still be inappropriate if its assumptions are hidden.</w:t>
      </w:r>
    </w:p>
    <w:p>
      <w:r>
        <w:t>My main lesson was to separate three responsibilities: financial methodology, data readiness and software implementation. A Product Owner should approve what a measure means and what may be claimed from it, while the Data Lead establishes valid observations and the Lead Developer builds the reproducible calculation.</w:t>
      </w:r>
    </w:p>
    <w:p>
      <w:pPr>
        <w:pStyle w:val="Heading1"/>
        <w:pageBreakBefore/>
      </w:pPr>
      <w:r>
        <w:t>INDIVIDUAL DECLARATION</w:t>
      </w:r>
    </w:p>
    <w:p>
      <w:r>
        <w:t>I confirm that this report reflects the work that I am responsible for explaining, calculating, demonstrating or reproducing in Finfolio 2.0. Referenced outputs may be collaborative team artifacts; my individual accountability is defined by the contribution map and repository evidence.</w:t>
      </w:r>
    </w:p>
    <w:tbl>
      <w:tblPr>
        <w:tblW w:type="auto" w:w="0"/>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4618"/>
        <w:gridCol w:w="4618"/>
      </w:tblGrid>
      <w:tr>
        <w:tc>
          <w:tcPr>
            <w:tcW w:type="dxa" w:w="4618"/>
            <w:shd w:fill="D9EAF7"/>
            <w:tcMar>
              <w:top w:w="150" w:type="dxa"/>
              <w:start w:w="120" w:type="dxa"/>
              <w:bottom w:w="150" w:type="dxa"/>
              <w:end w:w="120" w:type="dxa"/>
            </w:tcMar>
          </w:tcPr>
          <w:p>
            <w:pPr>
              <w:spacing w:after="0"/>
            </w:pPr>
            <w:r>
              <w:rPr>
                <w:rFonts w:ascii="Times New Roman" w:hAnsi="Times New Roman"/>
                <w:b/>
                <w:sz w:val="21"/>
              </w:rPr>
              <w:t>Full name</w:t>
            </w:r>
          </w:p>
        </w:tc>
        <w:tc>
          <w:tcPr>
            <w:tcW w:type="dxa" w:w="4618"/>
            <w:tcMar>
              <w:top w:w="150" w:type="dxa"/>
              <w:start w:w="120" w:type="dxa"/>
              <w:bottom w:w="150" w:type="dxa"/>
              <w:end w:w="120" w:type="dxa"/>
            </w:tcMar>
          </w:tcPr>
          <w:p>
            <w:pPr>
              <w:spacing w:after="0"/>
            </w:pPr>
            <w:r>
              <w:rPr>
                <w:rFonts w:ascii="Times New Roman" w:hAnsi="Times New Roman"/>
                <w:sz w:val="21"/>
              </w:rPr>
              <w:t>Hoàng Khánh Linh</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Student ID</w:t>
            </w:r>
          </w:p>
        </w:tc>
        <w:tc>
          <w:tcPr>
            <w:tcW w:type="dxa" w:w="4618"/>
            <w:tcMar>
              <w:top w:w="150" w:type="dxa"/>
              <w:start w:w="120" w:type="dxa"/>
              <w:bottom w:w="150" w:type="dxa"/>
              <w:end w:w="120" w:type="dxa"/>
            </w:tcMar>
          </w:tcPr>
          <w:p>
            <w:pPr>
              <w:spacing w:after="0"/>
            </w:pPr>
            <w:r>
              <w:rPr>
                <w:rFonts w:ascii="Times New Roman" w:hAnsi="Times New Roman"/>
                <w:sz w:val="21"/>
              </w:rPr>
              <w:t>2412380024</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Signature</w:t>
            </w:r>
          </w:p>
        </w:tc>
        <w:tc>
          <w:tcPr>
            <w:tcW w:type="dxa" w:w="4618"/>
            <w:tcMar>
              <w:top w:w="150" w:type="dxa"/>
              <w:start w:w="120" w:type="dxa"/>
              <w:bottom w:w="150" w:type="dxa"/>
              <w:end w:w="120" w:type="dxa"/>
            </w:tcMar>
          </w:tcPr>
          <w:p>
            <w:pPr>
              <w:spacing w:after="0"/>
            </w:pPr>
            <w:r>
              <w:rPr>
                <w:rFonts w:ascii="Times New Roman" w:hAnsi="Times New Roman"/>
                <w:sz w:val="21"/>
              </w:rPr>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Date</w:t>
            </w:r>
          </w:p>
        </w:tc>
        <w:tc>
          <w:tcPr>
            <w:tcW w:type="dxa" w:w="4618"/>
            <w:tcMar>
              <w:top w:w="150" w:type="dxa"/>
              <w:start w:w="120" w:type="dxa"/>
              <w:bottom w:w="150" w:type="dxa"/>
              <w:end w:w="120" w:type="dxa"/>
            </w:tcMar>
          </w:tcPr>
          <w:p>
            <w:pPr>
              <w:spacing w:after="0"/>
            </w:pPr>
            <w:r>
              <w:rPr>
                <w:rFonts w:ascii="Times New Roman" w:hAnsi="Times New Roman"/>
                <w:sz w:val="21"/>
              </w:rPr>
            </w:r>
          </w:p>
        </w:tc>
      </w:tr>
    </w:tbl>
    <w:sectPr w:rsidR="00DC5944">
      <w:headerReference w:type="default" r:id="rId26"/>
      <w:footerReference w:type="default" r:id="rId27"/>
      <w:footnotePr>
        <w:numRestart w:val="eachSect"/>
      </w:footnotePr>
      <w:pgSz w:w="12240" w:h="15840"/>
      <w:pgMar w:top="1417" w:right="1417" w:bottom="1417" w:left="1587" w:header="720" w:footer="720" w:gutter="0"/>
      <w:cols w:space="720"/>
      <w:pgNumType w:start="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1163D3" w14:textId="77777777" w:rsidR="006D6761" w:rsidRDefault="006D6761">
      <w:pPr>
        <w:spacing w:after="0" w:line="240" w:lineRule="auto"/>
      </w:pPr>
      <w:r>
        <w:separator/>
      </w:r>
    </w:p>
  </w:endnote>
  <w:endnote w:type="continuationSeparator" w:id="0">
    <w:p w14:paraId="3998D4AC" w14:textId="77777777" w:rsidR="006D6761" w:rsidRDefault="006D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D5ABB" w14:textId="77777777" w:rsidR="00DC5944" w:rsidRDefault="00DC59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030E5" w14:textId="77777777" w:rsidR="00DC5944" w:rsidRDefault="00DC59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7367A" w14:textId="77777777" w:rsidR="00DC5944" w:rsidRDefault="00000000">
    <w:pPr>
      <w:spacing w:after="0" w:line="240" w:lineRule="auto"/>
      <w:ind w:firstLine="0"/>
      <w:jc w:val="right"/>
    </w:pPr>
    <w:r>
      <w:fldChar w:fldCharType="begin"/>
    </w:r>
    <w:r>
      <w:instrText>PAGE</w:instrText>
    </w:r>
    <w:r>
      <w:fldChar w:fldCharType="separate"/>
    </w:r>
    <w:r>
      <w:rPr>
        <w:sz w:val="24"/>
      </w:rPr>
      <w:t>2</w:t>
    </w:r>
    <w:r>
      <w:rPr>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5A5DC" w14:textId="77777777" w:rsidR="006D6761" w:rsidRDefault="006D6761">
      <w:pPr>
        <w:spacing w:after="0" w:line="240" w:lineRule="auto"/>
      </w:pPr>
      <w:r>
        <w:separator/>
      </w:r>
    </w:p>
  </w:footnote>
  <w:footnote w:type="continuationSeparator" w:id="0">
    <w:p w14:paraId="7DB3ED2C" w14:textId="77777777" w:rsidR="006D6761" w:rsidRDefault="006D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ADDD7" w14:textId="77777777" w:rsidR="00DC5944" w:rsidRDefault="00DC59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4B451" w14:textId="77777777" w:rsidR="00DC5944" w:rsidRDefault="00DC59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958A4" w14:textId="77777777" w:rsidR="00DC5944" w:rsidRDefault="00DC5944"/>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D08A7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12370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5944"/>
    <w:rsid w:val="000460F5"/>
    <w:rsid w:val="006D6761"/>
    <w:rsid w:val="009908EB"/>
    <w:rsid w:val="00DC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9241B6"/>
  <w15:docId w15:val="{04642DCF-ADC0-044D-B820-E33E48895E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24" w:lineRule="auto"/>
      <w:ind w:firstLine="425"/>
      <w:jc w:val="both"/>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20" w:after="120" w:line="276" w:lineRule="auto"/>
      <w:ind w:firstLine="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BodyText"/>
    <w:link w:val="Heading2Char"/>
    <w:uiPriority w:val="9"/>
    <w:semiHidden/>
    <w:unhideWhenUsed/>
    <w:qFormat/>
    <w:rsid w:val="00A10FD9"/>
    <w:pPr>
      <w:keepNext/>
      <w:keepLines/>
      <w:spacing w:before="200" w:after="80" w:line="276" w:lineRule="auto"/>
      <w:ind w:firstLine="0"/>
      <w:outlineLvl w:val="1"/>
    </w:pPr>
    <w:rPr>
      <w:rFonts w:asciiTheme="majorHAnsi" w:eastAsiaTheme="majorEastAsia" w:hAnsiTheme="majorHAnsi" w:cstheme="majorBidi" w:ascii="Times New Roman" w:hAnsi="Times New Roman"/>
      <w:b/>
      <w:color w:val="2F75B5"/>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60" w:line="276" w:lineRule="auto"/>
      <w:ind w:firstLine="0"/>
      <w:outlineLvl w:val="2"/>
    </w:pPr>
    <w:rPr>
      <w:rFonts w:eastAsiaTheme="majorEastAsia" w:cstheme="majorBidi" w:ascii="Times New Roman" w:hAnsi="Times New Roman"/>
      <w:b/>
      <w:color w:val="2F75B5"/>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line="276" w:lineRule="auto"/>
      <w:ind w:firstLine="0"/>
    </w:pPr>
    <w:rPr>
      <w:sz w:val="24"/>
    </w:rPr>
  </w:style>
  <w:style w:type="paragraph" w:styleId="Title">
    <w:name w:val="Title"/>
    <w:basedOn w:val="Normal"/>
    <w:next w:val="BodyText"/>
    <w:link w:val="TitleChar"/>
    <w:uiPriority w:val="10"/>
    <w:qFormat/>
    <w:rsid w:val="00A10FD9"/>
    <w:pPr>
      <w:keepNext/>
      <w:spacing w:after="200" w:line="240" w:lineRule="auto" w:before="0"/>
      <w:contextualSpacing/>
      <w:jc w:val="center"/>
    </w:pPr>
    <w:rPr>
      <w:rFonts w:asciiTheme="majorHAnsi" w:eastAsiaTheme="majorEastAsia" w:hAnsiTheme="majorHAnsi" w:cstheme="majorBidi" w:ascii="Times New Roman" w:hAnsi="Times New Roman"/>
      <w:color w:val="1F4E79"/>
      <w:sz w:val="5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spacing w:before="0" w:after="160"/>
      <w:ind w:firstLine="425"/>
    </w:pPr>
    <w:rPr>
      <w:rFonts w:ascii="Times New Roman" w:hAnsi="Times New Roman"/>
      <w:color w:val="66666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rPr>
      <w:b/>
      <w:color w:val="000000"/>
      <w:sz w:val="20"/>
    </w:rPr>
  </w:style>
  <w:style w:type="paragraph" w:customStyle="1" w:styleId="ImageCaption">
    <w:name w:val="Image Caption"/>
    <w:basedOn w:val="Caption"/>
    <w:rPr>
      <w:b/>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ferenceFront">
    <w:name w:val="Reference Front"/>
    <w:basedOn w:val="Normal"/>
  </w:style>
  <w:style w:type="paragraph" w:customStyle="1" w:styleId="ReferenceTOC1">
    <w:name w:val="Reference TOC 1"/>
    <w:basedOn w:val="Normal"/>
  </w:style>
  <w:style w:type="paragraph" w:customStyle="1" w:styleId="ReferenceTOC2">
    <w:name w:val="Reference TOC 2"/>
    <w:basedOn w:val="Normal"/>
  </w:style>
  <w:style w:type="paragraph" w:customStyle="1" w:styleId="ReportAbstract">
    <w:name w:val="Report Abstract"/>
    <w:pPr>
      <w:spacing w:line="324" w:lineRule="auto" w:after="120"/>
      <w:ind w:left="340" w:right="340"/>
      <w:jc w:val="both"/>
    </w:pPr>
    <w:rPr>
      <w:rFonts w:ascii="Times New Roman" w:hAnsi="Times New Roman"/>
      <w:i w:val="0"/>
      <w:sz w:val="22"/>
    </w:rPr>
  </w:style>
  <w:style w:type="paragraph" w:customStyle="1" w:styleId="ListBullet">
    <w:name w:val="List Bullet"/>
    <w:basedOn w:val="Normal"/>
    <w:pPr>
      <w:spacing w:line="300" w:lineRule="auto" w:after="60"/>
    </w:pPr>
    <w:rPr>
      <w:rFonts w:ascii="Times New Roman" w:hAnsi="Times New Roman"/>
      <w:sz w:val="22"/>
    </w:rPr>
  </w:style>
  <w:style w:type="paragraph" w:customStyle="1" w:styleId="ListNumber">
    <w:name w:val="List Number"/>
    <w:basedOn w:val="Normal"/>
    <w:pPr>
      <w:spacing w:line="300" w:lineRule="auto" w:after="60"/>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ederalreserve.gov/pubs/ifdp/2006/871/ifdp871.pdf" TargetMode="External"/><Relationship Id="rId18" Type="http://schemas.openxmlformats.org/officeDocument/2006/relationships/hyperlink" Target="https://finance.yahoo.com/" TargetMode="External"/><Relationship Id="rId3" Type="http://schemas.openxmlformats.org/officeDocument/2006/relationships/settings" Target="settings.xml"/><Relationship Id="rId21" Type="http://schemas.openxmlformats.org/officeDocument/2006/relationships/hyperlink" Target="https://github.com/lebaoann05-ops/fomc-price-discovery"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doi.org/10.1111/jofi.1219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frl.2020.10178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ederalreserve.gov/monetarypolicy/fomccalendars.htm" TargetMode="Externa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ranaroussi.github.io/yfina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11/j.1540-6261.2005.00760.x" TargetMode="External"/><Relationship Id="rId22"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5476</Words>
  <Characters>31216</Characters>
  <Application>Microsoft Office Word</Application>
  <DocSecurity>0</DocSecurity>
  <Lines>260</Lines>
  <Paragraphs>73</Paragraphs>
  <ScaleCrop>false</ScaleCrop>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Project Report — Hoàng Khánh Linh</dc:title>
  <dc:subject>FINFOLIO 2.0 — PORTFOLIO ATTRIBUTION &amp; RISK ANALYTICS</dc:subject>
  <dc:creator>Hoàng Khánh Linh</dc:creator>
  <cp:keywords>Finfolio 2.0, G09, individual footprint, NHA408E</cp:keywords>
  <cp:lastModifiedBy>2412380002-LÊ BẢO AN</cp:lastModifiedBy>
  <cp:revision>2</cp:revision>
  <dcterms:created xsi:type="dcterms:W3CDTF">2026-10-02T15:50:00Z</dcterms:created>
  <dcterms:modified xsi:type="dcterms:W3CDTF">2026-10-02T16:44:00Z</dcterms:modified>
</cp:coreProperties>
</file>