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after="40"/>
        <w:jc w:val="center"/>
      </w:pPr>
      <w:r>
        <w:rPr>
          <w:rFonts w:ascii="Times New Roman" w:hAnsi="Times New Roman"/>
          <w:b/>
          <w:color w:val="1F4E79"/>
          <w:sz w:val="28"/>
        </w:rPr>
        <w:t>FOREIGN TRADE UNIVERSITY</w:t>
      </w:r>
    </w:p>
    <w:p>
      <w:pPr>
        <w:jc w:val="center"/>
      </w:pPr>
      <w:r>
        <w:rPr>
          <w:rFonts w:ascii="Times New Roman" w:hAnsi="Times New Roman"/>
          <w:b/>
          <w:sz w:val="24"/>
        </w:rPr>
        <w:t>FACULTY OF BANKING AND FINANCE</w:t>
      </w:r>
    </w:p>
    <w:p>
      <w:pPr>
        <w:spacing w:before="160" w:after="160"/>
        <w:jc w:val="center"/>
      </w:pPr>
      <w:r>
        <w:drawing>
          <wp:inline xmlns:a="http://schemas.openxmlformats.org/drawingml/2006/main" xmlns:pic="http://schemas.openxmlformats.org/drawingml/2006/picture">
            <wp:extent cx="900000" cy="900000"/>
            <wp:docPr id="1" name="Picture 1"/>
            <wp:cNvGraphicFramePr>
              <a:graphicFrameLocks noChangeAspect="1"/>
            </wp:cNvGraphicFramePr>
            <a:graphic>
              <a:graphicData uri="http://schemas.openxmlformats.org/drawingml/2006/picture">
                <pic:pic>
                  <pic:nvPicPr>
                    <pic:cNvPr id="0" name="image.png"/>
                    <pic:cNvPicPr/>
                  </pic:nvPicPr>
                  <pic:blipFill>
                    <a:blip r:embed="rId7"/>
                    <a:stretch>
                      <a:fillRect/>
                    </a:stretch>
                  </pic:blipFill>
                  <pic:spPr>
                    <a:xfrm>
                      <a:off x="0" y="0"/>
                      <a:ext cx="900000" cy="900000"/>
                    </a:xfrm>
                    <a:prstGeom prst="rect"/>
                  </pic:spPr>
                </pic:pic>
              </a:graphicData>
            </a:graphic>
          </wp:inline>
        </w:drawing>
      </w:r>
    </w:p>
    <w:p>
      <w:pPr>
        <w:spacing w:before="400" w:after="200"/>
        <w:jc w:val="center"/>
      </w:pPr>
      <w:r>
        <w:rPr>
          <w:rFonts w:ascii="Times New Roman" w:hAnsi="Times New Roman"/>
          <w:b/>
          <w:color w:val="1F4E79"/>
          <w:sz w:val="48"/>
        </w:rPr>
        <w:t>PERSONAL PROJECT REPORT</w:t>
      </w:r>
    </w:p>
    <w:p>
      <w:pPr>
        <w:spacing w:after="360"/>
        <w:jc w:val="center"/>
      </w:pPr>
      <w:r>
        <w:rPr>
          <w:rFonts w:ascii="Times New Roman" w:hAnsi="Times New Roman"/>
          <w:b/>
          <w:sz w:val="34"/>
        </w:rPr>
        <w:t>FINFOLIO 2.0 — PORTFOLIO ATTRIBUTION &amp; RISK ANALYTICS</w:t>
      </w:r>
    </w:p>
    <w:tbl>
      <w:tblPr>
        <w:tblW w:type="auto" w:w="0"/>
        <w:jc w:val="center"/>
        <w:tblLayout w:type="fixed"/>
        <w:tblLook w:firstColumn="1" w:firstRow="1" w:lastColumn="0" w:lastRow="0" w:noHBand="0" w:noVBand="1" w:val="04A0"/>
      </w:tblPr>
      <w:tblGrid>
        <w:gridCol w:w="2381"/>
        <w:gridCol w:w="5896"/>
      </w:tblGrid>
      <w:tr>
        <w:tc>
          <w:tcPr>
            <w:tcW w:type="dxa" w:w="4702"/>
            <w:shd w:fill="D9EAF7"/>
            <w:vAlign w:val="center"/>
            <w:tcMar>
              <w:top w:w="110" w:type="dxa"/>
              <w:start w:w="120" w:type="dxa"/>
              <w:bottom w:w="110" w:type="dxa"/>
              <w:end w:w="120" w:type="dxa"/>
            </w:tcMar>
          </w:tcPr>
          <w:p>
            <w:pPr>
              <w:spacing w:after="0"/>
              <w:jc w:val="left"/>
            </w:pPr>
            <w:r>
              <w:rPr>
                <w:rFonts w:ascii="Times New Roman" w:hAnsi="Times New Roman"/>
                <w:b/>
                <w:sz w:val="21"/>
              </w:rPr>
              <w:t>Student</w:t>
            </w:r>
          </w:p>
        </w:tc>
        <w:tc>
          <w:tcPr>
            <w:tcW w:type="dxa" w:w="4702"/>
            <w:vAlign w:val="center"/>
            <w:tcMar>
              <w:top w:w="110" w:type="dxa"/>
              <w:start w:w="120" w:type="dxa"/>
              <w:bottom w:w="110" w:type="dxa"/>
              <w:end w:w="120" w:type="dxa"/>
            </w:tcMar>
          </w:tcPr>
          <w:p>
            <w:pPr>
              <w:spacing w:after="0"/>
              <w:jc w:val="left"/>
            </w:pPr>
            <w:r>
              <w:rPr>
                <w:rFonts w:ascii="Times New Roman" w:hAnsi="Times New Roman"/>
                <w:b w:val="0"/>
                <w:sz w:val="21"/>
              </w:rPr>
              <w:t>Trần Minh Ngọc</w:t>
            </w:r>
          </w:p>
        </w:tc>
      </w:tr>
      <w:tr>
        <w:tc>
          <w:tcPr>
            <w:tcW w:type="dxa" w:w="4702"/>
            <w:shd w:fill="D9EAF7"/>
            <w:vAlign w:val="center"/>
            <w:tcMar>
              <w:top w:w="110" w:type="dxa"/>
              <w:start w:w="120" w:type="dxa"/>
              <w:bottom w:w="110" w:type="dxa"/>
              <w:end w:w="120" w:type="dxa"/>
            </w:tcMar>
          </w:tcPr>
          <w:p>
            <w:pPr>
              <w:spacing w:after="0"/>
              <w:jc w:val="left"/>
            </w:pPr>
            <w:r>
              <w:rPr>
                <w:rFonts w:ascii="Times New Roman" w:hAnsi="Times New Roman"/>
                <w:b/>
                <w:sz w:val="21"/>
              </w:rPr>
              <w:t>Student ID</w:t>
            </w:r>
          </w:p>
        </w:tc>
        <w:tc>
          <w:tcPr>
            <w:tcW w:type="dxa" w:w="4702"/>
            <w:vAlign w:val="center"/>
            <w:tcMar>
              <w:top w:w="110" w:type="dxa"/>
              <w:start w:w="120" w:type="dxa"/>
              <w:bottom w:w="110" w:type="dxa"/>
              <w:end w:w="120" w:type="dxa"/>
            </w:tcMar>
          </w:tcPr>
          <w:p>
            <w:pPr>
              <w:spacing w:after="0"/>
              <w:jc w:val="left"/>
            </w:pPr>
            <w:r>
              <w:rPr>
                <w:rFonts w:ascii="Times New Roman" w:hAnsi="Times New Roman"/>
                <w:b w:val="0"/>
                <w:sz w:val="21"/>
              </w:rPr>
              <w:t>2412380036</w:t>
            </w:r>
          </w:p>
        </w:tc>
      </w:tr>
      <w:tr>
        <w:tc>
          <w:tcPr>
            <w:tcW w:type="dxa" w:w="4702"/>
            <w:shd w:fill="D9EAF7"/>
            <w:vAlign w:val="center"/>
            <w:tcMar>
              <w:top w:w="110" w:type="dxa"/>
              <w:start w:w="120" w:type="dxa"/>
              <w:bottom w:w="110" w:type="dxa"/>
              <w:end w:w="120" w:type="dxa"/>
            </w:tcMar>
          </w:tcPr>
          <w:p>
            <w:pPr>
              <w:spacing w:after="0"/>
              <w:jc w:val="left"/>
            </w:pPr>
            <w:r>
              <w:rPr>
                <w:rFonts w:ascii="Times New Roman" w:hAnsi="Times New Roman"/>
                <w:b/>
                <w:sz w:val="21"/>
              </w:rPr>
              <w:t>Role</w:t>
            </w:r>
          </w:p>
        </w:tc>
        <w:tc>
          <w:tcPr>
            <w:tcW w:type="dxa" w:w="4702"/>
            <w:vAlign w:val="center"/>
            <w:tcMar>
              <w:top w:w="110" w:type="dxa"/>
              <w:start w:w="120" w:type="dxa"/>
              <w:bottom w:w="110" w:type="dxa"/>
              <w:end w:w="120" w:type="dxa"/>
            </w:tcMar>
          </w:tcPr>
          <w:p>
            <w:pPr>
              <w:spacing w:after="0"/>
              <w:jc w:val="left"/>
            </w:pPr>
            <w:r>
              <w:rPr>
                <w:rFonts w:ascii="Times New Roman" w:hAnsi="Times New Roman"/>
                <w:b w:val="0"/>
                <w:sz w:val="21"/>
              </w:rPr>
              <w:t>Business Analyst / Data Lead</w:t>
            </w:r>
          </w:p>
        </w:tc>
      </w:tr>
      <w:tr>
        <w:tc>
          <w:tcPr>
            <w:tcW w:type="dxa" w:w="4702"/>
            <w:shd w:fill="D9EAF7"/>
            <w:vAlign w:val="center"/>
            <w:tcMar>
              <w:top w:w="110" w:type="dxa"/>
              <w:start w:w="120" w:type="dxa"/>
              <w:bottom w:w="110" w:type="dxa"/>
              <w:end w:w="120" w:type="dxa"/>
            </w:tcMar>
          </w:tcPr>
          <w:p>
            <w:pPr>
              <w:spacing w:after="0"/>
              <w:jc w:val="left"/>
            </w:pPr>
            <w:r>
              <w:rPr>
                <w:rFonts w:ascii="Times New Roman" w:hAnsi="Times New Roman"/>
                <w:b/>
                <w:sz w:val="21"/>
              </w:rPr>
              <w:t>Group</w:t>
            </w:r>
          </w:p>
        </w:tc>
        <w:tc>
          <w:tcPr>
            <w:tcW w:type="dxa" w:w="4702"/>
            <w:vAlign w:val="center"/>
            <w:tcMar>
              <w:top w:w="110" w:type="dxa"/>
              <w:start w:w="120" w:type="dxa"/>
              <w:bottom w:w="110" w:type="dxa"/>
              <w:end w:w="120" w:type="dxa"/>
            </w:tcMar>
          </w:tcPr>
          <w:p>
            <w:pPr>
              <w:spacing w:after="0"/>
              <w:jc w:val="left"/>
            </w:pPr>
            <w:r>
              <w:rPr>
                <w:rFonts w:ascii="Times New Roman" w:hAnsi="Times New Roman"/>
                <w:b w:val="0"/>
                <w:sz w:val="21"/>
              </w:rPr>
              <w:t>G09 — K63</w:t>
            </w:r>
          </w:p>
        </w:tc>
      </w:tr>
      <w:tr>
        <w:tc>
          <w:tcPr>
            <w:tcW w:type="dxa" w:w="4702"/>
            <w:shd w:fill="D9EAF7"/>
            <w:vAlign w:val="center"/>
            <w:tcMar>
              <w:top w:w="110" w:type="dxa"/>
              <w:start w:w="120" w:type="dxa"/>
              <w:bottom w:w="110" w:type="dxa"/>
              <w:end w:w="120" w:type="dxa"/>
            </w:tcMar>
          </w:tcPr>
          <w:p>
            <w:pPr>
              <w:spacing w:after="0"/>
              <w:jc w:val="left"/>
            </w:pPr>
            <w:r>
              <w:rPr>
                <w:rFonts w:ascii="Times New Roman" w:hAnsi="Times New Roman"/>
                <w:b/>
                <w:sz w:val="21"/>
              </w:rPr>
              <w:t>Course</w:t>
            </w:r>
          </w:p>
        </w:tc>
        <w:tc>
          <w:tcPr>
            <w:tcW w:type="dxa" w:w="4702"/>
            <w:vAlign w:val="center"/>
            <w:tcMar>
              <w:top w:w="110" w:type="dxa"/>
              <w:start w:w="120" w:type="dxa"/>
              <w:bottom w:w="110" w:type="dxa"/>
              <w:end w:w="120" w:type="dxa"/>
            </w:tcMar>
          </w:tcPr>
          <w:p>
            <w:pPr>
              <w:spacing w:after="0"/>
              <w:jc w:val="left"/>
            </w:pPr>
            <w:r>
              <w:rPr>
                <w:rFonts w:ascii="Times New Roman" w:hAnsi="Times New Roman"/>
                <w:b w:val="0"/>
                <w:sz w:val="21"/>
              </w:rPr>
              <w:t>Information Technology Applications in Finance and Banking (NHA408E)</w:t>
            </w:r>
          </w:p>
        </w:tc>
      </w:tr>
      <w:tr>
        <w:tc>
          <w:tcPr>
            <w:tcW w:type="dxa" w:w="4702"/>
            <w:shd w:fill="D9EAF7"/>
            <w:vAlign w:val="center"/>
            <w:tcMar>
              <w:top w:w="110" w:type="dxa"/>
              <w:start w:w="120" w:type="dxa"/>
              <w:bottom w:w="110" w:type="dxa"/>
              <w:end w:w="120" w:type="dxa"/>
            </w:tcMar>
          </w:tcPr>
          <w:p>
            <w:pPr>
              <w:spacing w:after="0"/>
              <w:jc w:val="left"/>
            </w:pPr>
            <w:r>
              <w:rPr>
                <w:rFonts w:ascii="Times New Roman" w:hAnsi="Times New Roman"/>
                <w:b/>
                <w:sz w:val="21"/>
              </w:rPr>
              <w:t>Instructor</w:t>
            </w:r>
          </w:p>
        </w:tc>
        <w:tc>
          <w:tcPr>
            <w:tcW w:type="dxa" w:w="4702"/>
            <w:vAlign w:val="center"/>
            <w:tcMar>
              <w:top w:w="110" w:type="dxa"/>
              <w:start w:w="120" w:type="dxa"/>
              <w:bottom w:w="110" w:type="dxa"/>
              <w:end w:w="120" w:type="dxa"/>
            </w:tcMar>
          </w:tcPr>
          <w:p>
            <w:pPr>
              <w:spacing w:after="0"/>
              <w:jc w:val="left"/>
            </w:pPr>
            <w:r>
              <w:rPr>
                <w:rFonts w:ascii="Times New Roman" w:hAnsi="Times New Roman"/>
                <w:b w:val="0"/>
                <w:sz w:val="21"/>
              </w:rPr>
              <w:t>Phan Trần Trung Dũng</w:t>
            </w:r>
          </w:p>
        </w:tc>
      </w:tr>
    </w:tbl>
    <w:p>
      <w:pPr>
        <w:spacing w:before="640"/>
        <w:jc w:val="center"/>
      </w:pPr>
      <w:r>
        <w:rPr>
          <w:rFonts w:ascii="Times New Roman" w:hAnsi="Times New Roman"/>
          <w:sz w:val="22"/>
        </w:rPr>
        <w:t>Hanoi, October 2026</w:t>
      </w:r>
    </w:p>
    <w:p>
      <w:pPr>
        <w:sectPr>
          <w:headerReference w:type="default" r:id="rId22"/>
          <w:footerReference w:type="default" r:id="rId23"/>
          <w:footnotePr>
            <w:numRestart w:val="eachSect"/>
          </w:footnotePr>
          <w:pgSz w:w="12240" w:h="15840"/>
          <w:pgMar w:top="1134" w:right="1134" w:bottom="1134" w:left="1701" w:header="720" w:footer="720" w:gutter="0"/>
          <w:cols w:space="720"/>
          <w:titlePg/>
          <w:pgBorders w:display="firstPage" w:offsetFrom="page">
            <w:top w:val="double" w:sz="6" w:space="24" w:color="000000"/>
            <w:left w:val="double" w:sz="6" w:space="24" w:color="000000"/>
            <w:bottom w:val="double" w:sz="6" w:space="24" w:color="000000"/>
            <w:right w:val="double" w:sz="6" w:space="24" w:color="000000"/>
          </w:pgBorders>
        </w:sectPr>
      </w:pPr>
    </w:p>
    <w:p>
      <w:pPr>
        <w:pStyle w:val="ReferenceFront"/>
        <w:jc w:val="center"/>
      </w:pPr>
      <w:r>
        <w:t>ABSTRACT</w:t>
      </w:r>
    </w:p>
    <w:p>
      <w:pPr>
        <w:pStyle w:val="ReportAbstract"/>
      </w:pPr>
      <w:r>
        <w:t>This report documents my responsibility for data readiness and provenance in Finfolio 2.0. It covers the input dictionary, source register, benchmark and fallback policy, currency and common-date alignment, instrument classification, validation and freshness monitoring.</w:t>
      </w:r>
    </w:p>
    <w:p>
      <w:pPr>
        <w:pStyle w:val="ReportAbstract"/>
      </w:pPr>
      <w:r>
        <w:rPr>
          <w:b/>
        </w:rPr>
        <w:t xml:space="preserve">Keywords: </w:t>
      </w:r>
      <w:r>
        <w:t>Finfolio 2.0; portfolio attribution; risk analytics; individual contribution; reproducibility.</w:t>
      </w:r>
    </w:p>
    <w:p>
      <w:pPr>
        <w:pStyle w:val="Heading2"/>
      </w:pPr>
      <w:r>
        <w:t>Verification principle</w:t>
      </w:r>
    </w:p>
    <w:p>
      <w:pPr>
        <w:pStyle w:val="ReportAbstract"/>
      </w:pPr>
      <w:r>
        <w:t>This report interprets the member's responsibilities from the G09 Individual Footprint. Each contribution is linked to an output, repository file or reproducible check. Git commit authorship is not treated as sole proof because one member may integrate files for the team.</w:t>
      </w:r>
    </w:p>
    <w:p>
      <w:pPr>
        <w:pStyle w:val="ReferenceFront"/>
        <w:jc w:val="center"/>
      </w:pPr>
      <w:r>
        <w:t>CONTENTS</w:t>
      </w:r>
    </w:p>
    <w:p>
      <w:pPr>
        <w:spacing w:after="100"/>
        <w:ind w:left="283" w:right="283"/>
        <w:tabs>
          <w:tab w:val="right" w:leader="dot" w:pos="8700"/>
        </w:tabs>
      </w:pPr>
      <w:r>
        <w:rPr>
          <w:rFonts w:ascii="Times New Roman" w:hAnsi="Times New Roman"/>
          <w:sz w:val="22"/>
        </w:rPr>
        <w:t>I. Role and accountability</w:t>
        <w:tab/>
        <w:t>3</w:t>
      </w:r>
    </w:p>
    <w:p>
      <w:pPr>
        <w:spacing w:after="100"/>
        <w:ind w:left="283" w:right="283"/>
        <w:tabs>
          <w:tab w:val="right" w:leader="dot" w:pos="8700"/>
        </w:tabs>
      </w:pPr>
      <w:r>
        <w:rPr>
          <w:rFonts w:ascii="Times New Roman" w:hAnsi="Times New Roman"/>
          <w:sz w:val="22"/>
        </w:rPr>
        <w:t>II. Distinctive contribution to Finfolio 2.0</w:t>
        <w:tab/>
        <w:t>3</w:t>
      </w:r>
    </w:p>
    <w:p>
      <w:pPr>
        <w:spacing w:after="100"/>
        <w:ind w:left="283" w:right="283"/>
        <w:tabs>
          <w:tab w:val="right" w:leader="dot" w:pos="8700"/>
        </w:tabs>
      </w:pPr>
      <w:r>
        <w:rPr>
          <w:rFonts w:ascii="Times New Roman" w:hAnsi="Times New Roman"/>
          <w:sz w:val="22"/>
        </w:rPr>
        <w:t>III. Work completed across the project</w:t>
        <w:tab/>
        <w:t>3</w:t>
      </w:r>
    </w:p>
    <w:p>
      <w:pPr>
        <w:spacing w:after="100"/>
        <w:ind w:left="283" w:right="283"/>
        <w:tabs>
          <w:tab w:val="right" w:leader="dot" w:pos="8700"/>
        </w:tabs>
      </w:pPr>
      <w:r>
        <w:rPr>
          <w:rFonts w:ascii="Times New Roman" w:hAnsi="Times New Roman"/>
          <w:sz w:val="22"/>
        </w:rPr>
        <w:t>IV. Evidence and reproducibility</w:t>
        <w:tab/>
        <w:t>4</w:t>
      </w:r>
    </w:p>
    <w:p>
      <w:pPr>
        <w:spacing w:after="100"/>
        <w:ind w:left="283" w:right="283"/>
        <w:tabs>
          <w:tab w:val="right" w:leader="dot" w:pos="8700"/>
        </w:tabs>
      </w:pPr>
      <w:r>
        <w:rPr>
          <w:rFonts w:ascii="Times New Roman" w:hAnsi="Times New Roman"/>
          <w:sz w:val="22"/>
        </w:rPr>
        <w:t>V. Weekly evidence trail</w:t>
        <w:tab/>
        <w:t>5</w:t>
      </w:r>
    </w:p>
    <w:p>
      <w:pPr>
        <w:spacing w:after="100"/>
        <w:ind w:left="283" w:right="283"/>
        <w:tabs>
          <w:tab w:val="right" w:leader="dot" w:pos="8700"/>
        </w:tabs>
      </w:pPr>
      <w:r>
        <w:rPr>
          <w:rFonts w:ascii="Times New Roman" w:hAnsi="Times New Roman"/>
          <w:sz w:val="22"/>
        </w:rPr>
        <w:t>VI. Limitations and lessons learned</w:t>
        <w:tab/>
        <w:t>5</w:t>
      </w:r>
    </w:p>
    <w:p>
      <w:pPr>
        <w:spacing w:after="100"/>
        <w:ind w:left="283" w:right="283"/>
        <w:tabs>
          <w:tab w:val="right" w:leader="dot" w:pos="8700"/>
        </w:tabs>
      </w:pPr>
      <w:r>
        <w:rPr>
          <w:rFonts w:ascii="Times New Roman" w:hAnsi="Times New Roman"/>
          <w:sz w:val="22"/>
        </w:rPr>
        <w:t>Individual declaration</w:t>
        <w:tab/>
        <w:t>6</w:t>
      </w:r>
    </w:p>
    <w:p>
      <w:r>
        <w:br w:type="page"/>
      </w:r>
    </w:p>
    <w:p>
      <w:pPr>
        <w:pStyle w:val="Heading1"/>
      </w:pPr>
      <w:r>
        <w:t>I. Role and accountability</w:t>
      </w:r>
    </w:p>
    <w:p>
      <w:r>
        <w:t>As Business Analyst and Data &amp; Provenance Lead, I owned the contract between market observations and the financial engine. My responsibilities covered the input dictionary, source register, supported instrument universe, benchmark and fallback policy, currency mapping, common-date alignment, sector/industry classification, validation and data-freshness monitoring. Hoàng Khánh Linh owned the financial formulas applied after these checks; I owned whether the data supplied to those formulas were identifiable, compatible and traceable.</w:t>
      </w:r>
    </w:p>
    <w:p>
      <w:pPr>
        <w:pStyle w:val="Heading1"/>
      </w:pPr>
      <w:r>
        <w:t>II. Distinctive contribution to Finfolio 2.0</w:t>
      </w:r>
    </w:p>
    <w:p>
      <w:pPr>
        <w:pStyle w:val="Heading2"/>
      </w:pPr>
      <w:r>
        <w:t>2.1 Resolving the Vietnam benchmark blocker</w:t>
      </w:r>
    </w:p>
    <w:p>
      <w:r>
        <w:t xml:space="preserve">Yahoo Finance did not provide a stable VN-Index history for the required period. I evaluated alternatives and specified TradingView through </w:t>
      </w:r>
      <w:r>
        <w:rPr>
          <w:rFonts w:ascii="Consolas" w:hAnsi="Consolas"/>
          <w:color w:val="464646"/>
          <w:sz w:val="18"/>
        </w:rPr>
        <w:t>tvdatafeed</w:t>
      </w:r>
      <w:r>
        <w:t xml:space="preserve"> for VN30 and VN-Index, with </w:t>
      </w:r>
      <w:r>
        <w:rPr>
          <w:rFonts w:ascii="Consolas" w:hAnsi="Consolas"/>
          <w:color w:val="464646"/>
          <w:sz w:val="18"/>
        </w:rPr>
        <w:t>E1VFVN30.VN</w:t>
      </w:r>
      <w:r>
        <w:t xml:space="preserve"> as a clearly labelled ETF-proxy fallback. The benchmark is treated as a comparison series, never silently inserted into portfolio holdings.</w:t>
      </w:r>
    </w:p>
    <w:p>
      <w:pPr>
        <w:pStyle w:val="Heading2"/>
      </w:pPr>
      <w:r>
        <w:t>2.2 Multi-asset universe and provenance</w:t>
      </w:r>
    </w:p>
    <w:p>
      <w:r>
        <w:t>I established the supported Vietnam universe and international instrument catalog, including commodity ETF proxies. Each entry records symbol, market, instrument type, quote currency and classification status. The distinction between a commodity and an exchange-traded proxy is retained in the product explanation so the user is not led to believe that an ETF price is a physical spot quotation.</w:t>
      </w:r>
    </w:p>
    <w:p>
      <w:pPr>
        <w:pStyle w:val="Heading2"/>
      </w:pPr>
      <w:r>
        <w:t>2.3 Benchmark, currency and common-date compatibility</w:t>
      </w:r>
    </w:p>
    <w:p>
      <w:r>
        <w:t>I specified that holdings, benchmark and USD/VND observations must be aligned to a shared set of valid dates before relative metrics are calculated. FX conversion, quote currency and user-input currency are separate fields. Active return, tracking error, beta and alpha are accepted only when portfolio and benchmark series use the same effective period and sufficient common observations.</w:t>
      </w:r>
    </w:p>
    <w:p>
      <w:pPr>
        <w:pStyle w:val="Heading1"/>
      </w:pPr>
      <w:r>
        <w:t>III. Work completed across the project</w:t>
      </w:r>
    </w:p>
    <w:p>
      <w:pPr>
        <w:pStyle w:val="Heading2"/>
      </w:pPr>
      <w:r>
        <w:t>3.1 Input dictionary and canonical fields — Week 3</w:t>
      </w:r>
    </w:p>
    <w:p>
      <w:pPr>
        <w:pStyle w:val="ListBullet"/>
        <w:ind w:left="369" w:hanging="198"/>
      </w:pPr>
      <w:r>
        <w:t>• Defined identifiers, exchanges, asset classes, position values, currencies, sector/industry labels, price dates, benchmark fields and optimization caps.</w:t>
      </w:r>
    </w:p>
    <w:p>
      <w:pPr>
        <w:pStyle w:val="ListBullet"/>
        <w:ind w:left="369" w:hanging="198"/>
      </w:pPr>
      <w:r>
        <w:t>• Documented data type, unit, source, example and validation rule for each field.</w:t>
      </w:r>
    </w:p>
    <w:p>
      <w:pPr>
        <w:pStyle w:val="ListBullet"/>
        <w:ind w:left="369" w:hanging="198"/>
      </w:pPr>
      <w:r>
        <w:t>• Separated user-entered currency from the instrument's native quote currency.</w:t>
      </w:r>
    </w:p>
    <w:p>
      <w:pPr>
        <w:pStyle w:val="Heading2"/>
      </w:pPr>
      <w:r>
        <w:t>3.2 Source register and fallback policy — Week 3</w:t>
      </w:r>
    </w:p>
    <w:p>
      <w:pPr>
        <w:pStyle w:val="ListBullet"/>
        <w:ind w:left="369" w:hanging="198"/>
      </w:pPr>
      <w:r>
        <w:t>• Registered user inputs, TradingView Vietnam prices, Yahoo Finance international series, FX data, exchange disclosures and fixed test fixtures.</w:t>
      </w:r>
    </w:p>
    <w:p>
      <w:pPr>
        <w:pStyle w:val="ListBullet"/>
        <w:ind w:left="369" w:hanging="198"/>
      </w:pPr>
      <w:r>
        <w:t>• Documented expected latency, limitations and fallback behavior.</w:t>
      </w:r>
    </w:p>
    <w:p>
      <w:pPr>
        <w:pStyle w:val="ListBullet"/>
        <w:ind w:left="369" w:hanging="198"/>
      </w:pPr>
      <w:r>
        <w:t>• Established provenance labels so cached, fallback and live provider results are distinguishable.</w:t>
      </w:r>
    </w:p>
    <w:p>
      <w:pPr>
        <w:pStyle w:val="Heading2"/>
      </w:pPr>
      <w:r>
        <w:t>3.3 Classification and symbol search — Weeks 5–6</w:t>
      </w:r>
    </w:p>
    <w:p>
      <w:pPr>
        <w:pStyle w:val="ListBullet"/>
        <w:ind w:left="369" w:hanging="198"/>
      </w:pPr>
      <w:r>
        <w:t>• Built the sector/industry classification rules used for grouped attribution.</w:t>
      </w:r>
    </w:p>
    <w:p>
      <w:pPr>
        <w:pStyle w:val="ListBullet"/>
        <w:ind w:left="369" w:hanging="198"/>
      </w:pPr>
      <w:r>
        <w:t>• Defined “Not applicable” for commodities, ETFs and crypto rather than assigning a corporate industry.</w:t>
      </w:r>
    </w:p>
    <w:p>
      <w:pPr>
        <w:pStyle w:val="ListBullet"/>
        <w:ind w:left="369" w:hanging="198"/>
      </w:pPr>
      <w:r>
        <w:t>• Supported ticker and Vietnamese company-name search with normalized accents and case.</w:t>
      </w:r>
    </w:p>
    <w:p>
      <w:pPr>
        <w:pStyle w:val="Heading2"/>
      </w:pPr>
      <w:r>
        <w:t>3.4 Data validation, benchmark and alignment — Weeks 4–7</w:t>
      </w:r>
    </w:p>
    <w:p>
      <w:pPr>
        <w:pStyle w:val="ListBullet"/>
        <w:ind w:left="369" w:hanging="198"/>
      </w:pPr>
      <w:r>
        <w:t>• Specified positive-price, duplicate-date, missing-value and minimum-observation checks.</w:t>
      </w:r>
    </w:p>
    <w:p>
      <w:pPr>
        <w:pStyle w:val="ListBullet"/>
        <w:ind w:left="369" w:hanging="198"/>
      </w:pPr>
      <w:r>
        <w:t>• Defined inner alignment across Vietnam, international, benchmark and FX calendars.</w:t>
      </w:r>
    </w:p>
    <w:p>
      <w:pPr>
        <w:pStyle w:val="ListBullet"/>
        <w:ind w:left="369" w:hanging="198"/>
      </w:pPr>
      <w:r>
        <w:t>• Assigned benchmark source, fallback and label rules and prevented benchmark/holding confusion.</w:t>
      </w:r>
    </w:p>
    <w:p>
      <w:pPr>
        <w:pStyle w:val="Heading2"/>
      </w:pPr>
      <w:r>
        <w:t>3.5 Freshness monitoring — Week 7</w:t>
      </w:r>
    </w:p>
    <w:p>
      <w:pPr>
        <w:pStyle w:val="ListBullet"/>
        <w:ind w:left="369" w:hanging="198"/>
      </w:pPr>
      <w:r>
        <w:t>• Defined the distinction between the latest market session and the file download timestamp.</w:t>
      </w:r>
    </w:p>
    <w:p>
      <w:pPr>
        <w:pStyle w:val="ListBullet"/>
        <w:ind w:left="369" w:hanging="198"/>
      </w:pPr>
      <w:r>
        <w:t xml:space="preserve">• Supported the </w:t>
      </w:r>
      <w:r>
        <w:rPr>
          <w:rFonts w:ascii="Consolas" w:hAnsi="Consolas"/>
          <w:color w:val="464646"/>
          <w:sz w:val="18"/>
        </w:rPr>
        <w:t>/api/data-status</w:t>
      </w:r>
      <w:r>
        <w:t xml:space="preserve"> response without sending portfolio holdings.</w:t>
      </w:r>
    </w:p>
    <w:p>
      <w:pPr>
        <w:pStyle w:val="ListBullet"/>
        <w:ind w:left="369" w:hanging="198"/>
      </w:pPr>
      <w:r>
        <w:t>• Contributed tests for classification, Vietnam data, symbol search and freshness behavior.</w:t>
      </w:r>
    </w:p>
    <w:p>
      <w:pPr>
        <w:pStyle w:val="Heading1"/>
      </w:pPr>
      <w:r>
        <w:t>IV. Evidence and reproducibility</w:t>
      </w:r>
    </w:p>
    <w:tbl>
      <w:tblPr>
        <w:tblW w:type="auto" w:w="0"/>
        <w:tblLayout w:type="autofit"/>
        <w:tblLook w:firstColumn="1" w:firstRow="1" w:lastColumn="0" w:lastRow="0" w:noHBand="0" w:noVBand="1" w:val="04A0"/>
        <w:jc w:val="center"/>
        <w:tblBorders>
          <w:top w:val="single" w:sz="4" w:space="0" w:color="B8C7D1"/>
          <w:left w:val="single" w:sz="4" w:space="0" w:color="B8C7D1"/>
          <w:bottom w:val="single" w:sz="4" w:space="0" w:color="B8C7D1"/>
          <w:right w:val="single" w:sz="4" w:space="0" w:color="B8C7D1"/>
          <w:insideH w:val="single" w:sz="4" w:space="0" w:color="B8C7D1"/>
          <w:insideV w:val="single" w:sz="4" w:space="0" w:color="B8C7D1"/>
        </w:tblBorders>
      </w:tblPr>
      <w:tblGrid>
        <w:gridCol w:w="2309"/>
        <w:gridCol w:w="2309"/>
        <w:gridCol w:w="2309"/>
        <w:gridCol w:w="2309"/>
      </w:tblGrid>
      <w:tr>
        <w:trPr>
          <w:tblHeader w:val="true"/>
          <w:cantSplit/>
        </w:trPr>
        <w:tc>
          <w:tcPr>
            <w:tcW w:type="dxa" w:w="2309"/>
            <w:tcMar>
              <w:top w:w="65" w:type="dxa"/>
              <w:start w:w="75" w:type="dxa"/>
              <w:bottom w:w="65" w:type="dxa"/>
              <w:end w:w="75" w:type="dxa"/>
            </w:tcMar>
            <w:vAlign w:val="center"/>
            <w:shd w:fill="1F4E79"/>
          </w:tcPr>
          <w:p>
            <w:pPr>
              <w:spacing w:after="0"/>
              <w:jc w:val="left"/>
            </w:pPr>
            <w:r>
              <w:rPr>
                <w:rFonts w:ascii="Times New Roman" w:hAnsi="Times New Roman"/>
                <w:b/>
                <w:color w:val="FFFFFF"/>
                <w:sz w:val="15"/>
              </w:rPr>
            </w:r>
            <w:r>
              <w:rPr>
                <w:rFonts w:ascii="Times New Roman" w:hAnsi="Times New Roman"/>
                <w:b/>
                <w:color w:val="FFFFFF"/>
                <w:sz w:val="15"/>
              </w:rPr>
              <w:t>Deliverable</w:t>
            </w:r>
          </w:p>
        </w:tc>
        <w:tc>
          <w:tcPr>
            <w:tcW w:type="dxa" w:w="2309"/>
            <w:tcMar>
              <w:top w:w="65" w:type="dxa"/>
              <w:start w:w="75" w:type="dxa"/>
              <w:bottom w:w="65" w:type="dxa"/>
              <w:end w:w="75" w:type="dxa"/>
            </w:tcMar>
            <w:vAlign w:val="center"/>
            <w:shd w:fill="1F4E79"/>
          </w:tcPr>
          <w:p>
            <w:pPr>
              <w:spacing w:after="0"/>
              <w:jc w:val="left"/>
            </w:pPr>
            <w:r>
              <w:rPr>
                <w:rFonts w:ascii="Times New Roman" w:hAnsi="Times New Roman"/>
                <w:b/>
                <w:color w:val="FFFFFF"/>
                <w:sz w:val="15"/>
              </w:rPr>
            </w:r>
            <w:r>
              <w:rPr>
                <w:rFonts w:ascii="Times New Roman" w:hAnsi="Times New Roman"/>
                <w:b/>
                <w:color w:val="FFFFFF"/>
                <w:sz w:val="15"/>
              </w:rPr>
              <w:t>Actual contribution</w:t>
            </w:r>
          </w:p>
        </w:tc>
        <w:tc>
          <w:tcPr>
            <w:tcW w:type="dxa" w:w="2309"/>
            <w:tcMar>
              <w:top w:w="65" w:type="dxa"/>
              <w:start w:w="75" w:type="dxa"/>
              <w:bottom w:w="65" w:type="dxa"/>
              <w:end w:w="75" w:type="dxa"/>
            </w:tcMar>
            <w:vAlign w:val="center"/>
            <w:shd w:fill="1F4E79"/>
          </w:tcPr>
          <w:p>
            <w:pPr>
              <w:spacing w:after="0"/>
              <w:jc w:val="left"/>
            </w:pPr>
            <w:r>
              <w:rPr>
                <w:rFonts w:ascii="Times New Roman" w:hAnsi="Times New Roman"/>
                <w:b/>
                <w:color w:val="FFFFFF"/>
                <w:sz w:val="15"/>
              </w:rPr>
            </w:r>
            <w:r>
              <w:rPr>
                <w:rFonts w:ascii="Times New Roman" w:hAnsi="Times New Roman"/>
                <w:b/>
                <w:color w:val="FFFFFF"/>
                <w:sz w:val="15"/>
              </w:rPr>
              <w:t>Repository evidence</w:t>
            </w:r>
          </w:p>
        </w:tc>
        <w:tc>
          <w:tcPr>
            <w:tcW w:type="dxa" w:w="2309"/>
            <w:tcMar>
              <w:top w:w="65" w:type="dxa"/>
              <w:start w:w="75" w:type="dxa"/>
              <w:bottom w:w="65" w:type="dxa"/>
              <w:end w:w="75" w:type="dxa"/>
            </w:tcMar>
            <w:vAlign w:val="center"/>
            <w:shd w:fill="1F4E79"/>
          </w:tcPr>
          <w:p>
            <w:pPr>
              <w:spacing w:after="0"/>
              <w:jc w:val="left"/>
            </w:pPr>
            <w:r>
              <w:rPr>
                <w:rFonts w:ascii="Times New Roman" w:hAnsi="Times New Roman"/>
                <w:b/>
                <w:color w:val="FFFFFF"/>
                <w:sz w:val="15"/>
              </w:rPr>
            </w:r>
            <w:r>
              <w:rPr>
                <w:rFonts w:ascii="Times New Roman" w:hAnsi="Times New Roman"/>
                <w:b/>
                <w:color w:val="FFFFFF"/>
                <w:sz w:val="15"/>
              </w:rPr>
              <w:t>How to reproduce or explain it</w:t>
            </w:r>
          </w:p>
        </w:tc>
      </w:tr>
      <w:tr>
        <w:trPr>
          <w:cantSplit/>
        </w:trPr>
        <w:tc>
          <w:tcPr>
            <w:tcW w:type="dxa" w:w="2309"/>
            <w:tcMar>
              <w:top w:w="65" w:type="dxa"/>
              <w:start w:w="75" w:type="dxa"/>
              <w:bottom w:w="65" w:type="dxa"/>
              <w:end w:w="75" w:type="dxa"/>
            </w:tcMar>
            <w:vAlign w:val="center"/>
          </w:tcPr>
          <w:p>
            <w:pPr>
              <w:spacing w:after="0"/>
              <w:jc w:val="left"/>
            </w:pPr>
            <w:r>
              <w:rPr>
                <w:rFonts w:ascii="Times New Roman" w:hAnsi="Times New Roman"/>
                <w:sz w:val="15"/>
              </w:rPr>
            </w:r>
            <w:r>
              <w:rPr>
                <w:rFonts w:ascii="Times New Roman" w:hAnsi="Times New Roman"/>
                <w:sz w:val="15"/>
              </w:rPr>
              <w:t>Input dictionary</w:t>
            </w:r>
          </w:p>
        </w:tc>
        <w:tc>
          <w:tcPr>
            <w:tcW w:type="dxa" w:w="2309"/>
            <w:tcMar>
              <w:top w:w="65" w:type="dxa"/>
              <w:start w:w="75" w:type="dxa"/>
              <w:bottom w:w="65" w:type="dxa"/>
              <w:end w:w="75" w:type="dxa"/>
            </w:tcMar>
            <w:vAlign w:val="center"/>
          </w:tcPr>
          <w:p>
            <w:pPr>
              <w:spacing w:after="0"/>
              <w:jc w:val="left"/>
            </w:pPr>
            <w:r>
              <w:rPr>
                <w:rFonts w:ascii="Times New Roman" w:hAnsi="Times New Roman"/>
                <w:sz w:val="15"/>
              </w:rPr>
            </w:r>
            <w:r>
              <w:rPr>
                <w:rFonts w:ascii="Times New Roman" w:hAnsi="Times New Roman"/>
                <w:sz w:val="15"/>
              </w:rPr>
              <w:t>Defined fields, units, validation and ownership</w:t>
            </w:r>
          </w:p>
        </w:tc>
        <w:tc>
          <w:tcPr>
            <w:tcW w:type="dxa" w:w="2309"/>
            <w:tcMar>
              <w:top w:w="65" w:type="dxa"/>
              <w:start w:w="75" w:type="dxa"/>
              <w:bottom w:w="65" w:type="dxa"/>
              <w:end w:w="75" w:type="dxa"/>
            </w:tcMar>
            <w:vAlign w:val="center"/>
          </w:tcPr>
          <w:p>
            <w:pPr>
              <w:spacing w:after="0"/>
              <w:jc w:val="left"/>
            </w:pPr>
            <w:r>
              <w:rPr>
                <w:rFonts w:ascii="Times New Roman" w:hAnsi="Times New Roman"/>
                <w:sz w:val="15"/>
              </w:rPr>
            </w:r>
            <w:r>
              <w:rPr>
                <w:rFonts w:ascii="Times New Roman" w:hAnsi="Times New Roman"/>
                <w:color w:val="464646"/>
                <w:sz w:val="15"/>
              </w:rPr>
              <w:t>docs/WEEK3.md</w:t>
            </w:r>
          </w:p>
        </w:tc>
        <w:tc>
          <w:tcPr>
            <w:tcW w:type="dxa" w:w="2309"/>
            <w:tcMar>
              <w:top w:w="65" w:type="dxa"/>
              <w:start w:w="75" w:type="dxa"/>
              <w:bottom w:w="65" w:type="dxa"/>
              <w:end w:w="75" w:type="dxa"/>
            </w:tcMar>
            <w:vAlign w:val="center"/>
          </w:tcPr>
          <w:p>
            <w:pPr>
              <w:spacing w:after="0"/>
              <w:jc w:val="left"/>
            </w:pPr>
            <w:r>
              <w:rPr>
                <w:rFonts w:ascii="Times New Roman" w:hAnsi="Times New Roman"/>
                <w:sz w:val="15"/>
              </w:rPr>
            </w:r>
            <w:r>
              <w:rPr>
                <w:rFonts w:ascii="Times New Roman" w:hAnsi="Times New Roman"/>
                <w:sz w:val="15"/>
              </w:rPr>
              <w:t>Trace each portfolio form field to the dictionary</w:t>
            </w:r>
          </w:p>
        </w:tc>
      </w:tr>
      <w:tr>
        <w:trPr>
          <w:cantSplit/>
        </w:trPr>
        <w:tc>
          <w:tcPr>
            <w:tcW w:type="dxa" w:w="2309"/>
            <w:tcMar>
              <w:top w:w="65" w:type="dxa"/>
              <w:start w:w="75" w:type="dxa"/>
              <w:bottom w:w="65" w:type="dxa"/>
              <w:end w:w="75" w:type="dxa"/>
            </w:tcMar>
            <w:vAlign w:val="center"/>
            <w:shd w:fill="EEF5FA"/>
          </w:tcPr>
          <w:p>
            <w:pPr>
              <w:spacing w:after="0"/>
              <w:jc w:val="left"/>
            </w:pPr>
            <w:r>
              <w:rPr>
                <w:rFonts w:ascii="Times New Roman" w:hAnsi="Times New Roman"/>
                <w:sz w:val="15"/>
              </w:rPr>
            </w:r>
            <w:r>
              <w:rPr>
                <w:rFonts w:ascii="Times New Roman" w:hAnsi="Times New Roman"/>
                <w:sz w:val="15"/>
              </w:rPr>
              <w:t>Source register</w:t>
            </w:r>
          </w:p>
        </w:tc>
        <w:tc>
          <w:tcPr>
            <w:tcW w:type="dxa" w:w="2309"/>
            <w:tcMar>
              <w:top w:w="65" w:type="dxa"/>
              <w:start w:w="75" w:type="dxa"/>
              <w:bottom w:w="65" w:type="dxa"/>
              <w:end w:w="75" w:type="dxa"/>
            </w:tcMar>
            <w:vAlign w:val="center"/>
            <w:shd w:fill="EEF5FA"/>
          </w:tcPr>
          <w:p>
            <w:pPr>
              <w:spacing w:after="0"/>
              <w:jc w:val="left"/>
            </w:pPr>
            <w:r>
              <w:rPr>
                <w:rFonts w:ascii="Times New Roman" w:hAnsi="Times New Roman"/>
                <w:sz w:val="15"/>
              </w:rPr>
            </w:r>
            <w:r>
              <w:rPr>
                <w:rFonts w:ascii="Times New Roman" w:hAnsi="Times New Roman"/>
                <w:sz w:val="15"/>
              </w:rPr>
              <w:t>Documented provider, purpose, fallback and limitation</w:t>
            </w:r>
          </w:p>
        </w:tc>
        <w:tc>
          <w:tcPr>
            <w:tcW w:type="dxa" w:w="2309"/>
            <w:tcMar>
              <w:top w:w="65" w:type="dxa"/>
              <w:start w:w="75" w:type="dxa"/>
              <w:bottom w:w="65" w:type="dxa"/>
              <w:end w:w="75" w:type="dxa"/>
            </w:tcMar>
            <w:vAlign w:val="center"/>
            <w:shd w:fill="EEF5FA"/>
          </w:tcPr>
          <w:p>
            <w:pPr>
              <w:spacing w:after="0"/>
              <w:jc w:val="left"/>
            </w:pPr>
            <w:r>
              <w:rPr>
                <w:rFonts w:ascii="Times New Roman" w:hAnsi="Times New Roman"/>
                <w:sz w:val="15"/>
              </w:rPr>
            </w:r>
            <w:r>
              <w:rPr>
                <w:rFonts w:ascii="Times New Roman" w:hAnsi="Times New Roman"/>
                <w:color w:val="464646"/>
                <w:sz w:val="15"/>
              </w:rPr>
              <w:t>docs/WEEK3.md</w:t>
            </w:r>
          </w:p>
        </w:tc>
        <w:tc>
          <w:tcPr>
            <w:tcW w:type="dxa" w:w="2309"/>
            <w:tcMar>
              <w:top w:w="65" w:type="dxa"/>
              <w:start w:w="75" w:type="dxa"/>
              <w:bottom w:w="65" w:type="dxa"/>
              <w:end w:w="75" w:type="dxa"/>
            </w:tcMar>
            <w:vAlign w:val="center"/>
            <w:shd w:fill="EEF5FA"/>
          </w:tcPr>
          <w:p>
            <w:pPr>
              <w:spacing w:after="0"/>
              <w:jc w:val="left"/>
            </w:pPr>
            <w:r>
              <w:rPr>
                <w:rFonts w:ascii="Times New Roman" w:hAnsi="Times New Roman"/>
                <w:sz w:val="15"/>
              </w:rPr>
            </w:r>
            <w:r>
              <w:rPr>
                <w:rFonts w:ascii="Times New Roman" w:hAnsi="Times New Roman"/>
                <w:sz w:val="15"/>
              </w:rPr>
              <w:t>Compare TradingView and Yahoo responsibilities</w:t>
            </w:r>
          </w:p>
        </w:tc>
      </w:tr>
      <w:tr>
        <w:trPr>
          <w:cantSplit/>
        </w:trPr>
        <w:tc>
          <w:tcPr>
            <w:tcW w:type="dxa" w:w="2309"/>
            <w:tcMar>
              <w:top w:w="65" w:type="dxa"/>
              <w:start w:w="75" w:type="dxa"/>
              <w:bottom w:w="65" w:type="dxa"/>
              <w:end w:w="75" w:type="dxa"/>
            </w:tcMar>
            <w:vAlign w:val="center"/>
          </w:tcPr>
          <w:p>
            <w:pPr>
              <w:spacing w:after="0"/>
              <w:jc w:val="left"/>
            </w:pPr>
            <w:r>
              <w:rPr>
                <w:rFonts w:ascii="Times New Roman" w:hAnsi="Times New Roman"/>
                <w:sz w:val="15"/>
              </w:rPr>
            </w:r>
            <w:r>
              <w:rPr>
                <w:rFonts w:ascii="Times New Roman" w:hAnsi="Times New Roman"/>
                <w:sz w:val="15"/>
              </w:rPr>
              <w:t>Vietnam universe</w:t>
            </w:r>
          </w:p>
        </w:tc>
        <w:tc>
          <w:tcPr>
            <w:tcW w:type="dxa" w:w="2309"/>
            <w:tcMar>
              <w:top w:w="65" w:type="dxa"/>
              <w:start w:w="75" w:type="dxa"/>
              <w:bottom w:w="65" w:type="dxa"/>
              <w:end w:w="75" w:type="dxa"/>
            </w:tcMar>
            <w:vAlign w:val="center"/>
          </w:tcPr>
          <w:p>
            <w:pPr>
              <w:spacing w:after="0"/>
              <w:jc w:val="left"/>
            </w:pPr>
            <w:r>
              <w:rPr>
                <w:rFonts w:ascii="Times New Roman" w:hAnsi="Times New Roman"/>
                <w:sz w:val="15"/>
              </w:rPr>
            </w:r>
            <w:r>
              <w:rPr>
                <w:rFonts w:ascii="Times New Roman" w:hAnsi="Times New Roman"/>
                <w:sz w:val="15"/>
              </w:rPr>
              <w:t>Defined supported symbols and benchmark coverage</w:t>
            </w:r>
          </w:p>
        </w:tc>
        <w:tc>
          <w:tcPr>
            <w:tcW w:type="dxa" w:w="2309"/>
            <w:tcMar>
              <w:top w:w="65" w:type="dxa"/>
              <w:start w:w="75" w:type="dxa"/>
              <w:bottom w:w="65" w:type="dxa"/>
              <w:end w:w="75" w:type="dxa"/>
            </w:tcMar>
            <w:vAlign w:val="center"/>
          </w:tcPr>
          <w:p>
            <w:pPr>
              <w:spacing w:after="0"/>
              <w:jc w:val="left"/>
            </w:pPr>
            <w:r>
              <w:rPr>
                <w:rFonts w:ascii="Times New Roman" w:hAnsi="Times New Roman"/>
                <w:sz w:val="15"/>
              </w:rPr>
            </w:r>
            <w:r>
              <w:rPr>
                <w:rFonts w:ascii="Times New Roman" w:hAnsi="Times New Roman"/>
                <w:color w:val="464646"/>
                <w:sz w:val="15"/>
              </w:rPr>
              <w:t>demo/vn_universe.json</w:t>
            </w:r>
            <w:r>
              <w:rPr>
                <w:rFonts w:ascii="Times New Roman" w:hAnsi="Times New Roman"/>
                <w:sz w:val="15"/>
              </w:rPr>
              <w:t xml:space="preserve">, </w:t>
            </w:r>
            <w:r>
              <w:rPr>
                <w:rFonts w:ascii="Times New Roman" w:hAnsi="Times New Roman"/>
                <w:color w:val="464646"/>
                <w:sz w:val="15"/>
              </w:rPr>
              <w:t>demo/vn_data.py</w:t>
            </w:r>
          </w:p>
        </w:tc>
        <w:tc>
          <w:tcPr>
            <w:tcW w:type="dxa" w:w="2309"/>
            <w:tcMar>
              <w:top w:w="65" w:type="dxa"/>
              <w:start w:w="75" w:type="dxa"/>
              <w:bottom w:w="65" w:type="dxa"/>
              <w:end w:w="75" w:type="dxa"/>
            </w:tcMar>
            <w:vAlign w:val="center"/>
          </w:tcPr>
          <w:p>
            <w:pPr>
              <w:spacing w:after="0"/>
              <w:jc w:val="left"/>
            </w:pPr>
            <w:r>
              <w:rPr>
                <w:rFonts w:ascii="Times New Roman" w:hAnsi="Times New Roman"/>
                <w:sz w:val="15"/>
              </w:rPr>
            </w:r>
            <w:r>
              <w:rPr>
                <w:rFonts w:ascii="Times New Roman" w:hAnsi="Times New Roman"/>
                <w:sz w:val="15"/>
              </w:rPr>
              <w:t xml:space="preserve">Run </w:t>
            </w:r>
            <w:r>
              <w:rPr>
                <w:rFonts w:ascii="Times New Roman" w:hAnsi="Times New Roman"/>
                <w:color w:val="464646"/>
                <w:sz w:val="15"/>
              </w:rPr>
              <w:t>python3 -m unittest demo/test_vn_data.py</w:t>
            </w:r>
          </w:p>
        </w:tc>
      </w:tr>
      <w:tr>
        <w:trPr>
          <w:cantSplit/>
        </w:trPr>
        <w:tc>
          <w:tcPr>
            <w:tcW w:type="dxa" w:w="2309"/>
            <w:tcMar>
              <w:top w:w="65" w:type="dxa"/>
              <w:start w:w="75" w:type="dxa"/>
              <w:bottom w:w="65" w:type="dxa"/>
              <w:end w:w="75" w:type="dxa"/>
            </w:tcMar>
            <w:vAlign w:val="center"/>
            <w:shd w:fill="EEF5FA"/>
          </w:tcPr>
          <w:p>
            <w:pPr>
              <w:spacing w:after="0"/>
              <w:jc w:val="left"/>
            </w:pPr>
            <w:r>
              <w:rPr>
                <w:rFonts w:ascii="Times New Roman" w:hAnsi="Times New Roman"/>
                <w:sz w:val="15"/>
              </w:rPr>
            </w:r>
            <w:r>
              <w:rPr>
                <w:rFonts w:ascii="Times New Roman" w:hAnsi="Times New Roman"/>
                <w:sz w:val="15"/>
              </w:rPr>
              <w:t>International catalog</w:t>
            </w:r>
          </w:p>
        </w:tc>
        <w:tc>
          <w:tcPr>
            <w:tcW w:type="dxa" w:w="2309"/>
            <w:tcMar>
              <w:top w:w="65" w:type="dxa"/>
              <w:start w:w="75" w:type="dxa"/>
              <w:bottom w:w="65" w:type="dxa"/>
              <w:end w:w="75" w:type="dxa"/>
            </w:tcMar>
            <w:vAlign w:val="center"/>
            <w:shd w:fill="EEF5FA"/>
          </w:tcPr>
          <w:p>
            <w:pPr>
              <w:spacing w:after="0"/>
              <w:jc w:val="left"/>
            </w:pPr>
            <w:r>
              <w:rPr>
                <w:rFonts w:ascii="Times New Roman" w:hAnsi="Times New Roman"/>
                <w:sz w:val="15"/>
              </w:rPr>
            </w:r>
            <w:r>
              <w:rPr>
                <w:rFonts w:ascii="Times New Roman" w:hAnsi="Times New Roman"/>
                <w:sz w:val="15"/>
              </w:rPr>
              <w:t>Classified global equities, ETFs, commodity proxies and crypto</w:t>
            </w:r>
          </w:p>
        </w:tc>
        <w:tc>
          <w:tcPr>
            <w:tcW w:type="dxa" w:w="2309"/>
            <w:tcMar>
              <w:top w:w="65" w:type="dxa"/>
              <w:start w:w="75" w:type="dxa"/>
              <w:bottom w:w="65" w:type="dxa"/>
              <w:end w:w="75" w:type="dxa"/>
            </w:tcMar>
            <w:vAlign w:val="center"/>
            <w:shd w:fill="EEF5FA"/>
          </w:tcPr>
          <w:p>
            <w:pPr>
              <w:spacing w:after="0"/>
              <w:jc w:val="left"/>
            </w:pPr>
            <w:r>
              <w:rPr>
                <w:rFonts w:ascii="Times New Roman" w:hAnsi="Times New Roman"/>
                <w:sz w:val="15"/>
              </w:rPr>
            </w:r>
            <w:r>
              <w:rPr>
                <w:rFonts w:ascii="Times New Roman" w:hAnsi="Times New Roman"/>
                <w:color w:val="464646"/>
                <w:sz w:val="15"/>
              </w:rPr>
              <w:t>demo/instrument_catalog.json</w:t>
            </w:r>
            <w:r>
              <w:rPr>
                <w:rFonts w:ascii="Times New Roman" w:hAnsi="Times New Roman"/>
                <w:sz w:val="15"/>
              </w:rPr>
              <w:t xml:space="preserve">, </w:t>
            </w:r>
            <w:r>
              <w:rPr>
                <w:rFonts w:ascii="Times New Roman" w:hAnsi="Times New Roman"/>
                <w:color w:val="464646"/>
                <w:sz w:val="15"/>
              </w:rPr>
              <w:t>demo/global_data.py</w:t>
            </w:r>
          </w:p>
        </w:tc>
        <w:tc>
          <w:tcPr>
            <w:tcW w:type="dxa" w:w="2309"/>
            <w:tcMar>
              <w:top w:w="65" w:type="dxa"/>
              <w:start w:w="75" w:type="dxa"/>
              <w:bottom w:w="65" w:type="dxa"/>
              <w:end w:w="75" w:type="dxa"/>
            </w:tcMar>
            <w:vAlign w:val="center"/>
            <w:shd w:fill="EEF5FA"/>
          </w:tcPr>
          <w:p>
            <w:pPr>
              <w:spacing w:after="0"/>
              <w:jc w:val="left"/>
            </w:pPr>
            <w:r>
              <w:rPr>
                <w:rFonts w:ascii="Times New Roman" w:hAnsi="Times New Roman"/>
                <w:sz w:val="15"/>
              </w:rPr>
            </w:r>
            <w:r>
              <w:rPr>
                <w:rFonts w:ascii="Times New Roman" w:hAnsi="Times New Roman"/>
                <w:sz w:val="15"/>
              </w:rPr>
              <w:t>Inspect metadata and run global-data tests</w:t>
            </w:r>
          </w:p>
        </w:tc>
      </w:tr>
      <w:tr>
        <w:trPr>
          <w:cantSplit/>
        </w:trPr>
        <w:tc>
          <w:tcPr>
            <w:tcW w:type="dxa" w:w="2309"/>
            <w:tcMar>
              <w:top w:w="65" w:type="dxa"/>
              <w:start w:w="75" w:type="dxa"/>
              <w:bottom w:w="65" w:type="dxa"/>
              <w:end w:w="75" w:type="dxa"/>
            </w:tcMar>
            <w:vAlign w:val="center"/>
          </w:tcPr>
          <w:p>
            <w:pPr>
              <w:spacing w:after="0"/>
              <w:jc w:val="left"/>
            </w:pPr>
            <w:r>
              <w:rPr>
                <w:rFonts w:ascii="Times New Roman" w:hAnsi="Times New Roman"/>
                <w:sz w:val="15"/>
              </w:rPr>
            </w:r>
            <w:r>
              <w:rPr>
                <w:rFonts w:ascii="Times New Roman" w:hAnsi="Times New Roman"/>
                <w:sz w:val="15"/>
              </w:rPr>
              <w:t>Classification</w:t>
            </w:r>
          </w:p>
        </w:tc>
        <w:tc>
          <w:tcPr>
            <w:tcW w:type="dxa" w:w="2309"/>
            <w:tcMar>
              <w:top w:w="65" w:type="dxa"/>
              <w:start w:w="75" w:type="dxa"/>
              <w:bottom w:w="65" w:type="dxa"/>
              <w:end w:w="75" w:type="dxa"/>
            </w:tcMar>
            <w:vAlign w:val="center"/>
          </w:tcPr>
          <w:p>
            <w:pPr>
              <w:spacing w:after="0"/>
              <w:jc w:val="left"/>
            </w:pPr>
            <w:r>
              <w:rPr>
                <w:rFonts w:ascii="Times New Roman" w:hAnsi="Times New Roman"/>
                <w:sz w:val="15"/>
              </w:rPr>
            </w:r>
            <w:r>
              <w:rPr>
                <w:rFonts w:ascii="Times New Roman" w:hAnsi="Times New Roman"/>
                <w:sz w:val="15"/>
              </w:rPr>
              <w:t>Defined sector/industry behavior and non-corporate labels</w:t>
            </w:r>
          </w:p>
        </w:tc>
        <w:tc>
          <w:tcPr>
            <w:tcW w:type="dxa" w:w="2309"/>
            <w:tcMar>
              <w:top w:w="65" w:type="dxa"/>
              <w:start w:w="75" w:type="dxa"/>
              <w:bottom w:w="65" w:type="dxa"/>
              <w:end w:w="75" w:type="dxa"/>
            </w:tcMar>
            <w:vAlign w:val="center"/>
          </w:tcPr>
          <w:p>
            <w:pPr>
              <w:spacing w:after="0"/>
              <w:jc w:val="left"/>
            </w:pPr>
            <w:r>
              <w:rPr>
                <w:rFonts w:ascii="Times New Roman" w:hAnsi="Times New Roman"/>
                <w:sz w:val="15"/>
              </w:rPr>
            </w:r>
            <w:r>
              <w:rPr>
                <w:rFonts w:ascii="Times New Roman" w:hAnsi="Times New Roman"/>
                <w:color w:val="464646"/>
                <w:sz w:val="15"/>
              </w:rPr>
              <w:t>demo/classification.py</w:t>
            </w:r>
          </w:p>
        </w:tc>
        <w:tc>
          <w:tcPr>
            <w:tcW w:type="dxa" w:w="2309"/>
            <w:tcMar>
              <w:top w:w="65" w:type="dxa"/>
              <w:start w:w="75" w:type="dxa"/>
              <w:bottom w:w="65" w:type="dxa"/>
              <w:end w:w="75" w:type="dxa"/>
            </w:tcMar>
            <w:vAlign w:val="center"/>
          </w:tcPr>
          <w:p>
            <w:pPr>
              <w:spacing w:after="0"/>
              <w:jc w:val="left"/>
            </w:pPr>
            <w:r>
              <w:rPr>
                <w:rFonts w:ascii="Times New Roman" w:hAnsi="Times New Roman"/>
                <w:sz w:val="15"/>
              </w:rPr>
            </w:r>
            <w:r>
              <w:rPr>
                <w:rFonts w:ascii="Times New Roman" w:hAnsi="Times New Roman"/>
                <w:sz w:val="15"/>
              </w:rPr>
              <w:t xml:space="preserve">Run </w:t>
            </w:r>
            <w:r>
              <w:rPr>
                <w:rFonts w:ascii="Times New Roman" w:hAnsi="Times New Roman"/>
                <w:color w:val="464646"/>
                <w:sz w:val="15"/>
              </w:rPr>
              <w:t>python3 -m unittest demo/test_classification.py</w:t>
            </w:r>
          </w:p>
        </w:tc>
      </w:tr>
      <w:tr>
        <w:trPr>
          <w:cantSplit/>
        </w:trPr>
        <w:tc>
          <w:tcPr>
            <w:tcW w:type="dxa" w:w="2309"/>
            <w:tcMar>
              <w:top w:w="65" w:type="dxa"/>
              <w:start w:w="75" w:type="dxa"/>
              <w:bottom w:w="65" w:type="dxa"/>
              <w:end w:w="75" w:type="dxa"/>
            </w:tcMar>
            <w:vAlign w:val="center"/>
            <w:shd w:fill="EEF5FA"/>
          </w:tcPr>
          <w:p>
            <w:pPr>
              <w:spacing w:after="0"/>
              <w:jc w:val="left"/>
            </w:pPr>
            <w:r>
              <w:rPr>
                <w:rFonts w:ascii="Times New Roman" w:hAnsi="Times New Roman"/>
                <w:sz w:val="15"/>
              </w:rPr>
            </w:r>
            <w:r>
              <w:rPr>
                <w:rFonts w:ascii="Times New Roman" w:hAnsi="Times New Roman"/>
                <w:sz w:val="15"/>
              </w:rPr>
              <w:t>Benchmark and compatibility</w:t>
            </w:r>
          </w:p>
        </w:tc>
        <w:tc>
          <w:tcPr>
            <w:tcW w:type="dxa" w:w="2309"/>
            <w:tcMar>
              <w:top w:w="65" w:type="dxa"/>
              <w:start w:w="75" w:type="dxa"/>
              <w:bottom w:w="65" w:type="dxa"/>
              <w:end w:w="75" w:type="dxa"/>
            </w:tcMar>
            <w:vAlign w:val="center"/>
            <w:shd w:fill="EEF5FA"/>
          </w:tcPr>
          <w:p>
            <w:pPr>
              <w:spacing w:after="0"/>
              <w:jc w:val="left"/>
            </w:pPr>
            <w:r>
              <w:rPr>
                <w:rFonts w:ascii="Times New Roman" w:hAnsi="Times New Roman"/>
                <w:sz w:val="15"/>
              </w:rPr>
            </w:r>
            <w:r>
              <w:rPr>
                <w:rFonts w:ascii="Times New Roman" w:hAnsi="Times New Roman"/>
                <w:sz w:val="15"/>
              </w:rPr>
              <w:t>Specified fallback, FX mapping and common-date rules</w:t>
            </w:r>
          </w:p>
        </w:tc>
        <w:tc>
          <w:tcPr>
            <w:tcW w:type="dxa" w:w="2309"/>
            <w:tcMar>
              <w:top w:w="65" w:type="dxa"/>
              <w:start w:w="75" w:type="dxa"/>
              <w:bottom w:w="65" w:type="dxa"/>
              <w:end w:w="75" w:type="dxa"/>
            </w:tcMar>
            <w:vAlign w:val="center"/>
            <w:shd w:fill="EEF5FA"/>
          </w:tcPr>
          <w:p>
            <w:pPr>
              <w:spacing w:after="0"/>
              <w:jc w:val="left"/>
            </w:pPr>
            <w:r>
              <w:rPr>
                <w:rFonts w:ascii="Times New Roman" w:hAnsi="Times New Roman"/>
                <w:sz w:val="15"/>
              </w:rPr>
            </w:r>
            <w:r>
              <w:rPr>
                <w:rFonts w:ascii="Times New Roman" w:hAnsi="Times New Roman"/>
                <w:color w:val="464646"/>
                <w:sz w:val="15"/>
              </w:rPr>
              <w:t>docs/WEEK3.md</w:t>
            </w:r>
            <w:r>
              <w:rPr>
                <w:rFonts w:ascii="Times New Roman" w:hAnsi="Times New Roman"/>
                <w:sz w:val="15"/>
              </w:rPr>
              <w:t xml:space="preserve">, </w:t>
            </w:r>
            <w:r>
              <w:rPr>
                <w:rFonts w:ascii="Times New Roman" w:hAnsi="Times New Roman"/>
                <w:color w:val="464646"/>
                <w:sz w:val="15"/>
              </w:rPr>
              <w:t>demo/server.py</w:t>
            </w:r>
          </w:p>
        </w:tc>
        <w:tc>
          <w:tcPr>
            <w:tcW w:type="dxa" w:w="2309"/>
            <w:tcMar>
              <w:top w:w="65" w:type="dxa"/>
              <w:start w:w="75" w:type="dxa"/>
              <w:bottom w:w="65" w:type="dxa"/>
              <w:end w:w="75" w:type="dxa"/>
            </w:tcMar>
            <w:vAlign w:val="center"/>
            <w:shd w:fill="EEF5FA"/>
          </w:tcPr>
          <w:p>
            <w:pPr>
              <w:spacing w:after="0"/>
              <w:jc w:val="left"/>
            </w:pPr>
            <w:r>
              <w:rPr>
                <w:rFonts w:ascii="Times New Roman" w:hAnsi="Times New Roman"/>
                <w:sz w:val="15"/>
              </w:rPr>
            </w:r>
            <w:r>
              <w:rPr>
                <w:rFonts w:ascii="Times New Roman" w:hAnsi="Times New Roman"/>
                <w:sz w:val="15"/>
              </w:rPr>
              <w:t>Compare effective dates before relative metrics</w:t>
            </w:r>
          </w:p>
        </w:tc>
      </w:tr>
      <w:tr>
        <w:trPr>
          <w:cantSplit/>
        </w:trPr>
        <w:tc>
          <w:tcPr>
            <w:tcW w:type="dxa" w:w="2309"/>
            <w:tcMar>
              <w:top w:w="65" w:type="dxa"/>
              <w:start w:w="75" w:type="dxa"/>
              <w:bottom w:w="65" w:type="dxa"/>
              <w:end w:w="75" w:type="dxa"/>
            </w:tcMar>
            <w:vAlign w:val="center"/>
          </w:tcPr>
          <w:p>
            <w:pPr>
              <w:spacing w:after="0"/>
              <w:jc w:val="left"/>
            </w:pPr>
            <w:r>
              <w:rPr>
                <w:rFonts w:ascii="Times New Roman" w:hAnsi="Times New Roman"/>
                <w:sz w:val="15"/>
              </w:rPr>
            </w:r>
            <w:r>
              <w:rPr>
                <w:rFonts w:ascii="Times New Roman" w:hAnsi="Times New Roman"/>
                <w:sz w:val="15"/>
              </w:rPr>
              <w:t>Freshness</w:t>
            </w:r>
          </w:p>
        </w:tc>
        <w:tc>
          <w:tcPr>
            <w:tcW w:type="dxa" w:w="2309"/>
            <w:tcMar>
              <w:top w:w="65" w:type="dxa"/>
              <w:start w:w="75" w:type="dxa"/>
              <w:bottom w:w="65" w:type="dxa"/>
              <w:end w:w="75" w:type="dxa"/>
            </w:tcMar>
            <w:vAlign w:val="center"/>
          </w:tcPr>
          <w:p>
            <w:pPr>
              <w:spacing w:after="0"/>
              <w:jc w:val="left"/>
            </w:pPr>
            <w:r>
              <w:rPr>
                <w:rFonts w:ascii="Times New Roman" w:hAnsi="Times New Roman"/>
                <w:sz w:val="15"/>
              </w:rPr>
            </w:r>
            <w:r>
              <w:rPr>
                <w:rFonts w:ascii="Times New Roman" w:hAnsi="Times New Roman"/>
                <w:sz w:val="15"/>
              </w:rPr>
              <w:t>Distinguished session date from refresh timestamp</w:t>
            </w:r>
          </w:p>
        </w:tc>
        <w:tc>
          <w:tcPr>
            <w:tcW w:type="dxa" w:w="2309"/>
            <w:tcMar>
              <w:top w:w="65" w:type="dxa"/>
              <w:start w:w="75" w:type="dxa"/>
              <w:bottom w:w="65" w:type="dxa"/>
              <w:end w:w="75" w:type="dxa"/>
            </w:tcMar>
            <w:vAlign w:val="center"/>
          </w:tcPr>
          <w:p>
            <w:pPr>
              <w:spacing w:after="0"/>
              <w:jc w:val="left"/>
            </w:pPr>
            <w:r>
              <w:rPr>
                <w:rFonts w:ascii="Times New Roman" w:hAnsi="Times New Roman"/>
                <w:sz w:val="15"/>
              </w:rPr>
            </w:r>
            <w:r>
              <w:rPr>
                <w:rFonts w:ascii="Times New Roman" w:hAnsi="Times New Roman"/>
                <w:color w:val="464646"/>
                <w:sz w:val="15"/>
              </w:rPr>
              <w:t>demo/data_status.py</w:t>
            </w:r>
            <w:r>
              <w:rPr>
                <w:rFonts w:ascii="Times New Roman" w:hAnsi="Times New Roman"/>
                <w:sz w:val="15"/>
              </w:rPr>
              <w:t xml:space="preserve">, </w:t>
            </w:r>
            <w:r>
              <w:rPr>
                <w:rFonts w:ascii="Times New Roman" w:hAnsi="Times New Roman"/>
                <w:color w:val="464646"/>
                <w:sz w:val="15"/>
              </w:rPr>
              <w:t>demo/freshness.mjs</w:t>
            </w:r>
          </w:p>
        </w:tc>
        <w:tc>
          <w:tcPr>
            <w:tcW w:type="dxa" w:w="2309"/>
            <w:tcMar>
              <w:top w:w="65" w:type="dxa"/>
              <w:start w:w="75" w:type="dxa"/>
              <w:bottom w:w="65" w:type="dxa"/>
              <w:end w:w="75" w:type="dxa"/>
            </w:tcMar>
            <w:vAlign w:val="center"/>
          </w:tcPr>
          <w:p>
            <w:pPr>
              <w:spacing w:after="0"/>
              <w:jc w:val="left"/>
            </w:pPr>
            <w:r>
              <w:rPr>
                <w:rFonts w:ascii="Times New Roman" w:hAnsi="Times New Roman"/>
                <w:sz w:val="15"/>
              </w:rPr>
            </w:r>
            <w:r>
              <w:rPr>
                <w:rFonts w:ascii="Times New Roman" w:hAnsi="Times New Roman"/>
                <w:sz w:val="15"/>
              </w:rPr>
              <w:t xml:space="preserve">Run </w:t>
            </w:r>
            <w:r>
              <w:rPr>
                <w:rFonts w:ascii="Times New Roman" w:hAnsi="Times New Roman"/>
                <w:color w:val="464646"/>
                <w:sz w:val="15"/>
              </w:rPr>
              <w:t>node --test demo/freshness.test.mjs</w:t>
            </w:r>
          </w:p>
        </w:tc>
      </w:tr>
    </w:tbl>
    <w:p>
      <w:pPr>
        <w:spacing w:after="20"/>
      </w:pPr>
    </w:p>
    <w:p>
      <w:pPr>
        <w:pStyle w:val="Heading1"/>
      </w:pPr>
      <w:r>
        <w:t>V. Weekly evidence trail</w:t>
      </w:r>
    </w:p>
    <w:tbl>
      <w:tblPr>
        <w:tblW w:type="auto" w:w="0"/>
        <w:tblLayout w:type="autofit"/>
        <w:tblLook w:firstColumn="1" w:firstRow="1" w:lastColumn="0" w:lastRow="0" w:noHBand="0" w:noVBand="1" w:val="04A0"/>
        <w:jc w:val="center"/>
        <w:tblBorders>
          <w:top w:val="single" w:sz="4" w:space="0" w:color="B8C7D1"/>
          <w:left w:val="single" w:sz="4" w:space="0" w:color="B8C7D1"/>
          <w:bottom w:val="single" w:sz="4" w:space="0" w:color="B8C7D1"/>
          <w:right w:val="single" w:sz="4" w:space="0" w:color="B8C7D1"/>
          <w:insideH w:val="single" w:sz="4" w:space="0" w:color="B8C7D1"/>
          <w:insideV w:val="single" w:sz="4" w:space="0" w:color="B8C7D1"/>
        </w:tblBorders>
      </w:tblPr>
      <w:tblGrid>
        <w:gridCol w:w="3079"/>
        <w:gridCol w:w="3079"/>
        <w:gridCol w:w="3079"/>
      </w:tblGrid>
      <w:tr>
        <w:trPr>
          <w:tblHeader w:val="true"/>
          <w:cantSplit/>
        </w:trPr>
        <w:tc>
          <w:tcPr>
            <w:tcW w:type="dxa" w:w="3079"/>
            <w:tcMar>
              <w:top w:w="65" w:type="dxa"/>
              <w:start w:w="75" w:type="dxa"/>
              <w:bottom w:w="65" w:type="dxa"/>
              <w:end w:w="75" w:type="dxa"/>
            </w:tcMar>
            <w:vAlign w:val="center"/>
            <w:shd w:fill="1F4E79"/>
          </w:tcPr>
          <w:p>
            <w:pPr>
              <w:spacing w:after="0"/>
              <w:jc w:val="left"/>
            </w:pPr>
            <w:r>
              <w:rPr>
                <w:rFonts w:ascii="Times New Roman" w:hAnsi="Times New Roman"/>
                <w:b/>
                <w:color w:val="FFFFFF"/>
                <w:sz w:val="17"/>
              </w:rPr>
            </w:r>
            <w:r>
              <w:rPr>
                <w:rFonts w:ascii="Times New Roman" w:hAnsi="Times New Roman"/>
                <w:b/>
                <w:color w:val="FFFFFF"/>
                <w:sz w:val="17"/>
              </w:rPr>
              <w:t>Week</w:t>
            </w:r>
          </w:p>
        </w:tc>
        <w:tc>
          <w:tcPr>
            <w:tcW w:type="dxa" w:w="3079"/>
            <w:tcMar>
              <w:top w:w="65" w:type="dxa"/>
              <w:start w:w="75" w:type="dxa"/>
              <w:bottom w:w="65" w:type="dxa"/>
              <w:end w:w="75" w:type="dxa"/>
            </w:tcMar>
            <w:vAlign w:val="center"/>
            <w:shd w:fill="1F4E79"/>
          </w:tcPr>
          <w:p>
            <w:pPr>
              <w:spacing w:after="0"/>
              <w:jc w:val="left"/>
            </w:pPr>
            <w:r>
              <w:rPr>
                <w:rFonts w:ascii="Times New Roman" w:hAnsi="Times New Roman"/>
                <w:b/>
                <w:color w:val="FFFFFF"/>
                <w:sz w:val="17"/>
              </w:rPr>
            </w:r>
            <w:r>
              <w:rPr>
                <w:rFonts w:ascii="Times New Roman" w:hAnsi="Times New Roman"/>
                <w:b/>
                <w:color w:val="FFFFFF"/>
                <w:sz w:val="17"/>
              </w:rPr>
              <w:t>Verified output</w:t>
            </w:r>
          </w:p>
        </w:tc>
        <w:tc>
          <w:tcPr>
            <w:tcW w:type="dxa" w:w="3079"/>
            <w:tcMar>
              <w:top w:w="65" w:type="dxa"/>
              <w:start w:w="75" w:type="dxa"/>
              <w:bottom w:w="65" w:type="dxa"/>
              <w:end w:w="75" w:type="dxa"/>
            </w:tcMar>
            <w:vAlign w:val="center"/>
            <w:shd w:fill="1F4E79"/>
          </w:tcPr>
          <w:p>
            <w:pPr>
              <w:spacing w:after="0"/>
              <w:jc w:val="left"/>
            </w:pPr>
            <w:r>
              <w:rPr>
                <w:rFonts w:ascii="Times New Roman" w:hAnsi="Times New Roman"/>
                <w:b/>
                <w:color w:val="FFFFFF"/>
                <w:sz w:val="17"/>
              </w:rPr>
            </w:r>
            <w:r>
              <w:rPr>
                <w:rFonts w:ascii="Times New Roman" w:hAnsi="Times New Roman"/>
                <w:b/>
                <w:color w:val="FFFFFF"/>
                <w:sz w:val="17"/>
              </w:rPr>
              <w:t>Personal significance</w:t>
            </w:r>
          </w:p>
        </w:tc>
      </w:tr>
      <w:tr>
        <w:trPr>
          <w:cantSplit/>
        </w:trPr>
        <w:tc>
          <w:tcPr>
            <w:tcW w:type="dxa" w:w="3079"/>
            <w:tcMar>
              <w:top w:w="65" w:type="dxa"/>
              <w:start w:w="75" w:type="dxa"/>
              <w:bottom w:w="65" w:type="dxa"/>
              <w:end w:w="75" w:type="dxa"/>
            </w:tcMar>
            <w:vAlign w:val="center"/>
          </w:tcPr>
          <w:p>
            <w:pPr>
              <w:spacing w:after="0"/>
              <w:jc w:val="left"/>
            </w:pPr>
            <w:r>
              <w:rPr>
                <w:rFonts w:ascii="Times New Roman" w:hAnsi="Times New Roman"/>
                <w:sz w:val="17"/>
              </w:rPr>
            </w:r>
            <w:r>
              <w:rPr>
                <w:rFonts w:ascii="Times New Roman" w:hAnsi="Times New Roman"/>
                <w:sz w:val="17"/>
              </w:rPr>
              <w:t>W1</w:t>
            </w:r>
          </w:p>
        </w:tc>
        <w:tc>
          <w:tcPr>
            <w:tcW w:type="dxa" w:w="3079"/>
            <w:tcMar>
              <w:top w:w="65" w:type="dxa"/>
              <w:start w:w="75" w:type="dxa"/>
              <w:bottom w:w="65" w:type="dxa"/>
              <w:end w:w="75" w:type="dxa"/>
            </w:tcMar>
            <w:vAlign w:val="center"/>
          </w:tcPr>
          <w:p>
            <w:pPr>
              <w:spacing w:after="0"/>
              <w:jc w:val="left"/>
            </w:pPr>
            <w:r>
              <w:rPr>
                <w:rFonts w:ascii="Times New Roman" w:hAnsi="Times New Roman"/>
                <w:sz w:val="17"/>
              </w:rPr>
            </w:r>
            <w:r>
              <w:rPr>
                <w:rFonts w:ascii="Times New Roman" w:hAnsi="Times New Roman"/>
                <w:sz w:val="17"/>
              </w:rPr>
              <w:t>Initial multi-asset data questions</w:t>
            </w:r>
          </w:p>
        </w:tc>
        <w:tc>
          <w:tcPr>
            <w:tcW w:type="dxa" w:w="3079"/>
            <w:tcMar>
              <w:top w:w="65" w:type="dxa"/>
              <w:start w:w="75" w:type="dxa"/>
              <w:bottom w:w="65" w:type="dxa"/>
              <w:end w:w="75" w:type="dxa"/>
            </w:tcMar>
            <w:vAlign w:val="center"/>
          </w:tcPr>
          <w:p>
            <w:pPr>
              <w:spacing w:after="0"/>
              <w:jc w:val="left"/>
            </w:pPr>
            <w:r>
              <w:rPr>
                <w:rFonts w:ascii="Times New Roman" w:hAnsi="Times New Roman"/>
                <w:sz w:val="17"/>
              </w:rPr>
            </w:r>
            <w:r>
              <w:rPr>
                <w:rFonts w:ascii="Times New Roman" w:hAnsi="Times New Roman"/>
                <w:sz w:val="17"/>
              </w:rPr>
              <w:t>Identified provider and currency risk early</w:t>
            </w:r>
          </w:p>
        </w:tc>
      </w:tr>
      <w:tr>
        <w:trPr>
          <w:cantSplit/>
        </w:trPr>
        <w:tc>
          <w:tcPr>
            <w:tcW w:type="dxa" w:w="3079"/>
            <w:tcMar>
              <w:top w:w="65" w:type="dxa"/>
              <w:start w:w="75" w:type="dxa"/>
              <w:bottom w:w="65" w:type="dxa"/>
              <w:end w:w="75" w:type="dxa"/>
            </w:tcMar>
            <w:vAlign w:val="center"/>
            <w:shd w:fill="EEF5FA"/>
          </w:tcPr>
          <w:p>
            <w:pPr>
              <w:spacing w:after="0"/>
              <w:jc w:val="left"/>
            </w:pPr>
            <w:r>
              <w:rPr>
                <w:rFonts w:ascii="Times New Roman" w:hAnsi="Times New Roman"/>
                <w:sz w:val="17"/>
              </w:rPr>
            </w:r>
            <w:r>
              <w:rPr>
                <w:rFonts w:ascii="Times New Roman" w:hAnsi="Times New Roman"/>
                <w:sz w:val="17"/>
              </w:rPr>
              <w:t>W2</w:t>
            </w:r>
          </w:p>
        </w:tc>
        <w:tc>
          <w:tcPr>
            <w:tcW w:type="dxa" w:w="3079"/>
            <w:tcMar>
              <w:top w:w="65" w:type="dxa"/>
              <w:start w:w="75" w:type="dxa"/>
              <w:bottom w:w="65" w:type="dxa"/>
              <w:end w:w="75" w:type="dxa"/>
            </w:tcMar>
            <w:vAlign w:val="center"/>
            <w:shd w:fill="EEF5FA"/>
          </w:tcPr>
          <w:p>
            <w:pPr>
              <w:spacing w:after="0"/>
              <w:jc w:val="left"/>
            </w:pPr>
            <w:r>
              <w:rPr>
                <w:rFonts w:ascii="Times New Roman" w:hAnsi="Times New Roman"/>
                <w:sz w:val="17"/>
              </w:rPr>
            </w:r>
            <w:r>
              <w:rPr>
                <w:rFonts w:ascii="Times New Roman" w:hAnsi="Times New Roman"/>
                <w:sz w:val="17"/>
              </w:rPr>
              <w:t>Data requirements for holdings and benchmark</w:t>
            </w:r>
          </w:p>
        </w:tc>
        <w:tc>
          <w:tcPr>
            <w:tcW w:type="dxa" w:w="3079"/>
            <w:tcMar>
              <w:top w:w="65" w:type="dxa"/>
              <w:start w:w="75" w:type="dxa"/>
              <w:bottom w:w="65" w:type="dxa"/>
              <w:end w:w="75" w:type="dxa"/>
            </w:tcMar>
            <w:vAlign w:val="center"/>
            <w:shd w:fill="EEF5FA"/>
          </w:tcPr>
          <w:p>
            <w:pPr>
              <w:spacing w:after="0"/>
              <w:jc w:val="left"/>
            </w:pPr>
            <w:r>
              <w:rPr>
                <w:rFonts w:ascii="Times New Roman" w:hAnsi="Times New Roman"/>
                <w:sz w:val="17"/>
              </w:rPr>
            </w:r>
            <w:r>
              <w:rPr>
                <w:rFonts w:ascii="Times New Roman" w:hAnsi="Times New Roman"/>
                <w:sz w:val="17"/>
              </w:rPr>
              <w:t>Ensured proposed features had available inputs</w:t>
            </w:r>
          </w:p>
        </w:tc>
      </w:tr>
      <w:tr>
        <w:trPr>
          <w:cantSplit/>
        </w:trPr>
        <w:tc>
          <w:tcPr>
            <w:tcW w:type="dxa" w:w="3079"/>
            <w:tcMar>
              <w:top w:w="65" w:type="dxa"/>
              <w:start w:w="75" w:type="dxa"/>
              <w:bottom w:w="65" w:type="dxa"/>
              <w:end w:w="75" w:type="dxa"/>
            </w:tcMar>
            <w:vAlign w:val="center"/>
          </w:tcPr>
          <w:p>
            <w:pPr>
              <w:spacing w:after="0"/>
              <w:jc w:val="left"/>
            </w:pPr>
            <w:r>
              <w:rPr>
                <w:rFonts w:ascii="Times New Roman" w:hAnsi="Times New Roman"/>
                <w:sz w:val="17"/>
              </w:rPr>
            </w:r>
            <w:r>
              <w:rPr>
                <w:rFonts w:ascii="Times New Roman" w:hAnsi="Times New Roman"/>
                <w:sz w:val="17"/>
              </w:rPr>
              <w:t>W3</w:t>
            </w:r>
          </w:p>
        </w:tc>
        <w:tc>
          <w:tcPr>
            <w:tcW w:type="dxa" w:w="3079"/>
            <w:tcMar>
              <w:top w:w="65" w:type="dxa"/>
              <w:start w:w="75" w:type="dxa"/>
              <w:bottom w:w="65" w:type="dxa"/>
              <w:end w:w="75" w:type="dxa"/>
            </w:tcMar>
            <w:vAlign w:val="center"/>
          </w:tcPr>
          <w:p>
            <w:pPr>
              <w:spacing w:after="0"/>
              <w:jc w:val="left"/>
            </w:pPr>
            <w:r>
              <w:rPr>
                <w:rFonts w:ascii="Times New Roman" w:hAnsi="Times New Roman"/>
                <w:sz w:val="17"/>
              </w:rPr>
            </w:r>
            <w:r>
              <w:rPr>
                <w:rFonts w:ascii="Times New Roman" w:hAnsi="Times New Roman"/>
                <w:sz w:val="17"/>
              </w:rPr>
              <w:t>Input dictionary and source register</w:t>
            </w:r>
          </w:p>
        </w:tc>
        <w:tc>
          <w:tcPr>
            <w:tcW w:type="dxa" w:w="3079"/>
            <w:tcMar>
              <w:top w:w="65" w:type="dxa"/>
              <w:start w:w="75" w:type="dxa"/>
              <w:bottom w:w="65" w:type="dxa"/>
              <w:end w:w="75" w:type="dxa"/>
            </w:tcMar>
            <w:vAlign w:val="center"/>
          </w:tcPr>
          <w:p>
            <w:pPr>
              <w:spacing w:after="0"/>
              <w:jc w:val="left"/>
            </w:pPr>
            <w:r>
              <w:rPr>
                <w:rFonts w:ascii="Times New Roman" w:hAnsi="Times New Roman"/>
                <w:sz w:val="17"/>
              </w:rPr>
            </w:r>
            <w:r>
              <w:rPr>
                <w:rFonts w:ascii="Times New Roman" w:hAnsi="Times New Roman"/>
                <w:sz w:val="17"/>
              </w:rPr>
              <w:t>Created the core data-readiness evidence</w:t>
            </w:r>
          </w:p>
        </w:tc>
      </w:tr>
      <w:tr>
        <w:trPr>
          <w:cantSplit/>
        </w:trPr>
        <w:tc>
          <w:tcPr>
            <w:tcW w:type="dxa" w:w="3079"/>
            <w:tcMar>
              <w:top w:w="65" w:type="dxa"/>
              <w:start w:w="75" w:type="dxa"/>
              <w:bottom w:w="65" w:type="dxa"/>
              <w:end w:w="75" w:type="dxa"/>
            </w:tcMar>
            <w:vAlign w:val="center"/>
            <w:shd w:fill="EEF5FA"/>
          </w:tcPr>
          <w:p>
            <w:pPr>
              <w:spacing w:after="0"/>
              <w:jc w:val="left"/>
            </w:pPr>
            <w:r>
              <w:rPr>
                <w:rFonts w:ascii="Times New Roman" w:hAnsi="Times New Roman"/>
                <w:sz w:val="17"/>
              </w:rPr>
            </w:r>
            <w:r>
              <w:rPr>
                <w:rFonts w:ascii="Times New Roman" w:hAnsi="Times New Roman"/>
                <w:sz w:val="17"/>
              </w:rPr>
              <w:t>W4</w:t>
            </w:r>
          </w:p>
        </w:tc>
        <w:tc>
          <w:tcPr>
            <w:tcW w:type="dxa" w:w="3079"/>
            <w:tcMar>
              <w:top w:w="65" w:type="dxa"/>
              <w:start w:w="75" w:type="dxa"/>
              <w:bottom w:w="65" w:type="dxa"/>
              <w:end w:w="75" w:type="dxa"/>
            </w:tcMar>
            <w:vAlign w:val="center"/>
            <w:shd w:fill="EEF5FA"/>
          </w:tcPr>
          <w:p>
            <w:pPr>
              <w:spacing w:after="0"/>
              <w:jc w:val="left"/>
            </w:pPr>
            <w:r>
              <w:rPr>
                <w:rFonts w:ascii="Times New Roman" w:hAnsi="Times New Roman"/>
                <w:sz w:val="17"/>
              </w:rPr>
            </w:r>
            <w:r>
              <w:rPr>
                <w:rFonts w:ascii="Times New Roman" w:hAnsi="Times New Roman"/>
                <w:sz w:val="17"/>
              </w:rPr>
              <w:t>Benchmark, FX and observation dependencies</w:t>
            </w:r>
          </w:p>
        </w:tc>
        <w:tc>
          <w:tcPr>
            <w:tcW w:type="dxa" w:w="3079"/>
            <w:tcMar>
              <w:top w:w="65" w:type="dxa"/>
              <w:start w:w="75" w:type="dxa"/>
              <w:bottom w:w="65" w:type="dxa"/>
              <w:end w:w="75" w:type="dxa"/>
            </w:tcMar>
            <w:vAlign w:val="center"/>
            <w:shd w:fill="EEF5FA"/>
          </w:tcPr>
          <w:p>
            <w:pPr>
              <w:spacing w:after="0"/>
              <w:jc w:val="left"/>
            </w:pPr>
            <w:r>
              <w:rPr>
                <w:rFonts w:ascii="Times New Roman" w:hAnsi="Times New Roman"/>
                <w:sz w:val="17"/>
              </w:rPr>
            </w:r>
            <w:r>
              <w:rPr>
                <w:rFonts w:ascii="Times New Roman" w:hAnsi="Times New Roman"/>
                <w:sz w:val="17"/>
              </w:rPr>
              <w:t>Defined when financial calculations are admissible</w:t>
            </w:r>
          </w:p>
        </w:tc>
      </w:tr>
      <w:tr>
        <w:trPr>
          <w:cantSplit/>
        </w:trPr>
        <w:tc>
          <w:tcPr>
            <w:tcW w:type="dxa" w:w="3079"/>
            <w:tcMar>
              <w:top w:w="65" w:type="dxa"/>
              <w:start w:w="75" w:type="dxa"/>
              <w:bottom w:w="65" w:type="dxa"/>
              <w:end w:w="75" w:type="dxa"/>
            </w:tcMar>
            <w:vAlign w:val="center"/>
          </w:tcPr>
          <w:p>
            <w:pPr>
              <w:spacing w:after="0"/>
              <w:jc w:val="left"/>
            </w:pPr>
            <w:r>
              <w:rPr>
                <w:rFonts w:ascii="Times New Roman" w:hAnsi="Times New Roman"/>
                <w:sz w:val="17"/>
              </w:rPr>
            </w:r>
            <w:r>
              <w:rPr>
                <w:rFonts w:ascii="Times New Roman" w:hAnsi="Times New Roman"/>
                <w:sz w:val="17"/>
              </w:rPr>
              <w:t>W5</w:t>
            </w:r>
          </w:p>
        </w:tc>
        <w:tc>
          <w:tcPr>
            <w:tcW w:type="dxa" w:w="3079"/>
            <w:tcMar>
              <w:top w:w="65" w:type="dxa"/>
              <w:start w:w="75" w:type="dxa"/>
              <w:bottom w:w="65" w:type="dxa"/>
              <w:end w:w="75" w:type="dxa"/>
            </w:tcMar>
            <w:vAlign w:val="center"/>
          </w:tcPr>
          <w:p>
            <w:pPr>
              <w:spacing w:after="0"/>
              <w:jc w:val="left"/>
            </w:pPr>
            <w:r>
              <w:rPr>
                <w:rFonts w:ascii="Times New Roman" w:hAnsi="Times New Roman"/>
                <w:sz w:val="17"/>
              </w:rPr>
            </w:r>
            <w:r>
              <w:rPr>
                <w:rFonts w:ascii="Times New Roman" w:hAnsi="Times New Roman"/>
                <w:sz w:val="17"/>
              </w:rPr>
              <w:t>Labels, units and instrument suggestions</w:t>
            </w:r>
          </w:p>
        </w:tc>
        <w:tc>
          <w:tcPr>
            <w:tcW w:type="dxa" w:w="3079"/>
            <w:tcMar>
              <w:top w:w="65" w:type="dxa"/>
              <w:start w:w="75" w:type="dxa"/>
              <w:bottom w:w="65" w:type="dxa"/>
              <w:end w:w="75" w:type="dxa"/>
            </w:tcMar>
            <w:vAlign w:val="center"/>
          </w:tcPr>
          <w:p>
            <w:pPr>
              <w:spacing w:after="0"/>
              <w:jc w:val="left"/>
            </w:pPr>
            <w:r>
              <w:rPr>
                <w:rFonts w:ascii="Times New Roman" w:hAnsi="Times New Roman"/>
                <w:sz w:val="17"/>
              </w:rPr>
            </w:r>
            <w:r>
              <w:rPr>
                <w:rFonts w:ascii="Times New Roman" w:hAnsi="Times New Roman"/>
                <w:sz w:val="17"/>
              </w:rPr>
              <w:t>Reduced input ambiguity</w:t>
            </w:r>
          </w:p>
        </w:tc>
      </w:tr>
      <w:tr>
        <w:trPr>
          <w:cantSplit/>
        </w:trPr>
        <w:tc>
          <w:tcPr>
            <w:tcW w:type="dxa" w:w="3079"/>
            <w:tcMar>
              <w:top w:w="65" w:type="dxa"/>
              <w:start w:w="75" w:type="dxa"/>
              <w:bottom w:w="65" w:type="dxa"/>
              <w:end w:w="75" w:type="dxa"/>
            </w:tcMar>
            <w:vAlign w:val="center"/>
            <w:shd w:fill="EEF5FA"/>
          </w:tcPr>
          <w:p>
            <w:pPr>
              <w:spacing w:after="0"/>
              <w:jc w:val="left"/>
            </w:pPr>
            <w:r>
              <w:rPr>
                <w:rFonts w:ascii="Times New Roman" w:hAnsi="Times New Roman"/>
                <w:sz w:val="17"/>
              </w:rPr>
            </w:r>
            <w:r>
              <w:rPr>
                <w:rFonts w:ascii="Times New Roman" w:hAnsi="Times New Roman"/>
                <w:sz w:val="17"/>
              </w:rPr>
              <w:t>W6</w:t>
            </w:r>
          </w:p>
        </w:tc>
        <w:tc>
          <w:tcPr>
            <w:tcW w:type="dxa" w:w="3079"/>
            <w:tcMar>
              <w:top w:w="65" w:type="dxa"/>
              <w:start w:w="75" w:type="dxa"/>
              <w:bottom w:w="65" w:type="dxa"/>
              <w:end w:w="75" w:type="dxa"/>
            </w:tcMar>
            <w:vAlign w:val="center"/>
            <w:shd w:fill="EEF5FA"/>
          </w:tcPr>
          <w:p>
            <w:pPr>
              <w:spacing w:after="0"/>
              <w:jc w:val="left"/>
            </w:pPr>
            <w:r>
              <w:rPr>
                <w:rFonts w:ascii="Times New Roman" w:hAnsi="Times New Roman"/>
                <w:sz w:val="17"/>
              </w:rPr>
            </w:r>
            <w:r>
              <w:rPr>
                <w:rFonts w:ascii="Times New Roman" w:hAnsi="Times New Roman"/>
                <w:sz w:val="17"/>
              </w:rPr>
              <w:t>TradingView Vietnam integration requirements</w:t>
            </w:r>
          </w:p>
        </w:tc>
        <w:tc>
          <w:tcPr>
            <w:tcW w:type="dxa" w:w="3079"/>
            <w:tcMar>
              <w:top w:w="65" w:type="dxa"/>
              <w:start w:w="75" w:type="dxa"/>
              <w:bottom w:w="65" w:type="dxa"/>
              <w:end w:w="75" w:type="dxa"/>
            </w:tcMar>
            <w:vAlign w:val="center"/>
            <w:shd w:fill="EEF5FA"/>
          </w:tcPr>
          <w:p>
            <w:pPr>
              <w:spacing w:after="0"/>
              <w:jc w:val="left"/>
            </w:pPr>
            <w:r>
              <w:rPr>
                <w:rFonts w:ascii="Times New Roman" w:hAnsi="Times New Roman"/>
                <w:sz w:val="17"/>
              </w:rPr>
            </w:r>
            <w:r>
              <w:rPr>
                <w:rFonts w:ascii="Times New Roman" w:hAnsi="Times New Roman"/>
                <w:sz w:val="17"/>
              </w:rPr>
              <w:t>Resolved Vietnam stock and index coverage</w:t>
            </w:r>
          </w:p>
        </w:tc>
      </w:tr>
      <w:tr>
        <w:trPr>
          <w:cantSplit/>
        </w:trPr>
        <w:tc>
          <w:tcPr>
            <w:tcW w:type="dxa" w:w="3079"/>
            <w:tcMar>
              <w:top w:w="65" w:type="dxa"/>
              <w:start w:w="75" w:type="dxa"/>
              <w:bottom w:w="65" w:type="dxa"/>
              <w:end w:w="75" w:type="dxa"/>
            </w:tcMar>
            <w:vAlign w:val="center"/>
          </w:tcPr>
          <w:p>
            <w:pPr>
              <w:spacing w:after="0"/>
              <w:jc w:val="left"/>
            </w:pPr>
            <w:r>
              <w:rPr>
                <w:rFonts w:ascii="Times New Roman" w:hAnsi="Times New Roman"/>
                <w:sz w:val="17"/>
              </w:rPr>
            </w:r>
            <w:r>
              <w:rPr>
                <w:rFonts w:ascii="Times New Roman" w:hAnsi="Times New Roman"/>
                <w:sz w:val="17"/>
              </w:rPr>
              <w:t>W7</w:t>
            </w:r>
          </w:p>
        </w:tc>
        <w:tc>
          <w:tcPr>
            <w:tcW w:type="dxa" w:w="3079"/>
            <w:tcMar>
              <w:top w:w="65" w:type="dxa"/>
              <w:start w:w="75" w:type="dxa"/>
              <w:bottom w:w="65" w:type="dxa"/>
              <w:end w:w="75" w:type="dxa"/>
            </w:tcMar>
            <w:vAlign w:val="center"/>
          </w:tcPr>
          <w:p>
            <w:pPr>
              <w:spacing w:after="0"/>
              <w:jc w:val="left"/>
            </w:pPr>
            <w:r>
              <w:rPr>
                <w:rFonts w:ascii="Times New Roman" w:hAnsi="Times New Roman"/>
                <w:sz w:val="17"/>
              </w:rPr>
            </w:r>
            <w:r>
              <w:rPr>
                <w:rFonts w:ascii="Times New Roman" w:hAnsi="Times New Roman"/>
                <w:sz w:val="17"/>
              </w:rPr>
              <w:t>Classification and freshness monitoring</w:t>
            </w:r>
          </w:p>
        </w:tc>
        <w:tc>
          <w:tcPr>
            <w:tcW w:type="dxa" w:w="3079"/>
            <w:tcMar>
              <w:top w:w="65" w:type="dxa"/>
              <w:start w:w="75" w:type="dxa"/>
              <w:bottom w:w="65" w:type="dxa"/>
              <w:end w:w="75" w:type="dxa"/>
            </w:tcMar>
            <w:vAlign w:val="center"/>
          </w:tcPr>
          <w:p>
            <w:pPr>
              <w:spacing w:after="0"/>
              <w:jc w:val="left"/>
            </w:pPr>
            <w:r>
              <w:rPr>
                <w:rFonts w:ascii="Times New Roman" w:hAnsi="Times New Roman"/>
                <w:sz w:val="17"/>
              </w:rPr>
            </w:r>
            <w:r>
              <w:rPr>
                <w:rFonts w:ascii="Times New Roman" w:hAnsi="Times New Roman"/>
                <w:sz w:val="17"/>
              </w:rPr>
              <w:t>Completed traceability and operational checks</w:t>
            </w:r>
          </w:p>
        </w:tc>
      </w:tr>
    </w:tbl>
    <w:p>
      <w:pPr>
        <w:spacing w:after="20"/>
      </w:pPr>
    </w:p>
    <w:p>
      <w:pPr>
        <w:pStyle w:val="Heading1"/>
      </w:pPr>
      <w:r>
        <w:t>VI. Limitations and lessons learned</w:t>
      </w:r>
    </w:p>
    <w:p>
      <w:r>
        <w:t>The application does not yet maintain a dedicated exchange-holiday calendar, classifications are current rather than point-in-time, and automatic daily snapshots prioritize a finite Vietnam universe. Free data providers may also rate-limit or revise historical observations. These are documented limitations rather than hidden failures.</w:t>
      </w:r>
    </w:p>
    <w:p>
      <w:r>
        <w:t>My principal lesson was that a financial formula is only as defensible as the observations supplied to it. A valid data contract must record source, currency, effective date, alignment and fallback status. I can personally trace an output back to its input fields and providers and explain why a benchmark comparison is accepted or rejected.</w:t>
      </w:r>
    </w:p>
    <w:p>
      <w:pPr>
        <w:pStyle w:val="Heading1"/>
        <w:pageBreakBefore/>
      </w:pPr>
      <w:r>
        <w:t>INDIVIDUAL DECLARATION</w:t>
      </w:r>
    </w:p>
    <w:p>
      <w:r>
        <w:t>I confirm that this report reflects the work that I am responsible for explaining, calculating, demonstrating or reproducing in Finfolio 2.0. Referenced outputs may be collaborative team artifacts; my individual accountability is defined by the contribution map and repository evidence.</w:t>
      </w:r>
    </w:p>
    <w:tbl>
      <w:tblPr>
        <w:tblW w:type="auto" w:w="0"/>
        <w:tblLook w:firstColumn="1" w:firstRow="1" w:lastColumn="0" w:lastRow="0" w:noHBand="0" w:noVBand="1" w:val="04A0"/>
        <w:tblBorders>
          <w:top w:val="single" w:sz="4" w:space="0" w:color="B8C7D1"/>
          <w:left w:val="single" w:sz="4" w:space="0" w:color="B8C7D1"/>
          <w:bottom w:val="single" w:sz="4" w:space="0" w:color="B8C7D1"/>
          <w:right w:val="single" w:sz="4" w:space="0" w:color="B8C7D1"/>
          <w:insideH w:val="single" w:sz="4" w:space="0" w:color="B8C7D1"/>
          <w:insideV w:val="single" w:sz="4" w:space="0" w:color="B8C7D1"/>
        </w:tblBorders>
      </w:tblPr>
      <w:tblGrid>
        <w:gridCol w:w="4618"/>
        <w:gridCol w:w="4618"/>
      </w:tblGrid>
      <w:tr>
        <w:tc>
          <w:tcPr>
            <w:tcW w:type="dxa" w:w="4618"/>
            <w:shd w:fill="D9EAF7"/>
            <w:tcMar>
              <w:top w:w="150" w:type="dxa"/>
              <w:start w:w="120" w:type="dxa"/>
              <w:bottom w:w="150" w:type="dxa"/>
              <w:end w:w="120" w:type="dxa"/>
            </w:tcMar>
          </w:tcPr>
          <w:p>
            <w:pPr>
              <w:spacing w:after="0"/>
            </w:pPr>
            <w:r>
              <w:rPr>
                <w:rFonts w:ascii="Times New Roman" w:hAnsi="Times New Roman"/>
                <w:b/>
                <w:sz w:val="21"/>
              </w:rPr>
              <w:t>Full name</w:t>
            </w:r>
          </w:p>
        </w:tc>
        <w:tc>
          <w:tcPr>
            <w:tcW w:type="dxa" w:w="4618"/>
            <w:tcMar>
              <w:top w:w="150" w:type="dxa"/>
              <w:start w:w="120" w:type="dxa"/>
              <w:bottom w:w="150" w:type="dxa"/>
              <w:end w:w="120" w:type="dxa"/>
            </w:tcMar>
          </w:tcPr>
          <w:p>
            <w:pPr>
              <w:spacing w:after="0"/>
            </w:pPr>
            <w:r>
              <w:rPr>
                <w:rFonts w:ascii="Times New Roman" w:hAnsi="Times New Roman"/>
                <w:sz w:val="21"/>
              </w:rPr>
              <w:t>Trần Minh Ngọc</w:t>
            </w:r>
          </w:p>
        </w:tc>
      </w:tr>
      <w:tr>
        <w:tc>
          <w:tcPr>
            <w:tcW w:type="dxa" w:w="4618"/>
            <w:shd w:fill="D9EAF7"/>
            <w:tcMar>
              <w:top w:w="150" w:type="dxa"/>
              <w:start w:w="120" w:type="dxa"/>
              <w:bottom w:w="150" w:type="dxa"/>
              <w:end w:w="120" w:type="dxa"/>
            </w:tcMar>
          </w:tcPr>
          <w:p>
            <w:pPr>
              <w:spacing w:after="0"/>
            </w:pPr>
            <w:r>
              <w:rPr>
                <w:rFonts w:ascii="Times New Roman" w:hAnsi="Times New Roman"/>
                <w:b/>
                <w:sz w:val="21"/>
              </w:rPr>
              <w:t>Student ID</w:t>
            </w:r>
          </w:p>
        </w:tc>
        <w:tc>
          <w:tcPr>
            <w:tcW w:type="dxa" w:w="4618"/>
            <w:tcMar>
              <w:top w:w="150" w:type="dxa"/>
              <w:start w:w="120" w:type="dxa"/>
              <w:bottom w:w="150" w:type="dxa"/>
              <w:end w:w="120" w:type="dxa"/>
            </w:tcMar>
          </w:tcPr>
          <w:p>
            <w:pPr>
              <w:spacing w:after="0"/>
            </w:pPr>
            <w:r>
              <w:rPr>
                <w:rFonts w:ascii="Times New Roman" w:hAnsi="Times New Roman"/>
                <w:sz w:val="21"/>
              </w:rPr>
              <w:t>2412380036</w:t>
            </w:r>
          </w:p>
        </w:tc>
      </w:tr>
      <w:tr>
        <w:tc>
          <w:tcPr>
            <w:tcW w:type="dxa" w:w="4618"/>
            <w:shd w:fill="D9EAF7"/>
            <w:tcMar>
              <w:top w:w="150" w:type="dxa"/>
              <w:start w:w="120" w:type="dxa"/>
              <w:bottom w:w="150" w:type="dxa"/>
              <w:end w:w="120" w:type="dxa"/>
            </w:tcMar>
          </w:tcPr>
          <w:p>
            <w:pPr>
              <w:spacing w:after="0"/>
            </w:pPr>
            <w:r>
              <w:rPr>
                <w:rFonts w:ascii="Times New Roman" w:hAnsi="Times New Roman"/>
                <w:b/>
                <w:sz w:val="21"/>
              </w:rPr>
              <w:t>Signature</w:t>
            </w:r>
          </w:p>
        </w:tc>
        <w:tc>
          <w:tcPr>
            <w:tcW w:type="dxa" w:w="4618"/>
            <w:tcMar>
              <w:top w:w="150" w:type="dxa"/>
              <w:start w:w="120" w:type="dxa"/>
              <w:bottom w:w="150" w:type="dxa"/>
              <w:end w:w="120" w:type="dxa"/>
            </w:tcMar>
          </w:tcPr>
          <w:p>
            <w:pPr>
              <w:spacing w:after="0"/>
            </w:pPr>
            <w:r>
              <w:rPr>
                <w:rFonts w:ascii="Times New Roman" w:hAnsi="Times New Roman"/>
                <w:sz w:val="21"/>
              </w:rPr>
            </w:r>
          </w:p>
        </w:tc>
      </w:tr>
      <w:tr>
        <w:tc>
          <w:tcPr>
            <w:tcW w:type="dxa" w:w="4618"/>
            <w:shd w:fill="D9EAF7"/>
            <w:tcMar>
              <w:top w:w="150" w:type="dxa"/>
              <w:start w:w="120" w:type="dxa"/>
              <w:bottom w:w="150" w:type="dxa"/>
              <w:end w:w="120" w:type="dxa"/>
            </w:tcMar>
          </w:tcPr>
          <w:p>
            <w:pPr>
              <w:spacing w:after="0"/>
            </w:pPr>
            <w:r>
              <w:rPr>
                <w:rFonts w:ascii="Times New Roman" w:hAnsi="Times New Roman"/>
                <w:b/>
                <w:sz w:val="21"/>
              </w:rPr>
              <w:t>Date</w:t>
            </w:r>
          </w:p>
        </w:tc>
        <w:tc>
          <w:tcPr>
            <w:tcW w:type="dxa" w:w="4618"/>
            <w:tcMar>
              <w:top w:w="150" w:type="dxa"/>
              <w:start w:w="120" w:type="dxa"/>
              <w:bottom w:w="150" w:type="dxa"/>
              <w:end w:w="120" w:type="dxa"/>
            </w:tcMar>
          </w:tcPr>
          <w:p>
            <w:pPr>
              <w:spacing w:after="0"/>
            </w:pPr>
            <w:r>
              <w:rPr>
                <w:rFonts w:ascii="Times New Roman" w:hAnsi="Times New Roman"/>
                <w:sz w:val="21"/>
              </w:rPr>
            </w:r>
          </w:p>
        </w:tc>
      </w:tr>
    </w:tbl>
    <w:sectPr w:rsidR="00DC5944">
      <w:headerReference w:type="default" r:id="rId26"/>
      <w:footerReference w:type="default" r:id="rId27"/>
      <w:footnotePr>
        <w:numRestart w:val="eachSect"/>
      </w:footnotePr>
      <w:pgSz w:w="12240" w:h="15840"/>
      <w:pgMar w:top="1417" w:right="1417" w:bottom="1417" w:left="1587" w:header="720" w:footer="720" w:gutter="0"/>
      <w:cols w:space="720"/>
      <w:pgNumType w:start="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61163D3" w14:textId="77777777" w:rsidR="006D6761" w:rsidRDefault="006D6761">
      <w:pPr>
        <w:spacing w:after="0" w:line="240" w:lineRule="auto"/>
      </w:pPr>
      <w:r>
        <w:separator/>
      </w:r>
    </w:p>
  </w:endnote>
  <w:endnote w:type="continuationSeparator" w:id="0">
    <w:p w14:paraId="3998D4AC" w14:textId="77777777" w:rsidR="006D6761" w:rsidRDefault="006D67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3D5ABB" w14:textId="77777777" w:rsidR="00DC5944" w:rsidRDefault="00DC5944"/>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26030E5" w14:textId="77777777" w:rsidR="00DC5944" w:rsidRDefault="00DC5944"/>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1F7367A" w14:textId="77777777" w:rsidR="00DC5944" w:rsidRDefault="00000000">
    <w:pPr>
      <w:spacing w:after="0" w:line="240" w:lineRule="auto"/>
      <w:ind w:firstLine="0"/>
      <w:jc w:val="right"/>
    </w:pPr>
    <w:r>
      <w:fldChar w:fldCharType="begin"/>
    </w:r>
    <w:r>
      <w:instrText>PAGE</w:instrText>
    </w:r>
    <w:r>
      <w:fldChar w:fldCharType="separate"/>
    </w:r>
    <w:r>
      <w:rPr>
        <w:sz w:val="24"/>
      </w:rPr>
      <w:t>2</w:t>
    </w:r>
    <w:r>
      <w:rPr>
        <w:sz w:val="24"/>
      </w:rPr>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Times New Roman" w:hAnsi="Times New Roman"/>
        <w:sz w:val="20"/>
      </w:rPr>
      <w:fldChar w:fldCharType="begin"/>
      <w:instrText xml:space="preserve"> PAGE </w:instrText>
      <w:fldChar w:fldCharType="separate"/>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965A5DC" w14:textId="77777777" w:rsidR="006D6761" w:rsidRDefault="006D6761">
      <w:pPr>
        <w:spacing w:after="0" w:line="240" w:lineRule="auto"/>
      </w:pPr>
      <w:r>
        <w:separator/>
      </w:r>
    </w:p>
  </w:footnote>
  <w:footnote w:type="continuationSeparator" w:id="0">
    <w:p w14:paraId="7DB3ED2C" w14:textId="77777777" w:rsidR="006D6761" w:rsidRDefault="006D67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92ADDD7" w14:textId="77777777" w:rsidR="00DC5944" w:rsidRDefault="00DC594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954B451" w14:textId="77777777" w:rsidR="00DC5944" w:rsidRDefault="00DC5944"/>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68958A4" w14:textId="77777777" w:rsidR="00DC5944" w:rsidRDefault="00DC5944"/>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9D08A78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31237038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3"/>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DC5944"/>
    <w:rsid w:val="000460F5"/>
    <w:rsid w:val="006D6761"/>
    <w:rsid w:val="009908EB"/>
    <w:rsid w:val="00DC59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79241B6"/>
  <w15:docId w15:val="{04642DCF-ADC0-044D-B820-E33E48895EAE}"/>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20" w:line="324" w:lineRule="auto"/>
      <w:ind w:firstLine="425"/>
      <w:jc w:val="both"/>
    </w:pPr>
    <w:rPr>
      <w:rFonts w:ascii="Times New Roman" w:hAnsi="Times New Roman"/>
      <w:sz w:val="22"/>
    </w:rPr>
  </w:style>
  <w:style w:type="paragraph" w:styleId="Heading1">
    <w:name w:val="heading 1"/>
    <w:basedOn w:val="Normal"/>
    <w:next w:val="BodyText"/>
    <w:link w:val="Heading1Char"/>
    <w:uiPriority w:val="9"/>
    <w:qFormat/>
    <w:rsid w:val="00A10FD9"/>
    <w:pPr>
      <w:keepNext/>
      <w:keepLines/>
      <w:spacing w:before="320" w:after="120" w:line="276" w:lineRule="auto"/>
      <w:ind w:firstLine="0"/>
      <w:outlineLvl w:val="0"/>
    </w:pPr>
    <w:rPr>
      <w:rFonts w:asciiTheme="majorHAnsi" w:eastAsiaTheme="majorEastAsia" w:hAnsiTheme="majorHAnsi" w:cstheme="majorBidi" w:ascii="Times New Roman" w:hAnsi="Times New Roman"/>
      <w:b/>
      <w:color w:val="1F4E79"/>
      <w:sz w:val="32"/>
      <w:szCs w:val="40"/>
    </w:rPr>
  </w:style>
  <w:style w:type="paragraph" w:styleId="Heading2">
    <w:name w:val="heading 2"/>
    <w:basedOn w:val="Normal"/>
    <w:next w:val="BodyText"/>
    <w:link w:val="Heading2Char"/>
    <w:uiPriority w:val="9"/>
    <w:semiHidden/>
    <w:unhideWhenUsed/>
    <w:qFormat/>
    <w:rsid w:val="00A10FD9"/>
    <w:pPr>
      <w:keepNext/>
      <w:keepLines/>
      <w:spacing w:before="200" w:after="80" w:line="276" w:lineRule="auto"/>
      <w:ind w:firstLine="0"/>
      <w:outlineLvl w:val="1"/>
    </w:pPr>
    <w:rPr>
      <w:rFonts w:asciiTheme="majorHAnsi" w:eastAsiaTheme="majorEastAsia" w:hAnsiTheme="majorHAnsi" w:cstheme="majorBidi" w:ascii="Times New Roman" w:hAnsi="Times New Roman"/>
      <w:b/>
      <w:color w:val="2F75B5"/>
      <w:sz w:val="26"/>
      <w:szCs w:val="32"/>
    </w:rPr>
  </w:style>
  <w:style w:type="paragraph" w:styleId="Heading3">
    <w:name w:val="heading 3"/>
    <w:basedOn w:val="Normal"/>
    <w:next w:val="BodyText"/>
    <w:link w:val="Heading3Char"/>
    <w:uiPriority w:val="9"/>
    <w:semiHidden/>
    <w:unhideWhenUsed/>
    <w:qFormat/>
    <w:rsid w:val="00A10FD9"/>
    <w:pPr>
      <w:keepNext/>
      <w:keepLines/>
      <w:spacing w:before="160" w:after="60" w:line="276" w:lineRule="auto"/>
      <w:ind w:firstLine="0"/>
      <w:outlineLvl w:val="2"/>
    </w:pPr>
    <w:rPr>
      <w:rFonts w:eastAsiaTheme="majorEastAsia" w:cstheme="majorBidi" w:ascii="Times New Roman" w:hAnsi="Times New Roman"/>
      <w:b/>
      <w:color w:val="2F75B5"/>
      <w:sz w:val="22"/>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line="276" w:lineRule="auto"/>
      <w:ind w:firstLine="0"/>
    </w:pPr>
    <w:rPr>
      <w:sz w:val="24"/>
    </w:rPr>
  </w:style>
  <w:style w:type="paragraph" w:styleId="Title">
    <w:name w:val="Title"/>
    <w:basedOn w:val="Normal"/>
    <w:next w:val="BodyText"/>
    <w:link w:val="TitleChar"/>
    <w:uiPriority w:val="10"/>
    <w:qFormat/>
    <w:rsid w:val="00A10FD9"/>
    <w:pPr>
      <w:keepNext/>
      <w:spacing w:after="200" w:line="240" w:lineRule="auto" w:before="0"/>
      <w:contextualSpacing/>
      <w:jc w:val="center"/>
    </w:pPr>
    <w:rPr>
      <w:rFonts w:asciiTheme="majorHAnsi" w:eastAsiaTheme="majorEastAsia" w:hAnsiTheme="majorHAnsi" w:cstheme="majorBidi" w:ascii="Times New Roman" w:hAnsi="Times New Roman"/>
      <w:color w:val="1F4E79"/>
      <w:sz w:val="50"/>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keepNext/>
      <w:numPr>
        <w:ilvl w:val="1"/>
      </w:numPr>
      <w:spacing w:before="0" w:after="160"/>
      <w:ind w:firstLine="425"/>
    </w:pPr>
    <w:rPr>
      <w:rFonts w:ascii="Times New Roman" w:hAnsi="Times New Roman"/>
      <w:color w:val="666666"/>
      <w:spacing w:val="15"/>
      <w:sz w:val="26"/>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firstLine="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firstLine="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rPr>
      <w:i/>
    </w:rPr>
  </w:style>
  <w:style w:type="paragraph" w:customStyle="1" w:styleId="TableCaption">
    <w:name w:val="Table Caption"/>
    <w:basedOn w:val="Caption"/>
    <w:pPr>
      <w:keepNext/>
    </w:pPr>
    <w:rPr>
      <w:b/>
      <w:color w:val="000000"/>
      <w:sz w:val="20"/>
    </w:rPr>
  </w:style>
  <w:style w:type="paragraph" w:customStyle="1" w:styleId="ImageCaption">
    <w:name w:val="Image Caption"/>
    <w:basedOn w:val="Caption"/>
    <w:rPr>
      <w:b/>
      <w:color w:val="000000"/>
      <w:sz w:val="20"/>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b w:val="0"/>
      <w:color w:val="0F476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customStyle="1" w:styleId="ReferenceFront">
    <w:name w:val="Reference Front"/>
    <w:basedOn w:val="Normal"/>
  </w:style>
  <w:style w:type="paragraph" w:customStyle="1" w:styleId="ReferenceTOC1">
    <w:name w:val="Reference TOC 1"/>
    <w:basedOn w:val="Normal"/>
  </w:style>
  <w:style w:type="paragraph" w:customStyle="1" w:styleId="ReferenceTOC2">
    <w:name w:val="Reference TOC 2"/>
    <w:basedOn w:val="Normal"/>
  </w:style>
  <w:style w:type="paragraph" w:customStyle="1" w:styleId="ReportAbstract">
    <w:name w:val="Report Abstract"/>
    <w:pPr>
      <w:spacing w:line="324" w:lineRule="auto" w:after="120"/>
      <w:ind w:left="340" w:right="340"/>
      <w:jc w:val="both"/>
    </w:pPr>
    <w:rPr>
      <w:rFonts w:ascii="Times New Roman" w:hAnsi="Times New Roman"/>
      <w:i w:val="0"/>
      <w:sz w:val="22"/>
    </w:rPr>
  </w:style>
  <w:style w:type="paragraph" w:customStyle="1" w:styleId="ListBullet">
    <w:name w:val="List Bullet"/>
    <w:basedOn w:val="Normal"/>
    <w:pPr>
      <w:spacing w:line="300" w:lineRule="auto" w:after="60"/>
    </w:pPr>
    <w:rPr>
      <w:rFonts w:ascii="Times New Roman" w:hAnsi="Times New Roman"/>
      <w:sz w:val="22"/>
    </w:rPr>
  </w:style>
  <w:style w:type="paragraph" w:customStyle="1" w:styleId="ListNumber">
    <w:name w:val="List Number"/>
    <w:basedOn w:val="Normal"/>
    <w:pPr>
      <w:spacing w:line="300" w:lineRule="auto" w:after="60"/>
    </w:pPr>
    <w:rPr>
      <w:rFonts w:ascii="Times New Roman" w:hAnsi="Times New Roman"/>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www.federalreserve.gov/pubs/ifdp/2006/871/ifdp871.pdf" TargetMode="External"/><Relationship Id="rId18" Type="http://schemas.openxmlformats.org/officeDocument/2006/relationships/hyperlink" Target="https://finance.yahoo.com/" TargetMode="External"/><Relationship Id="rId3" Type="http://schemas.openxmlformats.org/officeDocument/2006/relationships/settings" Target="settings.xml"/><Relationship Id="rId21" Type="http://schemas.openxmlformats.org/officeDocument/2006/relationships/hyperlink" Target="https://github.com/lebaoann05-ops/fomc-price-discovery" TargetMode="External"/><Relationship Id="rId7" Type="http://schemas.openxmlformats.org/officeDocument/2006/relationships/image" Target="media/image1.png"/><Relationship Id="rId12" Type="http://schemas.openxmlformats.org/officeDocument/2006/relationships/image" Target="media/image2.png"/><Relationship Id="rId17" Type="http://schemas.openxmlformats.org/officeDocument/2006/relationships/hyperlink" Target="https://doi.org/10.1111/jofi.12196"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doi.org/10.1016/j.frl.2020.101781" TargetMode="External"/><Relationship Id="rId20" Type="http://schemas.openxmlformats.org/officeDocument/2006/relationships/image" Target="media/image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www.federalreserve.gov/monetarypolicy/fomccalendars.htm" TargetMode="External"/><Relationship Id="rId23" Type="http://schemas.openxmlformats.org/officeDocument/2006/relationships/footer" Target="footer3.xml"/><Relationship Id="rId10" Type="http://schemas.openxmlformats.org/officeDocument/2006/relationships/header" Target="header2.xml"/><Relationship Id="rId19" Type="http://schemas.openxmlformats.org/officeDocument/2006/relationships/hyperlink" Target="https://ranaroussi.github.io/yfinance/"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s://doi.org/10.1111/j.1540-6261.2005.00760.x" TargetMode="External"/><Relationship Id="rId22" Type="http://schemas.openxmlformats.org/officeDocument/2006/relationships/header" Target="header3.xml"/><Relationship Id="rId26" Type="http://schemas.openxmlformats.org/officeDocument/2006/relationships/header" Target="header4.xml"/><Relationship Id="rId27"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22</Pages>
  <Words>5476</Words>
  <Characters>31216</Characters>
  <Application>Microsoft Office Word</Application>
  <DocSecurity>0</DocSecurity>
  <Lines>260</Lines>
  <Paragraphs>73</Paragraphs>
  <ScaleCrop>false</ScaleCrop>
  <Company/>
  <LinksUpToDate>false</LinksUpToDate>
  <CharactersWithSpaces>36619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Personal Project Report — Trần Minh Ngọc</dc:title>
  <dc:subject>FINFOLIO 2.0 — PORTFOLIO ATTRIBUTION &amp; RISK ANALYTICS</dc:subject>
  <dc:creator>Trần Minh Ngọc</dc:creator>
  <cp:keywords>Finfolio 2.0, G09, individual footprint, NHA408E</cp:keywords>
  <cp:lastModifiedBy>2412380002-LÊ BẢO AN</cp:lastModifiedBy>
  <cp:revision>2</cp:revision>
  <dcterms:created xsi:type="dcterms:W3CDTF">2026-10-02T15:50:00Z</dcterms:created>
  <dcterms:modified xsi:type="dcterms:W3CDTF">2026-10-02T16:44:00Z</dcterms:modified>
</cp:coreProperties>
</file>