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after="40"/>
        <w:jc w:val="center"/>
      </w:pPr>
      <w:r>
        <w:rPr>
          <w:rFonts w:ascii="Times New Roman" w:hAnsi="Times New Roman"/>
          <w:b/>
          <w:color w:val="1F4E79"/>
          <w:sz w:val="28"/>
        </w:rPr>
        <w:t>FOREIGN TRADE UNIVERSITY</w:t>
      </w:r>
    </w:p>
    <w:p>
      <w:pPr>
        <w:jc w:val="center"/>
      </w:pPr>
      <w:r>
        <w:rPr>
          <w:rFonts w:ascii="Times New Roman" w:hAnsi="Times New Roman"/>
          <w:b/>
          <w:sz w:val="24"/>
        </w:rPr>
        <w:t>FACULTY OF BANKING AND FINANCE</w:t>
      </w:r>
    </w:p>
    <w:p>
      <w:pPr>
        <w:spacing w:before="160" w:after="160"/>
        <w:jc w:val="center"/>
      </w:pPr>
      <w:r>
        <w:drawing>
          <wp:inline xmlns:a="http://schemas.openxmlformats.org/drawingml/2006/main" xmlns:pic="http://schemas.openxmlformats.org/drawingml/2006/picture">
            <wp:extent cx="900000" cy="900000"/>
            <wp:docPr id="1" name="Picture 1"/>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900000" cy="900000"/>
                    </a:xfrm>
                    <a:prstGeom prst="rect"/>
                  </pic:spPr>
                </pic:pic>
              </a:graphicData>
            </a:graphic>
          </wp:inline>
        </w:drawing>
      </w:r>
    </w:p>
    <w:p>
      <w:pPr>
        <w:spacing w:before="400" w:after="200"/>
        <w:jc w:val="center"/>
      </w:pPr>
      <w:r>
        <w:rPr>
          <w:rFonts w:ascii="Times New Roman" w:hAnsi="Times New Roman"/>
          <w:b/>
          <w:color w:val="1F4E79"/>
          <w:sz w:val="48"/>
        </w:rPr>
        <w:t>PERSONAL PROJECT REPORT</w:t>
      </w:r>
    </w:p>
    <w:p>
      <w:pPr>
        <w:spacing w:after="360"/>
        <w:jc w:val="center"/>
      </w:pPr>
      <w:r>
        <w:rPr>
          <w:rFonts w:ascii="Times New Roman" w:hAnsi="Times New Roman"/>
          <w:b/>
          <w:sz w:val="34"/>
        </w:rPr>
        <w:t>FINFOLIO 2.0 — PORTFOLIO ATTRIBUTION &amp; RISK ANALYTICS</w:t>
      </w:r>
    </w:p>
    <w:tbl>
      <w:tblPr>
        <w:tblW w:type="auto" w:w="0"/>
        <w:jc w:val="center"/>
        <w:tblLayout w:type="fixed"/>
        <w:tblLook w:firstColumn="1" w:firstRow="1" w:lastColumn="0" w:lastRow="0" w:noHBand="0" w:noVBand="1" w:val="04A0"/>
      </w:tblPr>
      <w:tblGrid>
        <w:gridCol w:w="2381"/>
        <w:gridCol w:w="5896"/>
      </w:tblGrid>
      <w:tr>
        <w:tc>
          <w:tcPr>
            <w:tcW w:type="dxa" w:w="4702"/>
            <w:shd w:fill="D9EAF7"/>
            <w:vAlign w:val="center"/>
            <w:tcMar>
              <w:top w:w="110" w:type="dxa"/>
              <w:start w:w="120" w:type="dxa"/>
              <w:bottom w:w="110" w:type="dxa"/>
              <w:end w:w="120" w:type="dxa"/>
            </w:tcMar>
          </w:tcPr>
          <w:p>
            <w:pPr>
              <w:spacing w:after="0"/>
              <w:jc w:val="left"/>
            </w:pPr>
            <w:r>
              <w:rPr>
                <w:rFonts w:ascii="Times New Roman" w:hAnsi="Times New Roman"/>
                <w:b/>
                <w:sz w:val="21"/>
              </w:rPr>
              <w:t>Student</w:t>
            </w:r>
          </w:p>
        </w:tc>
        <w:tc>
          <w:tcPr>
            <w:tcW w:type="dxa" w:w="4702"/>
            <w:vAlign w:val="center"/>
            <w:tcMar>
              <w:top w:w="110" w:type="dxa"/>
              <w:start w:w="120" w:type="dxa"/>
              <w:bottom w:w="110" w:type="dxa"/>
              <w:end w:w="120" w:type="dxa"/>
            </w:tcMar>
          </w:tcPr>
          <w:p>
            <w:pPr>
              <w:spacing w:after="0"/>
              <w:jc w:val="left"/>
            </w:pPr>
            <w:r>
              <w:rPr>
                <w:rFonts w:ascii="Times New Roman" w:hAnsi="Times New Roman"/>
                <w:b w:val="0"/>
                <w:sz w:val="21"/>
              </w:rPr>
              <w:t>Nguyễn Ngọc Anh</w:t>
            </w:r>
          </w:p>
        </w:tc>
      </w:tr>
      <w:tr>
        <w:tc>
          <w:tcPr>
            <w:tcW w:type="dxa" w:w="4702"/>
            <w:shd w:fill="D9EAF7"/>
            <w:vAlign w:val="center"/>
            <w:tcMar>
              <w:top w:w="110" w:type="dxa"/>
              <w:start w:w="120" w:type="dxa"/>
              <w:bottom w:w="110" w:type="dxa"/>
              <w:end w:w="120" w:type="dxa"/>
            </w:tcMar>
          </w:tcPr>
          <w:p>
            <w:pPr>
              <w:spacing w:after="0"/>
              <w:jc w:val="left"/>
            </w:pPr>
            <w:r>
              <w:rPr>
                <w:rFonts w:ascii="Times New Roman" w:hAnsi="Times New Roman"/>
                <w:b/>
                <w:sz w:val="21"/>
              </w:rPr>
              <w:t>Student ID</w:t>
            </w:r>
          </w:p>
        </w:tc>
        <w:tc>
          <w:tcPr>
            <w:tcW w:type="dxa" w:w="4702"/>
            <w:vAlign w:val="center"/>
            <w:tcMar>
              <w:top w:w="110" w:type="dxa"/>
              <w:start w:w="120" w:type="dxa"/>
              <w:bottom w:w="110" w:type="dxa"/>
              <w:end w:w="120" w:type="dxa"/>
            </w:tcMar>
          </w:tcPr>
          <w:p>
            <w:pPr>
              <w:spacing w:after="0"/>
              <w:jc w:val="left"/>
            </w:pPr>
            <w:r>
              <w:rPr>
                <w:rFonts w:ascii="Times New Roman" w:hAnsi="Times New Roman"/>
                <w:b w:val="0"/>
                <w:sz w:val="21"/>
              </w:rPr>
              <w:t>2413380008</w:t>
            </w:r>
          </w:p>
        </w:tc>
      </w:tr>
      <w:tr>
        <w:tc>
          <w:tcPr>
            <w:tcW w:type="dxa" w:w="4702"/>
            <w:shd w:fill="D9EAF7"/>
            <w:vAlign w:val="center"/>
            <w:tcMar>
              <w:top w:w="110" w:type="dxa"/>
              <w:start w:w="120" w:type="dxa"/>
              <w:bottom w:w="110" w:type="dxa"/>
              <w:end w:w="120" w:type="dxa"/>
            </w:tcMar>
          </w:tcPr>
          <w:p>
            <w:pPr>
              <w:spacing w:after="0"/>
              <w:jc w:val="left"/>
            </w:pPr>
            <w:r>
              <w:rPr>
                <w:rFonts w:ascii="Times New Roman" w:hAnsi="Times New Roman"/>
                <w:b/>
                <w:sz w:val="21"/>
              </w:rPr>
              <w:t>Role</w:t>
            </w:r>
          </w:p>
        </w:tc>
        <w:tc>
          <w:tcPr>
            <w:tcW w:type="dxa" w:w="4702"/>
            <w:vAlign w:val="center"/>
            <w:tcMar>
              <w:top w:w="110" w:type="dxa"/>
              <w:start w:w="120" w:type="dxa"/>
              <w:bottom w:w="110" w:type="dxa"/>
              <w:end w:w="120" w:type="dxa"/>
            </w:tcMar>
          </w:tcPr>
          <w:p>
            <w:pPr>
              <w:spacing w:after="0"/>
              <w:jc w:val="left"/>
            </w:pPr>
            <w:r>
              <w:rPr>
                <w:rFonts w:ascii="Times New Roman" w:hAnsi="Times New Roman"/>
                <w:b w:val="0"/>
                <w:sz w:val="21"/>
              </w:rPr>
              <w:t>UI/UX Designer / Visual Design Lead</w:t>
            </w:r>
          </w:p>
        </w:tc>
      </w:tr>
      <w:tr>
        <w:tc>
          <w:tcPr>
            <w:tcW w:type="dxa" w:w="4702"/>
            <w:shd w:fill="D9EAF7"/>
            <w:vAlign w:val="center"/>
            <w:tcMar>
              <w:top w:w="110" w:type="dxa"/>
              <w:start w:w="120" w:type="dxa"/>
              <w:bottom w:w="110" w:type="dxa"/>
              <w:end w:w="120" w:type="dxa"/>
            </w:tcMar>
          </w:tcPr>
          <w:p>
            <w:pPr>
              <w:spacing w:after="0"/>
              <w:jc w:val="left"/>
            </w:pPr>
            <w:r>
              <w:rPr>
                <w:rFonts w:ascii="Times New Roman" w:hAnsi="Times New Roman"/>
                <w:b/>
                <w:sz w:val="21"/>
              </w:rPr>
              <w:t>Group</w:t>
            </w:r>
          </w:p>
        </w:tc>
        <w:tc>
          <w:tcPr>
            <w:tcW w:type="dxa" w:w="4702"/>
            <w:vAlign w:val="center"/>
            <w:tcMar>
              <w:top w:w="110" w:type="dxa"/>
              <w:start w:w="120" w:type="dxa"/>
              <w:bottom w:w="110" w:type="dxa"/>
              <w:end w:w="120" w:type="dxa"/>
            </w:tcMar>
          </w:tcPr>
          <w:p>
            <w:pPr>
              <w:spacing w:after="0"/>
              <w:jc w:val="left"/>
            </w:pPr>
            <w:r>
              <w:rPr>
                <w:rFonts w:ascii="Times New Roman" w:hAnsi="Times New Roman"/>
                <w:b w:val="0"/>
                <w:sz w:val="21"/>
              </w:rPr>
              <w:t>G09 — K63</w:t>
            </w:r>
          </w:p>
        </w:tc>
      </w:tr>
      <w:tr>
        <w:tc>
          <w:tcPr>
            <w:tcW w:type="dxa" w:w="4702"/>
            <w:shd w:fill="D9EAF7"/>
            <w:vAlign w:val="center"/>
            <w:tcMar>
              <w:top w:w="110" w:type="dxa"/>
              <w:start w:w="120" w:type="dxa"/>
              <w:bottom w:w="110" w:type="dxa"/>
              <w:end w:w="120" w:type="dxa"/>
            </w:tcMar>
          </w:tcPr>
          <w:p>
            <w:pPr>
              <w:spacing w:after="0"/>
              <w:jc w:val="left"/>
            </w:pPr>
            <w:r>
              <w:rPr>
                <w:rFonts w:ascii="Times New Roman" w:hAnsi="Times New Roman"/>
                <w:b/>
                <w:sz w:val="21"/>
              </w:rPr>
              <w:t>Course</w:t>
            </w:r>
          </w:p>
        </w:tc>
        <w:tc>
          <w:tcPr>
            <w:tcW w:type="dxa" w:w="4702"/>
            <w:vAlign w:val="center"/>
            <w:tcMar>
              <w:top w:w="110" w:type="dxa"/>
              <w:start w:w="120" w:type="dxa"/>
              <w:bottom w:w="110" w:type="dxa"/>
              <w:end w:w="120" w:type="dxa"/>
            </w:tcMar>
          </w:tcPr>
          <w:p>
            <w:pPr>
              <w:spacing w:after="0"/>
              <w:jc w:val="left"/>
            </w:pPr>
            <w:r>
              <w:rPr>
                <w:rFonts w:ascii="Times New Roman" w:hAnsi="Times New Roman"/>
                <w:b w:val="0"/>
                <w:sz w:val="21"/>
              </w:rPr>
              <w:t>Information Technology Applications in Finance and Banking (NHA408E)</w:t>
            </w:r>
          </w:p>
        </w:tc>
      </w:tr>
      <w:tr>
        <w:tc>
          <w:tcPr>
            <w:tcW w:type="dxa" w:w="4702"/>
            <w:shd w:fill="D9EAF7"/>
            <w:vAlign w:val="center"/>
            <w:tcMar>
              <w:top w:w="110" w:type="dxa"/>
              <w:start w:w="120" w:type="dxa"/>
              <w:bottom w:w="110" w:type="dxa"/>
              <w:end w:w="120" w:type="dxa"/>
            </w:tcMar>
          </w:tcPr>
          <w:p>
            <w:pPr>
              <w:spacing w:after="0"/>
              <w:jc w:val="left"/>
            </w:pPr>
            <w:r>
              <w:rPr>
                <w:rFonts w:ascii="Times New Roman" w:hAnsi="Times New Roman"/>
                <w:b/>
                <w:sz w:val="21"/>
              </w:rPr>
              <w:t>Instructor</w:t>
            </w:r>
          </w:p>
        </w:tc>
        <w:tc>
          <w:tcPr>
            <w:tcW w:type="dxa" w:w="4702"/>
            <w:vAlign w:val="center"/>
            <w:tcMar>
              <w:top w:w="110" w:type="dxa"/>
              <w:start w:w="120" w:type="dxa"/>
              <w:bottom w:w="110" w:type="dxa"/>
              <w:end w:w="120" w:type="dxa"/>
            </w:tcMar>
          </w:tcPr>
          <w:p>
            <w:pPr>
              <w:spacing w:after="0"/>
              <w:jc w:val="left"/>
            </w:pPr>
            <w:r>
              <w:rPr>
                <w:rFonts w:ascii="Times New Roman" w:hAnsi="Times New Roman"/>
                <w:b w:val="0"/>
                <w:sz w:val="21"/>
              </w:rPr>
              <w:t>Phan Trần Trung Dũng</w:t>
            </w:r>
          </w:p>
        </w:tc>
      </w:tr>
    </w:tbl>
    <w:p>
      <w:pPr>
        <w:spacing w:before="640"/>
        <w:jc w:val="center"/>
      </w:pPr>
      <w:r>
        <w:rPr>
          <w:rFonts w:ascii="Times New Roman" w:hAnsi="Times New Roman"/>
          <w:sz w:val="22"/>
        </w:rPr>
        <w:t>Hanoi, October 2026</w:t>
      </w:r>
    </w:p>
    <w:p>
      <w:pPr>
        <w:sectPr>
          <w:headerReference w:type="default" r:id="rId22"/>
          <w:footerReference w:type="default" r:id="rId23"/>
          <w:footnotePr>
            <w:numRestart w:val="eachSect"/>
          </w:footnotePr>
          <w:pgSz w:w="12240" w:h="15840"/>
          <w:pgMar w:top="1134" w:right="1134" w:bottom="1134" w:left="1701" w:header="720" w:footer="720" w:gutter="0"/>
          <w:cols w:space="720"/>
          <w:titlePg/>
          <w:pgBorders w:display="firstPage" w:offsetFrom="page">
            <w:top w:val="double" w:sz="6" w:space="24" w:color="000000"/>
            <w:left w:val="double" w:sz="6" w:space="24" w:color="000000"/>
            <w:bottom w:val="double" w:sz="6" w:space="24" w:color="000000"/>
            <w:right w:val="double" w:sz="6" w:space="24" w:color="000000"/>
          </w:pgBorders>
        </w:sectPr>
      </w:pPr>
    </w:p>
    <w:p>
      <w:pPr>
        <w:pStyle w:val="ReferenceFront"/>
        <w:jc w:val="center"/>
      </w:pPr>
      <w:r>
        <w:t>ABSTRACT</w:t>
      </w:r>
    </w:p>
    <w:p>
      <w:pPr>
        <w:pStyle w:val="ReportAbstract"/>
      </w:pPr>
      <w:r>
        <w:t>This report documents my responsibility for information architecture and user experience in Finfolio 2.0. It covers the Forest/Paper design system, Vietnamese-compatible typography, multi-page navigation, native-SVG visualization, responsive layout and progressive disclosure.</w:t>
      </w:r>
    </w:p>
    <w:p>
      <w:pPr>
        <w:pStyle w:val="ReportAbstract"/>
      </w:pPr>
      <w:r>
        <w:rPr>
          <w:b/>
        </w:rPr>
        <w:t xml:space="preserve">Keywords: </w:t>
      </w:r>
      <w:r>
        <w:t>Finfolio 2.0; portfolio attribution; risk analytics; individual contribution; reproducibility.</w:t>
      </w:r>
    </w:p>
    <w:p>
      <w:pPr>
        <w:pStyle w:val="Heading2"/>
      </w:pPr>
      <w:r>
        <w:t>Verification principle</w:t>
      </w:r>
    </w:p>
    <w:p>
      <w:pPr>
        <w:pStyle w:val="ReportAbstract"/>
      </w:pPr>
      <w:r>
        <w:t>This report interprets the member's responsibilities from the G09 Individual Footprint. Each contribution is linked to an output, repository file or reproducible check. Git commit authorship is not treated as sole proof because one member may integrate files for the team.</w:t>
      </w:r>
    </w:p>
    <w:p>
      <w:pPr>
        <w:pStyle w:val="ReferenceFront"/>
        <w:jc w:val="center"/>
      </w:pPr>
      <w:r>
        <w:t>CONTENTS</w:t>
      </w:r>
    </w:p>
    <w:p>
      <w:pPr>
        <w:spacing w:after="100"/>
        <w:ind w:left="283" w:right="283"/>
        <w:tabs>
          <w:tab w:val="right" w:leader="dot" w:pos="8700"/>
        </w:tabs>
      </w:pPr>
      <w:r>
        <w:rPr>
          <w:rFonts w:ascii="Times New Roman" w:hAnsi="Times New Roman"/>
          <w:sz w:val="22"/>
        </w:rPr>
        <w:t>I. Role and accountability</w:t>
        <w:tab/>
        <w:t>3</w:t>
      </w:r>
    </w:p>
    <w:p>
      <w:pPr>
        <w:spacing w:after="100"/>
        <w:ind w:left="283" w:right="283"/>
        <w:tabs>
          <w:tab w:val="right" w:leader="dot" w:pos="8700"/>
        </w:tabs>
      </w:pPr>
      <w:r>
        <w:rPr>
          <w:rFonts w:ascii="Times New Roman" w:hAnsi="Times New Roman"/>
          <w:sz w:val="22"/>
        </w:rPr>
        <w:t>II. Distinctive contribution to Finfolio 2.0</w:t>
        <w:tab/>
        <w:t>3</w:t>
      </w:r>
    </w:p>
    <w:p>
      <w:pPr>
        <w:spacing w:after="100"/>
        <w:ind w:left="283" w:right="283"/>
        <w:tabs>
          <w:tab w:val="right" w:leader="dot" w:pos="8700"/>
        </w:tabs>
      </w:pPr>
      <w:r>
        <w:rPr>
          <w:rFonts w:ascii="Times New Roman" w:hAnsi="Times New Roman"/>
          <w:sz w:val="22"/>
        </w:rPr>
        <w:t>III. Work completed across the project</w:t>
        <w:tab/>
        <w:t>3</w:t>
      </w:r>
    </w:p>
    <w:p>
      <w:pPr>
        <w:spacing w:after="100"/>
        <w:ind w:left="283" w:right="283"/>
        <w:tabs>
          <w:tab w:val="right" w:leader="dot" w:pos="8700"/>
        </w:tabs>
      </w:pPr>
      <w:r>
        <w:rPr>
          <w:rFonts w:ascii="Times New Roman" w:hAnsi="Times New Roman"/>
          <w:sz w:val="22"/>
        </w:rPr>
        <w:t>IV. Evidence and reproducibility</w:t>
        <w:tab/>
        <w:t>4</w:t>
      </w:r>
    </w:p>
    <w:p>
      <w:pPr>
        <w:spacing w:after="100"/>
        <w:ind w:left="283" w:right="283"/>
        <w:tabs>
          <w:tab w:val="right" w:leader="dot" w:pos="8700"/>
        </w:tabs>
      </w:pPr>
      <w:r>
        <w:rPr>
          <w:rFonts w:ascii="Times New Roman" w:hAnsi="Times New Roman"/>
          <w:sz w:val="22"/>
        </w:rPr>
        <w:t>V. Weekly evidence trail</w:t>
        <w:tab/>
        <w:t>5</w:t>
      </w:r>
    </w:p>
    <w:p>
      <w:pPr>
        <w:spacing w:after="100"/>
        <w:ind w:left="283" w:right="283"/>
        <w:tabs>
          <w:tab w:val="right" w:leader="dot" w:pos="8700"/>
        </w:tabs>
      </w:pPr>
      <w:r>
        <w:rPr>
          <w:rFonts w:ascii="Times New Roman" w:hAnsi="Times New Roman"/>
          <w:sz w:val="22"/>
        </w:rPr>
        <w:t>VI. Limitations and lessons learned</w:t>
        <w:tab/>
        <w:t>5</w:t>
      </w:r>
    </w:p>
    <w:p>
      <w:pPr>
        <w:spacing w:after="100"/>
        <w:ind w:left="283" w:right="283"/>
        <w:tabs>
          <w:tab w:val="right" w:leader="dot" w:pos="8700"/>
        </w:tabs>
      </w:pPr>
      <w:r>
        <w:rPr>
          <w:rFonts w:ascii="Times New Roman" w:hAnsi="Times New Roman"/>
          <w:sz w:val="22"/>
        </w:rPr>
        <w:t>Individual declaration</w:t>
        <w:tab/>
        <w:t>6</w:t>
      </w:r>
    </w:p>
    <w:p>
      <w:r>
        <w:br w:type="page"/>
      </w:r>
    </w:p>
    <w:p>
      <w:pPr>
        <w:pStyle w:val="Heading1"/>
      </w:pPr>
      <w:r>
        <w:t>I. Role and accountability</w:t>
      </w:r>
    </w:p>
    <w:p>
      <w:r>
        <w:t>As UI/UX Designer and Information Architecture Lead, I converted complex portfolio analytics into a coherent seven-page experience. My scope covered visual hierarchy, the Forest/Paper design system, Vietnamese-compatible typography, responsive behavior, accessibility, PnL and attribution visualization, and progressive disclosure. The Monte Carlo algorithm, simulation page logic and its fan-chart implementation are assigned to Lê Bảo An and are not claimed in my footprint.</w:t>
      </w:r>
    </w:p>
    <w:p>
      <w:pPr>
        <w:pStyle w:val="Heading1"/>
      </w:pPr>
      <w:r>
        <w:t>II. Distinctive contribution to Finfolio 2.0</w:t>
      </w:r>
    </w:p>
    <w:p>
      <w:pPr>
        <w:pStyle w:val="Heading2"/>
      </w:pPr>
      <w:r>
        <w:t>2.1 Real-value PnL visualization</w:t>
      </w:r>
    </w:p>
    <w:p>
      <w:r>
        <w:t>I designed the main performance chart around actual portfolio value rather than a base-100 index. The vertical axis therefore starts from the user's invested capital and the tooltip shows date, portfolio value, benchmark value and absolute PnL. A dual-axis crosshair and edge-aware tooltip support precise inspection without covering the selected point.</w:t>
      </w:r>
    </w:p>
    <w:p>
      <w:pPr>
        <w:pStyle w:val="Heading2"/>
      </w:pPr>
      <w:r>
        <w:t>2.2 Forest/Paper design system</w:t>
      </w:r>
    </w:p>
    <w:p>
      <w:r>
        <w:t>I defined reusable color, spacing, radius and elevation tokens and selected self-hosted typefaces that support Vietnamese diacritics. The system distinguishes positive, negative and neutral analytical states without presenting color as an unsupported “good/bad” recommendation.</w:t>
      </w:r>
    </w:p>
    <w:p>
      <w:pPr>
        <w:pStyle w:val="Heading2"/>
      </w:pPr>
      <w:r>
        <w:t>2.3 Seven-page information architecture</w:t>
      </w:r>
    </w:p>
    <w:p>
      <w:r>
        <w:t>I separated portfolio input, analysis, optimization, simulation, methods and account functions rather than placing every component on one long page. Each page follows progressive disclosure: primary metrics first, then chart, evidence table and expandable methodology. This preserves continuity while reducing overload for a retail investor.</w:t>
      </w:r>
    </w:p>
    <w:p>
      <w:pPr>
        <w:pStyle w:val="Heading1"/>
      </w:pPr>
      <w:r>
        <w:t>III. Work completed across the project</w:t>
      </w:r>
    </w:p>
    <w:p>
      <w:pPr>
        <w:pStyle w:val="Heading2"/>
      </w:pPr>
      <w:r>
        <w:t>3.1 User needs and early wireframes — Weeks 1–2</w:t>
      </w:r>
    </w:p>
    <w:p>
      <w:pPr>
        <w:pStyle w:val="ListBullet"/>
        <w:ind w:left="369" w:hanging="198"/>
      </w:pPr>
      <w:r>
        <w:t>• Identified information overload as a primary usability problem.</w:t>
      </w:r>
    </w:p>
    <w:p>
      <w:pPr>
        <w:pStyle w:val="ListBullet"/>
        <w:ind w:left="369" w:hanging="198"/>
      </w:pPr>
      <w:r>
        <w:t>• Drafted the analysis layout around capital summary, performance, contribution and risk evidence.</w:t>
      </w:r>
    </w:p>
    <w:p>
      <w:pPr>
        <w:pStyle w:val="ListBullet"/>
        <w:ind w:left="369" w:hanging="198"/>
      </w:pPr>
      <w:r>
        <w:t>• Prioritized decision-relevant outputs over decorative dashboard elements.</w:t>
      </w:r>
    </w:p>
    <w:p>
      <w:pPr>
        <w:pStyle w:val="Heading2"/>
      </w:pPr>
      <w:r>
        <w:t>3.2 Output explanation pattern — Week 5</w:t>
      </w:r>
    </w:p>
    <w:p>
      <w:pPr>
        <w:pStyle w:val="ListBullet"/>
        <w:ind w:left="369" w:hanging="198"/>
      </w:pPr>
      <w:r>
        <w:t>• Defined the sequence Result → Reason → Meaning → Action → Limitation.</w:t>
      </w:r>
    </w:p>
    <w:p>
      <w:pPr>
        <w:pStyle w:val="ListBullet"/>
        <w:ind w:left="369" w:hanging="198"/>
      </w:pPr>
      <w:r>
        <w:t>• Removed unsupported controls such as “Trade now” or broker connectivity from the interface samples.</w:t>
      </w:r>
    </w:p>
    <w:p>
      <w:pPr>
        <w:pStyle w:val="ListBullet"/>
        <w:ind w:left="369" w:hanging="198"/>
      </w:pPr>
      <w:r>
        <w:t>• Established restrained color semantics for attribution and warning states.</w:t>
      </w:r>
    </w:p>
    <w:p>
      <w:pPr>
        <w:pStyle w:val="Heading2"/>
      </w:pPr>
      <w:r>
        <w:t>3.3 Design tokens and typography — Week 6</w:t>
      </w:r>
    </w:p>
    <w:p>
      <w:pPr>
        <w:pStyle w:val="ListBullet"/>
        <w:ind w:left="369" w:hanging="198"/>
      </w:pPr>
      <w:r>
        <w:t xml:space="preserve">• Implemented </w:t>
      </w:r>
      <w:r>
        <w:rPr>
          <w:rFonts w:ascii="Consolas" w:hAnsi="Consolas"/>
          <w:color w:val="464646"/>
          <w:sz w:val="18"/>
        </w:rPr>
        <w:t>tokens.css</w:t>
      </w:r>
      <w:r>
        <w:t xml:space="preserve"> for Forest/Paper colors, spacing and component geometry.</w:t>
      </w:r>
    </w:p>
    <w:p>
      <w:pPr>
        <w:pStyle w:val="ListBullet"/>
        <w:ind w:left="369" w:hanging="198"/>
      </w:pPr>
      <w:r>
        <w:t xml:space="preserve">• Implemented </w:t>
      </w:r>
      <w:r>
        <w:rPr>
          <w:rFonts w:ascii="Consolas" w:hAnsi="Consolas"/>
          <w:color w:val="464646"/>
          <w:sz w:val="18"/>
        </w:rPr>
        <w:t>typography.css</w:t>
      </w:r>
      <w:r>
        <w:t xml:space="preserve"> with self-hosted Vietnamese-compatible fonts and tabular figures.</w:t>
      </w:r>
    </w:p>
    <w:p>
      <w:pPr>
        <w:pStyle w:val="ListBullet"/>
        <w:ind w:left="369" w:hanging="198"/>
      </w:pPr>
      <w:r>
        <w:t>• Standardized headings, labels, captions and financial-number alignment.</w:t>
      </w:r>
    </w:p>
    <w:p>
      <w:pPr>
        <w:pStyle w:val="Heading2"/>
      </w:pPr>
      <w:r>
        <w:t>3.4 PnL and attribution visualization — Week 7</w:t>
      </w:r>
    </w:p>
    <w:p>
      <w:pPr>
        <w:pStyle w:val="ListBullet"/>
        <w:ind w:left="369" w:hanging="198"/>
      </w:pPr>
      <w:r>
        <w:t>• Specified native-SVG performance lines, benchmark styling and before/after optimization comparison.</w:t>
      </w:r>
    </w:p>
    <w:p>
      <w:pPr>
        <w:pStyle w:val="ListBullet"/>
        <w:ind w:left="369" w:hanging="198"/>
      </w:pPr>
      <w:r>
        <w:t>• Designed responsive tooltips and crosshair behavior.</w:t>
      </w:r>
    </w:p>
    <w:p>
      <w:pPr>
        <w:pStyle w:val="ListBullet"/>
        <w:ind w:left="369" w:hanging="198"/>
      </w:pPr>
      <w:r>
        <w:t>• Designed attribution heatmaps and grouped views that remain readable across instrument, asset class, sector and industry labels.</w:t>
      </w:r>
    </w:p>
    <w:p>
      <w:pPr>
        <w:pStyle w:val="Heading2"/>
      </w:pPr>
      <w:r>
        <w:t>3.5 Responsive and accessible interaction — Week 7</w:t>
      </w:r>
    </w:p>
    <w:p>
      <w:pPr>
        <w:pStyle w:val="ListBullet"/>
        <w:ind w:left="369" w:hanging="198"/>
      </w:pPr>
      <w:r>
        <w:t>• Defined mobile, tablet and desktop breakpoints and contained wide analytical tables.</w:t>
      </w:r>
    </w:p>
    <w:p>
      <w:pPr>
        <w:pStyle w:val="ListBullet"/>
        <w:ind w:left="369" w:hanging="198"/>
      </w:pPr>
      <w:r>
        <w:t>• Supported keyboard focus, autocomplete navigation and Escape behavior.</w:t>
      </w:r>
    </w:p>
    <w:p>
      <w:pPr>
        <w:pStyle w:val="ListBullet"/>
        <w:ind w:left="369" w:hanging="198"/>
      </w:pPr>
      <w:r>
        <w:t>• Audited contrast and ensured that chart meaning is not conveyed by color alone.</w:t>
      </w:r>
    </w:p>
    <w:p>
      <w:pPr>
        <w:pStyle w:val="Heading1"/>
      </w:pPr>
      <w:r>
        <w:t>IV. Evidence and reproducibility</w:t>
      </w:r>
    </w:p>
    <w:tbl>
      <w:tblPr>
        <w:tblW w:type="auto" w:w="0"/>
        <w:tblLayout w:type="autofit"/>
        <w:tblLook w:firstColumn="1" w:firstRow="1" w:lastColumn="0" w:lastRow="0" w:noHBand="0" w:noVBand="1" w:val="04A0"/>
        <w:jc w:val="center"/>
        <w:tblBorders>
          <w:top w:val="single" w:sz="4" w:space="0" w:color="B8C7D1"/>
          <w:left w:val="single" w:sz="4" w:space="0" w:color="B8C7D1"/>
          <w:bottom w:val="single" w:sz="4" w:space="0" w:color="B8C7D1"/>
          <w:right w:val="single" w:sz="4" w:space="0" w:color="B8C7D1"/>
          <w:insideH w:val="single" w:sz="4" w:space="0" w:color="B8C7D1"/>
          <w:insideV w:val="single" w:sz="4" w:space="0" w:color="B8C7D1"/>
        </w:tblBorders>
      </w:tblPr>
      <w:tblGrid>
        <w:gridCol w:w="2309"/>
        <w:gridCol w:w="2309"/>
        <w:gridCol w:w="2309"/>
        <w:gridCol w:w="2309"/>
      </w:tblGrid>
      <w:tr>
        <w:trPr>
          <w:tblHeader w:val="true"/>
          <w:cantSplit/>
        </w:trPr>
        <w:tc>
          <w:tcPr>
            <w:tcW w:type="dxa" w:w="2309"/>
            <w:tcMar>
              <w:top w:w="65" w:type="dxa"/>
              <w:start w:w="75" w:type="dxa"/>
              <w:bottom w:w="65" w:type="dxa"/>
              <w:end w:w="75" w:type="dxa"/>
            </w:tcMar>
            <w:vAlign w:val="center"/>
            <w:shd w:fill="1F4E79"/>
          </w:tcPr>
          <w:p>
            <w:pPr>
              <w:spacing w:after="0"/>
              <w:jc w:val="left"/>
            </w:pPr>
            <w:r>
              <w:rPr>
                <w:rFonts w:ascii="Times New Roman" w:hAnsi="Times New Roman"/>
                <w:b/>
                <w:color w:val="FFFFFF"/>
                <w:sz w:val="15"/>
              </w:rPr>
            </w:r>
            <w:r>
              <w:rPr>
                <w:rFonts w:ascii="Times New Roman" w:hAnsi="Times New Roman"/>
                <w:b/>
                <w:color w:val="FFFFFF"/>
                <w:sz w:val="15"/>
              </w:rPr>
              <w:t>Deliverable</w:t>
            </w:r>
          </w:p>
        </w:tc>
        <w:tc>
          <w:tcPr>
            <w:tcW w:type="dxa" w:w="2309"/>
            <w:tcMar>
              <w:top w:w="65" w:type="dxa"/>
              <w:start w:w="75" w:type="dxa"/>
              <w:bottom w:w="65" w:type="dxa"/>
              <w:end w:w="75" w:type="dxa"/>
            </w:tcMar>
            <w:vAlign w:val="center"/>
            <w:shd w:fill="1F4E79"/>
          </w:tcPr>
          <w:p>
            <w:pPr>
              <w:spacing w:after="0"/>
              <w:jc w:val="left"/>
            </w:pPr>
            <w:r>
              <w:rPr>
                <w:rFonts w:ascii="Times New Roman" w:hAnsi="Times New Roman"/>
                <w:b/>
                <w:color w:val="FFFFFF"/>
                <w:sz w:val="15"/>
              </w:rPr>
            </w:r>
            <w:r>
              <w:rPr>
                <w:rFonts w:ascii="Times New Roman" w:hAnsi="Times New Roman"/>
                <w:b/>
                <w:color w:val="FFFFFF"/>
                <w:sz w:val="15"/>
              </w:rPr>
              <w:t>Actual contribution</w:t>
            </w:r>
          </w:p>
        </w:tc>
        <w:tc>
          <w:tcPr>
            <w:tcW w:type="dxa" w:w="2309"/>
            <w:tcMar>
              <w:top w:w="65" w:type="dxa"/>
              <w:start w:w="75" w:type="dxa"/>
              <w:bottom w:w="65" w:type="dxa"/>
              <w:end w:w="75" w:type="dxa"/>
            </w:tcMar>
            <w:vAlign w:val="center"/>
            <w:shd w:fill="1F4E79"/>
          </w:tcPr>
          <w:p>
            <w:pPr>
              <w:spacing w:after="0"/>
              <w:jc w:val="left"/>
            </w:pPr>
            <w:r>
              <w:rPr>
                <w:rFonts w:ascii="Times New Roman" w:hAnsi="Times New Roman"/>
                <w:b/>
                <w:color w:val="FFFFFF"/>
                <w:sz w:val="15"/>
              </w:rPr>
            </w:r>
            <w:r>
              <w:rPr>
                <w:rFonts w:ascii="Times New Roman" w:hAnsi="Times New Roman"/>
                <w:b/>
                <w:color w:val="FFFFFF"/>
                <w:sz w:val="15"/>
              </w:rPr>
              <w:t>Repository evidence</w:t>
            </w:r>
          </w:p>
        </w:tc>
        <w:tc>
          <w:tcPr>
            <w:tcW w:type="dxa" w:w="2309"/>
            <w:tcMar>
              <w:top w:w="65" w:type="dxa"/>
              <w:start w:w="75" w:type="dxa"/>
              <w:bottom w:w="65" w:type="dxa"/>
              <w:end w:w="75" w:type="dxa"/>
            </w:tcMar>
            <w:vAlign w:val="center"/>
            <w:shd w:fill="1F4E79"/>
          </w:tcPr>
          <w:p>
            <w:pPr>
              <w:spacing w:after="0"/>
              <w:jc w:val="left"/>
            </w:pPr>
            <w:r>
              <w:rPr>
                <w:rFonts w:ascii="Times New Roman" w:hAnsi="Times New Roman"/>
                <w:b/>
                <w:color w:val="FFFFFF"/>
                <w:sz w:val="15"/>
              </w:rPr>
            </w:r>
            <w:r>
              <w:rPr>
                <w:rFonts w:ascii="Times New Roman" w:hAnsi="Times New Roman"/>
                <w:b/>
                <w:color w:val="FFFFFF"/>
                <w:sz w:val="15"/>
              </w:rPr>
              <w:t>How to reproduce or explain it</w:t>
            </w:r>
          </w:p>
        </w:tc>
      </w:tr>
      <w:tr>
        <w:trPr>
          <w:cantSplit/>
        </w:trPr>
        <w:tc>
          <w:tcPr>
            <w:tcW w:type="dxa" w:w="2309"/>
            <w:tcMar>
              <w:top w:w="65" w:type="dxa"/>
              <w:start w:w="75" w:type="dxa"/>
              <w:bottom w:w="65" w:type="dxa"/>
              <w:end w:w="75" w:type="dxa"/>
            </w:tcMar>
            <w:vAlign w:val="center"/>
          </w:tcPr>
          <w:p>
            <w:pPr>
              <w:spacing w:after="0"/>
              <w:jc w:val="left"/>
            </w:pPr>
            <w:r>
              <w:rPr>
                <w:rFonts w:ascii="Times New Roman" w:hAnsi="Times New Roman"/>
                <w:sz w:val="15"/>
              </w:rPr>
            </w:r>
            <w:r>
              <w:rPr>
                <w:rFonts w:ascii="Times New Roman" w:hAnsi="Times New Roman"/>
                <w:sz w:val="15"/>
              </w:rPr>
              <w:t>Design tokens</w:t>
            </w:r>
          </w:p>
        </w:tc>
        <w:tc>
          <w:tcPr>
            <w:tcW w:type="dxa" w:w="2309"/>
            <w:tcMar>
              <w:top w:w="65" w:type="dxa"/>
              <w:start w:w="75" w:type="dxa"/>
              <w:bottom w:w="65" w:type="dxa"/>
              <w:end w:w="75" w:type="dxa"/>
            </w:tcMar>
            <w:vAlign w:val="center"/>
          </w:tcPr>
          <w:p>
            <w:pPr>
              <w:spacing w:after="0"/>
              <w:jc w:val="left"/>
            </w:pPr>
            <w:r>
              <w:rPr>
                <w:rFonts w:ascii="Times New Roman" w:hAnsi="Times New Roman"/>
                <w:sz w:val="15"/>
              </w:rPr>
            </w:r>
            <w:r>
              <w:rPr>
                <w:rFonts w:ascii="Times New Roman" w:hAnsi="Times New Roman"/>
                <w:sz w:val="15"/>
              </w:rPr>
              <w:t>Forest/Paper palette, spacing, radius and elevation</w:t>
            </w:r>
          </w:p>
        </w:tc>
        <w:tc>
          <w:tcPr>
            <w:tcW w:type="dxa" w:w="2309"/>
            <w:tcMar>
              <w:top w:w="65" w:type="dxa"/>
              <w:start w:w="75" w:type="dxa"/>
              <w:bottom w:w="65" w:type="dxa"/>
              <w:end w:w="75" w:type="dxa"/>
            </w:tcMar>
            <w:vAlign w:val="center"/>
          </w:tcPr>
          <w:p>
            <w:pPr>
              <w:spacing w:after="0"/>
              <w:jc w:val="left"/>
            </w:pPr>
            <w:r>
              <w:rPr>
                <w:rFonts w:ascii="Times New Roman" w:hAnsi="Times New Roman"/>
                <w:sz w:val="15"/>
              </w:rPr>
            </w:r>
            <w:r>
              <w:rPr>
                <w:rFonts w:ascii="Times New Roman" w:hAnsi="Times New Roman"/>
                <w:color w:val="464646"/>
                <w:sz w:val="15"/>
              </w:rPr>
              <w:t>demo/tokens.css</w:t>
            </w:r>
          </w:p>
        </w:tc>
        <w:tc>
          <w:tcPr>
            <w:tcW w:type="dxa" w:w="2309"/>
            <w:tcMar>
              <w:top w:w="65" w:type="dxa"/>
              <w:start w:w="75" w:type="dxa"/>
              <w:bottom w:w="65" w:type="dxa"/>
              <w:end w:w="75" w:type="dxa"/>
            </w:tcMar>
            <w:vAlign w:val="center"/>
          </w:tcPr>
          <w:p>
            <w:pPr>
              <w:spacing w:after="0"/>
              <w:jc w:val="left"/>
            </w:pPr>
            <w:r>
              <w:rPr>
                <w:rFonts w:ascii="Times New Roman" w:hAnsi="Times New Roman"/>
                <w:sz w:val="15"/>
              </w:rPr>
            </w:r>
            <w:r>
              <w:rPr>
                <w:rFonts w:ascii="Times New Roman" w:hAnsi="Times New Roman"/>
                <w:sz w:val="15"/>
              </w:rPr>
              <w:t>Inspect CSS custom properties in browser DevTools</w:t>
            </w:r>
          </w:p>
        </w:tc>
      </w:tr>
      <w:tr>
        <w:trPr>
          <w:cantSplit/>
        </w:trPr>
        <w:tc>
          <w:tcPr>
            <w:tcW w:type="dxa" w:w="2309"/>
            <w:tcMar>
              <w:top w:w="65" w:type="dxa"/>
              <w:start w:w="75" w:type="dxa"/>
              <w:bottom w:w="65" w:type="dxa"/>
              <w:end w:w="75" w:type="dxa"/>
            </w:tcMar>
            <w:vAlign w:val="center"/>
            <w:shd w:fill="EEF5FA"/>
          </w:tcPr>
          <w:p>
            <w:pPr>
              <w:spacing w:after="0"/>
              <w:jc w:val="left"/>
            </w:pPr>
            <w:r>
              <w:rPr>
                <w:rFonts w:ascii="Times New Roman" w:hAnsi="Times New Roman"/>
                <w:sz w:val="15"/>
              </w:rPr>
            </w:r>
            <w:r>
              <w:rPr>
                <w:rFonts w:ascii="Times New Roman" w:hAnsi="Times New Roman"/>
                <w:sz w:val="15"/>
              </w:rPr>
              <w:t>Typography</w:t>
            </w:r>
          </w:p>
        </w:tc>
        <w:tc>
          <w:tcPr>
            <w:tcW w:type="dxa" w:w="2309"/>
            <w:tcMar>
              <w:top w:w="65" w:type="dxa"/>
              <w:start w:w="75" w:type="dxa"/>
              <w:bottom w:w="65" w:type="dxa"/>
              <w:end w:w="75" w:type="dxa"/>
            </w:tcMar>
            <w:vAlign w:val="center"/>
            <w:shd w:fill="EEF5FA"/>
          </w:tcPr>
          <w:p>
            <w:pPr>
              <w:spacing w:after="0"/>
              <w:jc w:val="left"/>
            </w:pPr>
            <w:r>
              <w:rPr>
                <w:rFonts w:ascii="Times New Roman" w:hAnsi="Times New Roman"/>
                <w:sz w:val="15"/>
              </w:rPr>
            </w:r>
            <w:r>
              <w:rPr>
                <w:rFonts w:ascii="Times New Roman" w:hAnsi="Times New Roman"/>
                <w:sz w:val="15"/>
              </w:rPr>
              <w:t>Vietnamese-compatible self-hosted hierarchy and tabular figures</w:t>
            </w:r>
          </w:p>
        </w:tc>
        <w:tc>
          <w:tcPr>
            <w:tcW w:type="dxa" w:w="2309"/>
            <w:tcMar>
              <w:top w:w="65" w:type="dxa"/>
              <w:start w:w="75" w:type="dxa"/>
              <w:bottom w:w="65" w:type="dxa"/>
              <w:end w:w="75" w:type="dxa"/>
            </w:tcMar>
            <w:vAlign w:val="center"/>
            <w:shd w:fill="EEF5FA"/>
          </w:tcPr>
          <w:p>
            <w:pPr>
              <w:spacing w:after="0"/>
              <w:jc w:val="left"/>
            </w:pPr>
            <w:r>
              <w:rPr>
                <w:rFonts w:ascii="Times New Roman" w:hAnsi="Times New Roman"/>
                <w:sz w:val="15"/>
              </w:rPr>
            </w:r>
            <w:r>
              <w:rPr>
                <w:rFonts w:ascii="Times New Roman" w:hAnsi="Times New Roman"/>
                <w:color w:val="464646"/>
                <w:sz w:val="15"/>
              </w:rPr>
              <w:t>demo/typography.css</w:t>
            </w:r>
          </w:p>
        </w:tc>
        <w:tc>
          <w:tcPr>
            <w:tcW w:type="dxa" w:w="2309"/>
            <w:tcMar>
              <w:top w:w="65" w:type="dxa"/>
              <w:start w:w="75" w:type="dxa"/>
              <w:bottom w:w="65" w:type="dxa"/>
              <w:end w:w="75" w:type="dxa"/>
            </w:tcMar>
            <w:vAlign w:val="center"/>
            <w:shd w:fill="EEF5FA"/>
          </w:tcPr>
          <w:p>
            <w:pPr>
              <w:spacing w:after="0"/>
              <w:jc w:val="left"/>
            </w:pPr>
            <w:r>
              <w:rPr>
                <w:rFonts w:ascii="Times New Roman" w:hAnsi="Times New Roman"/>
                <w:sz w:val="15"/>
              </w:rPr>
            </w:r>
            <w:r>
              <w:rPr>
                <w:rFonts w:ascii="Times New Roman" w:hAnsi="Times New Roman"/>
                <w:sz w:val="15"/>
              </w:rPr>
              <w:t>Run typography checks and inspect diacritics</w:t>
            </w:r>
          </w:p>
        </w:tc>
      </w:tr>
      <w:tr>
        <w:trPr>
          <w:cantSplit/>
        </w:trPr>
        <w:tc>
          <w:tcPr>
            <w:tcW w:type="dxa" w:w="2309"/>
            <w:tcMar>
              <w:top w:w="65" w:type="dxa"/>
              <w:start w:w="75" w:type="dxa"/>
              <w:bottom w:w="65" w:type="dxa"/>
              <w:end w:w="75" w:type="dxa"/>
            </w:tcMar>
            <w:vAlign w:val="center"/>
          </w:tcPr>
          <w:p>
            <w:pPr>
              <w:spacing w:after="0"/>
              <w:jc w:val="left"/>
            </w:pPr>
            <w:r>
              <w:rPr>
                <w:rFonts w:ascii="Times New Roman" w:hAnsi="Times New Roman"/>
                <w:sz w:val="15"/>
              </w:rPr>
            </w:r>
            <w:r>
              <w:rPr>
                <w:rFonts w:ascii="Times New Roman" w:hAnsi="Times New Roman"/>
                <w:sz w:val="15"/>
              </w:rPr>
              <w:t>Interface structure</w:t>
            </w:r>
          </w:p>
        </w:tc>
        <w:tc>
          <w:tcPr>
            <w:tcW w:type="dxa" w:w="2309"/>
            <w:tcMar>
              <w:top w:w="65" w:type="dxa"/>
              <w:start w:w="75" w:type="dxa"/>
              <w:bottom w:w="65" w:type="dxa"/>
              <w:end w:w="75" w:type="dxa"/>
            </w:tcMar>
            <w:vAlign w:val="center"/>
          </w:tcPr>
          <w:p>
            <w:pPr>
              <w:spacing w:after="0"/>
              <w:jc w:val="left"/>
            </w:pPr>
            <w:r>
              <w:rPr>
                <w:rFonts w:ascii="Times New Roman" w:hAnsi="Times New Roman"/>
                <w:sz w:val="15"/>
              </w:rPr>
            </w:r>
            <w:r>
              <w:rPr>
                <w:rFonts w:ascii="Times New Roman" w:hAnsi="Times New Roman"/>
                <w:sz w:val="15"/>
              </w:rPr>
              <w:t>Seven-page visual and information hierarchy</w:t>
            </w:r>
          </w:p>
        </w:tc>
        <w:tc>
          <w:tcPr>
            <w:tcW w:type="dxa" w:w="2309"/>
            <w:tcMar>
              <w:top w:w="65" w:type="dxa"/>
              <w:start w:w="75" w:type="dxa"/>
              <w:bottom w:w="65" w:type="dxa"/>
              <w:end w:w="75" w:type="dxa"/>
            </w:tcMar>
            <w:vAlign w:val="center"/>
          </w:tcPr>
          <w:p>
            <w:pPr>
              <w:spacing w:after="0"/>
              <w:jc w:val="left"/>
            </w:pPr>
            <w:r>
              <w:rPr>
                <w:rFonts w:ascii="Times New Roman" w:hAnsi="Times New Roman"/>
                <w:sz w:val="15"/>
              </w:rPr>
            </w:r>
            <w:r>
              <w:rPr>
                <w:rFonts w:ascii="Times New Roman" w:hAnsi="Times New Roman"/>
                <w:color w:val="464646"/>
                <w:sz w:val="15"/>
              </w:rPr>
              <w:t>demo/index.html</w:t>
            </w:r>
            <w:r>
              <w:rPr>
                <w:rFonts w:ascii="Times New Roman" w:hAnsi="Times New Roman"/>
                <w:sz w:val="15"/>
              </w:rPr>
              <w:t xml:space="preserve">, </w:t>
            </w:r>
            <w:r>
              <w:rPr>
                <w:rFonts w:ascii="Times New Roman" w:hAnsi="Times New Roman"/>
                <w:color w:val="464646"/>
                <w:sz w:val="15"/>
              </w:rPr>
              <w:t>demo/navigation.mjs</w:t>
            </w:r>
          </w:p>
        </w:tc>
        <w:tc>
          <w:tcPr>
            <w:tcW w:type="dxa" w:w="2309"/>
            <w:tcMar>
              <w:top w:w="65" w:type="dxa"/>
              <w:start w:w="75" w:type="dxa"/>
              <w:bottom w:w="65" w:type="dxa"/>
              <w:end w:w="75" w:type="dxa"/>
            </w:tcMar>
            <w:vAlign w:val="center"/>
          </w:tcPr>
          <w:p>
            <w:pPr>
              <w:spacing w:after="0"/>
              <w:jc w:val="left"/>
            </w:pPr>
            <w:r>
              <w:rPr>
                <w:rFonts w:ascii="Times New Roman" w:hAnsi="Times New Roman"/>
                <w:sz w:val="15"/>
              </w:rPr>
            </w:r>
            <w:r>
              <w:rPr>
                <w:rFonts w:ascii="Times New Roman" w:hAnsi="Times New Roman"/>
                <w:sz w:val="15"/>
              </w:rPr>
              <w:t>Navigate all production routes on desktop and mobile</w:t>
            </w:r>
          </w:p>
        </w:tc>
      </w:tr>
      <w:tr>
        <w:trPr>
          <w:cantSplit/>
        </w:trPr>
        <w:tc>
          <w:tcPr>
            <w:tcW w:type="dxa" w:w="2309"/>
            <w:tcMar>
              <w:top w:w="65" w:type="dxa"/>
              <w:start w:w="75" w:type="dxa"/>
              <w:bottom w:w="65" w:type="dxa"/>
              <w:end w:w="75" w:type="dxa"/>
            </w:tcMar>
            <w:vAlign w:val="center"/>
            <w:shd w:fill="EEF5FA"/>
          </w:tcPr>
          <w:p>
            <w:pPr>
              <w:spacing w:after="0"/>
              <w:jc w:val="left"/>
            </w:pPr>
            <w:r>
              <w:rPr>
                <w:rFonts w:ascii="Times New Roman" w:hAnsi="Times New Roman"/>
                <w:sz w:val="15"/>
              </w:rPr>
            </w:r>
            <w:r>
              <w:rPr>
                <w:rFonts w:ascii="Times New Roman" w:hAnsi="Times New Roman"/>
                <w:sz w:val="15"/>
              </w:rPr>
              <w:t>PnL visualization</w:t>
            </w:r>
          </w:p>
        </w:tc>
        <w:tc>
          <w:tcPr>
            <w:tcW w:type="dxa" w:w="2309"/>
            <w:tcMar>
              <w:top w:w="65" w:type="dxa"/>
              <w:start w:w="75" w:type="dxa"/>
              <w:bottom w:w="65" w:type="dxa"/>
              <w:end w:w="75" w:type="dxa"/>
            </w:tcMar>
            <w:vAlign w:val="center"/>
            <w:shd w:fill="EEF5FA"/>
          </w:tcPr>
          <w:p>
            <w:pPr>
              <w:spacing w:after="0"/>
              <w:jc w:val="left"/>
            </w:pPr>
            <w:r>
              <w:rPr>
                <w:rFonts w:ascii="Times New Roman" w:hAnsi="Times New Roman"/>
                <w:sz w:val="15"/>
              </w:rPr>
            </w:r>
            <w:r>
              <w:rPr>
                <w:rFonts w:ascii="Times New Roman" w:hAnsi="Times New Roman"/>
                <w:sz w:val="15"/>
              </w:rPr>
              <w:t>Actual-value axis, crosshair, tooltip and benchmark styling</w:t>
            </w:r>
          </w:p>
        </w:tc>
        <w:tc>
          <w:tcPr>
            <w:tcW w:type="dxa" w:w="2309"/>
            <w:tcMar>
              <w:top w:w="65" w:type="dxa"/>
              <w:start w:w="75" w:type="dxa"/>
              <w:bottom w:w="65" w:type="dxa"/>
              <w:end w:w="75" w:type="dxa"/>
            </w:tcMar>
            <w:vAlign w:val="center"/>
            <w:shd w:fill="EEF5FA"/>
          </w:tcPr>
          <w:p>
            <w:pPr>
              <w:spacing w:after="0"/>
              <w:jc w:val="left"/>
            </w:pPr>
            <w:r>
              <w:rPr>
                <w:rFonts w:ascii="Times New Roman" w:hAnsi="Times New Roman"/>
                <w:sz w:val="15"/>
              </w:rPr>
            </w:r>
            <w:r>
              <w:rPr>
                <w:rFonts w:ascii="Times New Roman" w:hAnsi="Times New Roman"/>
                <w:color w:val="464646"/>
                <w:sz w:val="15"/>
              </w:rPr>
              <w:t>demo/chart-utils.mjs</w:t>
            </w:r>
          </w:p>
        </w:tc>
        <w:tc>
          <w:tcPr>
            <w:tcW w:type="dxa" w:w="2309"/>
            <w:tcMar>
              <w:top w:w="65" w:type="dxa"/>
              <w:start w:w="75" w:type="dxa"/>
              <w:bottom w:w="65" w:type="dxa"/>
              <w:end w:w="75" w:type="dxa"/>
            </w:tcMar>
            <w:vAlign w:val="center"/>
            <w:shd w:fill="EEF5FA"/>
          </w:tcPr>
          <w:p>
            <w:pPr>
              <w:spacing w:after="0"/>
              <w:jc w:val="left"/>
            </w:pPr>
            <w:r>
              <w:rPr>
                <w:rFonts w:ascii="Times New Roman" w:hAnsi="Times New Roman"/>
                <w:sz w:val="15"/>
              </w:rPr>
            </w:r>
            <w:r>
              <w:rPr>
                <w:rFonts w:ascii="Times New Roman" w:hAnsi="Times New Roman"/>
                <w:sz w:val="15"/>
              </w:rPr>
              <w:t>Inspect any point and verify date/value display</w:t>
            </w:r>
          </w:p>
        </w:tc>
      </w:tr>
      <w:tr>
        <w:trPr>
          <w:cantSplit/>
        </w:trPr>
        <w:tc>
          <w:tcPr>
            <w:tcW w:type="dxa" w:w="2309"/>
            <w:tcMar>
              <w:top w:w="65" w:type="dxa"/>
              <w:start w:w="75" w:type="dxa"/>
              <w:bottom w:w="65" w:type="dxa"/>
              <w:end w:w="75" w:type="dxa"/>
            </w:tcMar>
            <w:vAlign w:val="center"/>
          </w:tcPr>
          <w:p>
            <w:pPr>
              <w:spacing w:after="0"/>
              <w:jc w:val="left"/>
            </w:pPr>
            <w:r>
              <w:rPr>
                <w:rFonts w:ascii="Times New Roman" w:hAnsi="Times New Roman"/>
                <w:sz w:val="15"/>
              </w:rPr>
            </w:r>
            <w:r>
              <w:rPr>
                <w:rFonts w:ascii="Times New Roman" w:hAnsi="Times New Roman"/>
                <w:sz w:val="15"/>
              </w:rPr>
              <w:t>Responsive layout</w:t>
            </w:r>
          </w:p>
        </w:tc>
        <w:tc>
          <w:tcPr>
            <w:tcW w:type="dxa" w:w="2309"/>
            <w:tcMar>
              <w:top w:w="65" w:type="dxa"/>
              <w:start w:w="75" w:type="dxa"/>
              <w:bottom w:w="65" w:type="dxa"/>
              <w:end w:w="75" w:type="dxa"/>
            </w:tcMar>
            <w:vAlign w:val="center"/>
          </w:tcPr>
          <w:p>
            <w:pPr>
              <w:spacing w:after="0"/>
              <w:jc w:val="left"/>
            </w:pPr>
            <w:r>
              <w:rPr>
                <w:rFonts w:ascii="Times New Roman" w:hAnsi="Times New Roman"/>
                <w:sz w:val="15"/>
              </w:rPr>
            </w:r>
            <w:r>
              <w:rPr>
                <w:rFonts w:ascii="Times New Roman" w:hAnsi="Times New Roman"/>
                <w:sz w:val="15"/>
              </w:rPr>
              <w:t>Mobile tables, labels and page-level composition</w:t>
            </w:r>
          </w:p>
        </w:tc>
        <w:tc>
          <w:tcPr>
            <w:tcW w:type="dxa" w:w="2309"/>
            <w:tcMar>
              <w:top w:w="65" w:type="dxa"/>
              <w:start w:w="75" w:type="dxa"/>
              <w:bottom w:w="65" w:type="dxa"/>
              <w:end w:w="75" w:type="dxa"/>
            </w:tcMar>
            <w:vAlign w:val="center"/>
          </w:tcPr>
          <w:p>
            <w:pPr>
              <w:spacing w:after="0"/>
              <w:jc w:val="left"/>
            </w:pPr>
            <w:r>
              <w:rPr>
                <w:rFonts w:ascii="Times New Roman" w:hAnsi="Times New Roman"/>
                <w:sz w:val="15"/>
              </w:rPr>
            </w:r>
            <w:r>
              <w:rPr>
                <w:rFonts w:ascii="Times New Roman" w:hAnsi="Times New Roman"/>
                <w:color w:val="464646"/>
                <w:sz w:val="15"/>
              </w:rPr>
              <w:t>demo/redesign.css</w:t>
            </w:r>
            <w:r>
              <w:rPr>
                <w:rFonts w:ascii="Times New Roman" w:hAnsi="Times New Roman"/>
                <w:sz w:val="15"/>
              </w:rPr>
              <w:t xml:space="preserve">, </w:t>
            </w:r>
            <w:r>
              <w:rPr>
                <w:rFonts w:ascii="Times New Roman" w:hAnsi="Times New Roman"/>
                <w:color w:val="464646"/>
                <w:sz w:val="15"/>
              </w:rPr>
              <w:t>demo/product.css</w:t>
            </w:r>
          </w:p>
        </w:tc>
        <w:tc>
          <w:tcPr>
            <w:tcW w:type="dxa" w:w="2309"/>
            <w:tcMar>
              <w:top w:w="65" w:type="dxa"/>
              <w:start w:w="75" w:type="dxa"/>
              <w:bottom w:w="65" w:type="dxa"/>
              <w:end w:w="75" w:type="dxa"/>
            </w:tcMar>
            <w:vAlign w:val="center"/>
          </w:tcPr>
          <w:p>
            <w:pPr>
              <w:spacing w:after="0"/>
              <w:jc w:val="left"/>
            </w:pPr>
            <w:r>
              <w:rPr>
                <w:rFonts w:ascii="Times New Roman" w:hAnsi="Times New Roman"/>
                <w:sz w:val="15"/>
              </w:rPr>
            </w:r>
            <w:r>
              <w:rPr>
                <w:rFonts w:ascii="Times New Roman" w:hAnsi="Times New Roman"/>
                <w:sz w:val="15"/>
              </w:rPr>
              <w:t>Check 375 px, 768 px and 1440 px viewports</w:t>
            </w:r>
          </w:p>
        </w:tc>
      </w:tr>
    </w:tbl>
    <w:p>
      <w:pPr>
        <w:spacing w:after="20"/>
      </w:pPr>
    </w:p>
    <w:p>
      <w:pPr>
        <w:pStyle w:val="Heading1"/>
      </w:pPr>
      <w:r>
        <w:t>V. Weekly evidence trail</w:t>
      </w:r>
    </w:p>
    <w:tbl>
      <w:tblPr>
        <w:tblW w:type="auto" w:w="0"/>
        <w:tblLayout w:type="autofit"/>
        <w:tblLook w:firstColumn="1" w:firstRow="1" w:lastColumn="0" w:lastRow="0" w:noHBand="0" w:noVBand="1" w:val="04A0"/>
        <w:jc w:val="center"/>
        <w:tblBorders>
          <w:top w:val="single" w:sz="4" w:space="0" w:color="B8C7D1"/>
          <w:left w:val="single" w:sz="4" w:space="0" w:color="B8C7D1"/>
          <w:bottom w:val="single" w:sz="4" w:space="0" w:color="B8C7D1"/>
          <w:right w:val="single" w:sz="4" w:space="0" w:color="B8C7D1"/>
          <w:insideH w:val="single" w:sz="4" w:space="0" w:color="B8C7D1"/>
          <w:insideV w:val="single" w:sz="4" w:space="0" w:color="B8C7D1"/>
        </w:tblBorders>
      </w:tblPr>
      <w:tblGrid>
        <w:gridCol w:w="3079"/>
        <w:gridCol w:w="3079"/>
        <w:gridCol w:w="3079"/>
      </w:tblGrid>
      <w:tr>
        <w:trPr>
          <w:tblHeader w:val="true"/>
          <w:cantSplit/>
        </w:trPr>
        <w:tc>
          <w:tcPr>
            <w:tcW w:type="dxa" w:w="3079"/>
            <w:tcMar>
              <w:top w:w="65" w:type="dxa"/>
              <w:start w:w="75" w:type="dxa"/>
              <w:bottom w:w="65" w:type="dxa"/>
              <w:end w:w="75" w:type="dxa"/>
            </w:tcMar>
            <w:vAlign w:val="center"/>
            <w:shd w:fill="1F4E79"/>
          </w:tcPr>
          <w:p>
            <w:pPr>
              <w:spacing w:after="0"/>
              <w:jc w:val="left"/>
            </w:pPr>
            <w:r>
              <w:rPr>
                <w:rFonts w:ascii="Times New Roman" w:hAnsi="Times New Roman"/>
                <w:b/>
                <w:color w:val="FFFFFF"/>
                <w:sz w:val="17"/>
              </w:rPr>
            </w:r>
            <w:r>
              <w:rPr>
                <w:rFonts w:ascii="Times New Roman" w:hAnsi="Times New Roman"/>
                <w:b/>
                <w:color w:val="FFFFFF"/>
                <w:sz w:val="17"/>
              </w:rPr>
              <w:t>Week</w:t>
            </w:r>
          </w:p>
        </w:tc>
        <w:tc>
          <w:tcPr>
            <w:tcW w:type="dxa" w:w="3079"/>
            <w:tcMar>
              <w:top w:w="65" w:type="dxa"/>
              <w:start w:w="75" w:type="dxa"/>
              <w:bottom w:w="65" w:type="dxa"/>
              <w:end w:w="75" w:type="dxa"/>
            </w:tcMar>
            <w:vAlign w:val="center"/>
            <w:shd w:fill="1F4E79"/>
          </w:tcPr>
          <w:p>
            <w:pPr>
              <w:spacing w:after="0"/>
              <w:jc w:val="left"/>
            </w:pPr>
            <w:r>
              <w:rPr>
                <w:rFonts w:ascii="Times New Roman" w:hAnsi="Times New Roman"/>
                <w:b/>
                <w:color w:val="FFFFFF"/>
                <w:sz w:val="17"/>
              </w:rPr>
            </w:r>
            <w:r>
              <w:rPr>
                <w:rFonts w:ascii="Times New Roman" w:hAnsi="Times New Roman"/>
                <w:b/>
                <w:color w:val="FFFFFF"/>
                <w:sz w:val="17"/>
              </w:rPr>
              <w:t>Verified output</w:t>
            </w:r>
          </w:p>
        </w:tc>
        <w:tc>
          <w:tcPr>
            <w:tcW w:type="dxa" w:w="3079"/>
            <w:tcMar>
              <w:top w:w="65" w:type="dxa"/>
              <w:start w:w="75" w:type="dxa"/>
              <w:bottom w:w="65" w:type="dxa"/>
              <w:end w:w="75" w:type="dxa"/>
            </w:tcMar>
            <w:vAlign w:val="center"/>
            <w:shd w:fill="1F4E79"/>
          </w:tcPr>
          <w:p>
            <w:pPr>
              <w:spacing w:after="0"/>
              <w:jc w:val="left"/>
            </w:pPr>
            <w:r>
              <w:rPr>
                <w:rFonts w:ascii="Times New Roman" w:hAnsi="Times New Roman"/>
                <w:b/>
                <w:color w:val="FFFFFF"/>
                <w:sz w:val="17"/>
              </w:rPr>
            </w:r>
            <w:r>
              <w:rPr>
                <w:rFonts w:ascii="Times New Roman" w:hAnsi="Times New Roman"/>
                <w:b/>
                <w:color w:val="FFFFFF"/>
                <w:sz w:val="17"/>
              </w:rPr>
              <w:t>Personal significance</w:t>
            </w:r>
          </w:p>
        </w:tc>
      </w:tr>
      <w:tr>
        <w:trPr>
          <w:cantSplit/>
        </w:trPr>
        <w:tc>
          <w:tcPr>
            <w:tcW w:type="dxa" w:w="3079"/>
            <w:tcMar>
              <w:top w:w="65" w:type="dxa"/>
              <w:start w:w="75" w:type="dxa"/>
              <w:bottom w:w="65" w:type="dxa"/>
              <w:end w:w="75" w:type="dxa"/>
            </w:tcMar>
            <w:vAlign w:val="center"/>
          </w:tcPr>
          <w:p>
            <w:pPr>
              <w:spacing w:after="0"/>
              <w:jc w:val="left"/>
            </w:pPr>
            <w:r>
              <w:rPr>
                <w:rFonts w:ascii="Times New Roman" w:hAnsi="Times New Roman"/>
                <w:sz w:val="17"/>
              </w:rPr>
            </w:r>
            <w:r>
              <w:rPr>
                <w:rFonts w:ascii="Times New Roman" w:hAnsi="Times New Roman"/>
                <w:sz w:val="17"/>
              </w:rPr>
              <w:t>W1</w:t>
            </w:r>
          </w:p>
        </w:tc>
        <w:tc>
          <w:tcPr>
            <w:tcW w:type="dxa" w:w="3079"/>
            <w:tcMar>
              <w:top w:w="65" w:type="dxa"/>
              <w:start w:w="75" w:type="dxa"/>
              <w:bottom w:w="65" w:type="dxa"/>
              <w:end w:w="75" w:type="dxa"/>
            </w:tcMar>
            <w:vAlign w:val="center"/>
          </w:tcPr>
          <w:p>
            <w:pPr>
              <w:spacing w:after="0"/>
              <w:jc w:val="left"/>
            </w:pPr>
            <w:r>
              <w:rPr>
                <w:rFonts w:ascii="Times New Roman" w:hAnsi="Times New Roman"/>
                <w:sz w:val="17"/>
              </w:rPr>
            </w:r>
            <w:r>
              <w:rPr>
                <w:rFonts w:ascii="Times New Roman" w:hAnsi="Times New Roman"/>
                <w:sz w:val="17"/>
              </w:rPr>
              <w:t>Target-user information needs</w:t>
            </w:r>
          </w:p>
        </w:tc>
        <w:tc>
          <w:tcPr>
            <w:tcW w:type="dxa" w:w="3079"/>
            <w:tcMar>
              <w:top w:w="65" w:type="dxa"/>
              <w:start w:w="75" w:type="dxa"/>
              <w:bottom w:w="65" w:type="dxa"/>
              <w:end w:w="75" w:type="dxa"/>
            </w:tcMar>
            <w:vAlign w:val="center"/>
          </w:tcPr>
          <w:p>
            <w:pPr>
              <w:spacing w:after="0"/>
              <w:jc w:val="left"/>
            </w:pPr>
            <w:r>
              <w:rPr>
                <w:rFonts w:ascii="Times New Roman" w:hAnsi="Times New Roman"/>
                <w:sz w:val="17"/>
              </w:rPr>
            </w:r>
            <w:r>
              <w:rPr>
                <w:rFonts w:ascii="Times New Roman" w:hAnsi="Times New Roman"/>
                <w:sz w:val="17"/>
              </w:rPr>
              <w:t>Established clarity as the design objective</w:t>
            </w:r>
          </w:p>
        </w:tc>
      </w:tr>
      <w:tr>
        <w:trPr>
          <w:cantSplit/>
        </w:trPr>
        <w:tc>
          <w:tcPr>
            <w:tcW w:type="dxa" w:w="3079"/>
            <w:tcMar>
              <w:top w:w="65" w:type="dxa"/>
              <w:start w:w="75" w:type="dxa"/>
              <w:bottom w:w="65" w:type="dxa"/>
              <w:end w:w="75" w:type="dxa"/>
            </w:tcMar>
            <w:vAlign w:val="center"/>
            <w:shd w:fill="EEF5FA"/>
          </w:tcPr>
          <w:p>
            <w:pPr>
              <w:spacing w:after="0"/>
              <w:jc w:val="left"/>
            </w:pPr>
            <w:r>
              <w:rPr>
                <w:rFonts w:ascii="Times New Roman" w:hAnsi="Times New Roman"/>
                <w:sz w:val="17"/>
              </w:rPr>
            </w:r>
            <w:r>
              <w:rPr>
                <w:rFonts w:ascii="Times New Roman" w:hAnsi="Times New Roman"/>
                <w:sz w:val="17"/>
              </w:rPr>
              <w:t>W2</w:t>
            </w:r>
          </w:p>
        </w:tc>
        <w:tc>
          <w:tcPr>
            <w:tcW w:type="dxa" w:w="3079"/>
            <w:tcMar>
              <w:top w:w="65" w:type="dxa"/>
              <w:start w:w="75" w:type="dxa"/>
              <w:bottom w:w="65" w:type="dxa"/>
              <w:end w:w="75" w:type="dxa"/>
            </w:tcMar>
            <w:vAlign w:val="center"/>
            <w:shd w:fill="EEF5FA"/>
          </w:tcPr>
          <w:p>
            <w:pPr>
              <w:spacing w:after="0"/>
              <w:jc w:val="left"/>
            </w:pPr>
            <w:r>
              <w:rPr>
                <w:rFonts w:ascii="Times New Roman" w:hAnsi="Times New Roman"/>
                <w:sz w:val="17"/>
              </w:rPr>
            </w:r>
            <w:r>
              <w:rPr>
                <w:rFonts w:ascii="Times New Roman" w:hAnsi="Times New Roman"/>
                <w:sz w:val="17"/>
              </w:rPr>
              <w:t>Initial allocation-brief hierarchy</w:t>
            </w:r>
          </w:p>
        </w:tc>
        <w:tc>
          <w:tcPr>
            <w:tcW w:type="dxa" w:w="3079"/>
            <w:tcMar>
              <w:top w:w="65" w:type="dxa"/>
              <w:start w:w="75" w:type="dxa"/>
              <w:bottom w:w="65" w:type="dxa"/>
              <w:end w:w="75" w:type="dxa"/>
            </w:tcMar>
            <w:vAlign w:val="center"/>
            <w:shd w:fill="EEF5FA"/>
          </w:tcPr>
          <w:p>
            <w:pPr>
              <w:spacing w:after="0"/>
              <w:jc w:val="left"/>
            </w:pPr>
            <w:r>
              <w:rPr>
                <w:rFonts w:ascii="Times New Roman" w:hAnsi="Times New Roman"/>
                <w:sz w:val="17"/>
              </w:rPr>
            </w:r>
            <w:r>
              <w:rPr>
                <w:rFonts w:ascii="Times New Roman" w:hAnsi="Times New Roman"/>
                <w:sz w:val="17"/>
              </w:rPr>
              <w:t>Ordered information from summary to evidence</w:t>
            </w:r>
          </w:p>
        </w:tc>
      </w:tr>
      <w:tr>
        <w:trPr>
          <w:cantSplit/>
        </w:trPr>
        <w:tc>
          <w:tcPr>
            <w:tcW w:type="dxa" w:w="3079"/>
            <w:tcMar>
              <w:top w:w="65" w:type="dxa"/>
              <w:start w:w="75" w:type="dxa"/>
              <w:bottom w:w="65" w:type="dxa"/>
              <w:end w:w="75" w:type="dxa"/>
            </w:tcMar>
            <w:vAlign w:val="center"/>
          </w:tcPr>
          <w:p>
            <w:pPr>
              <w:spacing w:after="0"/>
              <w:jc w:val="left"/>
            </w:pPr>
            <w:r>
              <w:rPr>
                <w:rFonts w:ascii="Times New Roman" w:hAnsi="Times New Roman"/>
                <w:sz w:val="17"/>
              </w:rPr>
            </w:r>
            <w:r>
              <w:rPr>
                <w:rFonts w:ascii="Times New Roman" w:hAnsi="Times New Roman"/>
                <w:sz w:val="17"/>
              </w:rPr>
              <w:t>W3</w:t>
            </w:r>
          </w:p>
        </w:tc>
        <w:tc>
          <w:tcPr>
            <w:tcW w:type="dxa" w:w="3079"/>
            <w:tcMar>
              <w:top w:w="65" w:type="dxa"/>
              <w:start w:w="75" w:type="dxa"/>
              <w:bottom w:w="65" w:type="dxa"/>
              <w:end w:w="75" w:type="dxa"/>
            </w:tcMar>
            <w:vAlign w:val="center"/>
          </w:tcPr>
          <w:p>
            <w:pPr>
              <w:spacing w:after="0"/>
              <w:jc w:val="left"/>
            </w:pPr>
            <w:r>
              <w:rPr>
                <w:rFonts w:ascii="Times New Roman" w:hAnsi="Times New Roman"/>
                <w:sz w:val="17"/>
              </w:rPr>
            </w:r>
            <w:r>
              <w:rPr>
                <w:rFonts w:ascii="Times New Roman" w:hAnsi="Times New Roman"/>
                <w:sz w:val="17"/>
              </w:rPr>
              <w:t>Input-to-output interaction review</w:t>
            </w:r>
          </w:p>
        </w:tc>
        <w:tc>
          <w:tcPr>
            <w:tcW w:type="dxa" w:w="3079"/>
            <w:tcMar>
              <w:top w:w="65" w:type="dxa"/>
              <w:start w:w="75" w:type="dxa"/>
              <w:bottom w:w="65" w:type="dxa"/>
              <w:end w:w="75" w:type="dxa"/>
            </w:tcMar>
            <w:vAlign w:val="center"/>
          </w:tcPr>
          <w:p>
            <w:pPr>
              <w:spacing w:after="0"/>
              <w:jc w:val="left"/>
            </w:pPr>
            <w:r>
              <w:rPr>
                <w:rFonts w:ascii="Times New Roman" w:hAnsi="Times New Roman"/>
                <w:sz w:val="17"/>
              </w:rPr>
            </w:r>
            <w:r>
              <w:rPr>
                <w:rFonts w:ascii="Times New Roman" w:hAnsi="Times New Roman"/>
                <w:sz w:val="17"/>
              </w:rPr>
              <w:t>Ensured each input had a visible consequence</w:t>
            </w:r>
          </w:p>
        </w:tc>
      </w:tr>
      <w:tr>
        <w:trPr>
          <w:cantSplit/>
        </w:trPr>
        <w:tc>
          <w:tcPr>
            <w:tcW w:type="dxa" w:w="3079"/>
            <w:tcMar>
              <w:top w:w="65" w:type="dxa"/>
              <w:start w:w="75" w:type="dxa"/>
              <w:bottom w:w="65" w:type="dxa"/>
              <w:end w:w="75" w:type="dxa"/>
            </w:tcMar>
            <w:vAlign w:val="center"/>
            <w:shd w:fill="EEF5FA"/>
          </w:tcPr>
          <w:p>
            <w:pPr>
              <w:spacing w:after="0"/>
              <w:jc w:val="left"/>
            </w:pPr>
            <w:r>
              <w:rPr>
                <w:rFonts w:ascii="Times New Roman" w:hAnsi="Times New Roman"/>
                <w:sz w:val="17"/>
              </w:rPr>
            </w:r>
            <w:r>
              <w:rPr>
                <w:rFonts w:ascii="Times New Roman" w:hAnsi="Times New Roman"/>
                <w:sz w:val="17"/>
              </w:rPr>
              <w:t>W4</w:t>
            </w:r>
          </w:p>
        </w:tc>
        <w:tc>
          <w:tcPr>
            <w:tcW w:type="dxa" w:w="3079"/>
            <w:tcMar>
              <w:top w:w="65" w:type="dxa"/>
              <w:start w:w="75" w:type="dxa"/>
              <w:bottom w:w="65" w:type="dxa"/>
              <w:end w:w="75" w:type="dxa"/>
            </w:tcMar>
            <w:vAlign w:val="center"/>
            <w:shd w:fill="EEF5FA"/>
          </w:tcPr>
          <w:p>
            <w:pPr>
              <w:spacing w:after="0"/>
              <w:jc w:val="left"/>
            </w:pPr>
            <w:r>
              <w:rPr>
                <w:rFonts w:ascii="Times New Roman" w:hAnsi="Times New Roman"/>
                <w:sz w:val="17"/>
              </w:rPr>
            </w:r>
            <w:r>
              <w:rPr>
                <w:rFonts w:ascii="Times New Roman" w:hAnsi="Times New Roman"/>
                <w:sz w:val="17"/>
              </w:rPr>
              <w:t>Before/after comparison layout</w:t>
            </w:r>
          </w:p>
        </w:tc>
        <w:tc>
          <w:tcPr>
            <w:tcW w:type="dxa" w:w="3079"/>
            <w:tcMar>
              <w:top w:w="65" w:type="dxa"/>
              <w:start w:w="75" w:type="dxa"/>
              <w:bottom w:w="65" w:type="dxa"/>
              <w:end w:w="75" w:type="dxa"/>
            </w:tcMar>
            <w:vAlign w:val="center"/>
            <w:shd w:fill="EEF5FA"/>
          </w:tcPr>
          <w:p>
            <w:pPr>
              <w:spacing w:after="0"/>
              <w:jc w:val="left"/>
            </w:pPr>
            <w:r>
              <w:rPr>
                <w:rFonts w:ascii="Times New Roman" w:hAnsi="Times New Roman"/>
                <w:sz w:val="17"/>
              </w:rPr>
            </w:r>
            <w:r>
              <w:rPr>
                <w:rFonts w:ascii="Times New Roman" w:hAnsi="Times New Roman"/>
                <w:sz w:val="17"/>
              </w:rPr>
              <w:t>Prepared the optimization comparison experience</w:t>
            </w:r>
          </w:p>
        </w:tc>
      </w:tr>
      <w:tr>
        <w:trPr>
          <w:cantSplit/>
        </w:trPr>
        <w:tc>
          <w:tcPr>
            <w:tcW w:type="dxa" w:w="3079"/>
            <w:tcMar>
              <w:top w:w="65" w:type="dxa"/>
              <w:start w:w="75" w:type="dxa"/>
              <w:bottom w:w="65" w:type="dxa"/>
              <w:end w:w="75" w:type="dxa"/>
            </w:tcMar>
            <w:vAlign w:val="center"/>
          </w:tcPr>
          <w:p>
            <w:pPr>
              <w:spacing w:after="0"/>
              <w:jc w:val="left"/>
            </w:pPr>
            <w:r>
              <w:rPr>
                <w:rFonts w:ascii="Times New Roman" w:hAnsi="Times New Roman"/>
                <w:sz w:val="17"/>
              </w:rPr>
            </w:r>
            <w:r>
              <w:rPr>
                <w:rFonts w:ascii="Times New Roman" w:hAnsi="Times New Roman"/>
                <w:sz w:val="17"/>
              </w:rPr>
              <w:t>W5</w:t>
            </w:r>
          </w:p>
        </w:tc>
        <w:tc>
          <w:tcPr>
            <w:tcW w:type="dxa" w:w="3079"/>
            <w:tcMar>
              <w:top w:w="65" w:type="dxa"/>
              <w:start w:w="75" w:type="dxa"/>
              <w:bottom w:w="65" w:type="dxa"/>
              <w:end w:w="75" w:type="dxa"/>
            </w:tcMar>
            <w:vAlign w:val="center"/>
          </w:tcPr>
          <w:p>
            <w:pPr>
              <w:spacing w:after="0"/>
              <w:jc w:val="left"/>
            </w:pPr>
            <w:r>
              <w:rPr>
                <w:rFonts w:ascii="Times New Roman" w:hAnsi="Times New Roman"/>
                <w:sz w:val="17"/>
              </w:rPr>
            </w:r>
            <w:r>
              <w:rPr>
                <w:rFonts w:ascii="Times New Roman" w:hAnsi="Times New Roman"/>
                <w:sz w:val="17"/>
              </w:rPr>
              <w:t>Explanation standard and interface samples</w:t>
            </w:r>
          </w:p>
        </w:tc>
        <w:tc>
          <w:tcPr>
            <w:tcW w:type="dxa" w:w="3079"/>
            <w:tcMar>
              <w:top w:w="65" w:type="dxa"/>
              <w:start w:w="75" w:type="dxa"/>
              <w:bottom w:w="65" w:type="dxa"/>
              <w:end w:w="75" w:type="dxa"/>
            </w:tcMar>
            <w:vAlign w:val="center"/>
          </w:tcPr>
          <w:p>
            <w:pPr>
              <w:spacing w:after="0"/>
              <w:jc w:val="left"/>
            </w:pPr>
            <w:r>
              <w:rPr>
                <w:rFonts w:ascii="Times New Roman" w:hAnsi="Times New Roman"/>
                <w:sz w:val="17"/>
              </w:rPr>
            </w:r>
            <w:r>
              <w:rPr>
                <w:rFonts w:ascii="Times New Roman" w:hAnsi="Times New Roman"/>
                <w:sz w:val="17"/>
              </w:rPr>
              <w:t>Established the visual direction</w:t>
            </w:r>
          </w:p>
        </w:tc>
      </w:tr>
      <w:tr>
        <w:trPr>
          <w:cantSplit/>
        </w:trPr>
        <w:tc>
          <w:tcPr>
            <w:tcW w:type="dxa" w:w="3079"/>
            <w:tcMar>
              <w:top w:w="65" w:type="dxa"/>
              <w:start w:w="75" w:type="dxa"/>
              <w:bottom w:w="65" w:type="dxa"/>
              <w:end w:w="75" w:type="dxa"/>
            </w:tcMar>
            <w:vAlign w:val="center"/>
            <w:shd w:fill="EEF5FA"/>
          </w:tcPr>
          <w:p>
            <w:pPr>
              <w:spacing w:after="0"/>
              <w:jc w:val="left"/>
            </w:pPr>
            <w:r>
              <w:rPr>
                <w:rFonts w:ascii="Times New Roman" w:hAnsi="Times New Roman"/>
                <w:sz w:val="17"/>
              </w:rPr>
            </w:r>
            <w:r>
              <w:rPr>
                <w:rFonts w:ascii="Times New Roman" w:hAnsi="Times New Roman"/>
                <w:sz w:val="17"/>
              </w:rPr>
              <w:t>W6</w:t>
            </w:r>
          </w:p>
        </w:tc>
        <w:tc>
          <w:tcPr>
            <w:tcW w:type="dxa" w:w="3079"/>
            <w:tcMar>
              <w:top w:w="65" w:type="dxa"/>
              <w:start w:w="75" w:type="dxa"/>
              <w:bottom w:w="65" w:type="dxa"/>
              <w:end w:w="75" w:type="dxa"/>
            </w:tcMar>
            <w:vAlign w:val="center"/>
            <w:shd w:fill="EEF5FA"/>
          </w:tcPr>
          <w:p>
            <w:pPr>
              <w:spacing w:after="0"/>
              <w:jc w:val="left"/>
            </w:pPr>
            <w:r>
              <w:rPr>
                <w:rFonts w:ascii="Times New Roman" w:hAnsi="Times New Roman"/>
                <w:sz w:val="17"/>
              </w:rPr>
            </w:r>
            <w:r>
              <w:rPr>
                <w:rFonts w:ascii="Times New Roman" w:hAnsi="Times New Roman"/>
                <w:sz w:val="17"/>
              </w:rPr>
              <w:t>Tokens and Vietnamese typography</w:t>
            </w:r>
          </w:p>
        </w:tc>
        <w:tc>
          <w:tcPr>
            <w:tcW w:type="dxa" w:w="3079"/>
            <w:tcMar>
              <w:top w:w="65" w:type="dxa"/>
              <w:start w:w="75" w:type="dxa"/>
              <w:bottom w:w="65" w:type="dxa"/>
              <w:end w:w="75" w:type="dxa"/>
            </w:tcMar>
            <w:vAlign w:val="center"/>
            <w:shd w:fill="EEF5FA"/>
          </w:tcPr>
          <w:p>
            <w:pPr>
              <w:spacing w:after="0"/>
              <w:jc w:val="left"/>
            </w:pPr>
            <w:r>
              <w:rPr>
                <w:rFonts w:ascii="Times New Roman" w:hAnsi="Times New Roman"/>
                <w:sz w:val="17"/>
              </w:rPr>
            </w:r>
            <w:r>
              <w:rPr>
                <w:rFonts w:ascii="Times New Roman" w:hAnsi="Times New Roman"/>
                <w:sz w:val="17"/>
              </w:rPr>
              <w:t>Created a reusable design system</w:t>
            </w:r>
          </w:p>
        </w:tc>
      </w:tr>
      <w:tr>
        <w:trPr>
          <w:cantSplit/>
        </w:trPr>
        <w:tc>
          <w:tcPr>
            <w:tcW w:type="dxa" w:w="3079"/>
            <w:tcMar>
              <w:top w:w="65" w:type="dxa"/>
              <w:start w:w="75" w:type="dxa"/>
              <w:bottom w:w="65" w:type="dxa"/>
              <w:end w:w="75" w:type="dxa"/>
            </w:tcMar>
            <w:vAlign w:val="center"/>
          </w:tcPr>
          <w:p>
            <w:pPr>
              <w:spacing w:after="0"/>
              <w:jc w:val="left"/>
            </w:pPr>
            <w:r>
              <w:rPr>
                <w:rFonts w:ascii="Times New Roman" w:hAnsi="Times New Roman"/>
                <w:sz w:val="17"/>
              </w:rPr>
            </w:r>
            <w:r>
              <w:rPr>
                <w:rFonts w:ascii="Times New Roman" w:hAnsi="Times New Roman"/>
                <w:sz w:val="17"/>
              </w:rPr>
              <w:t>W7</w:t>
            </w:r>
          </w:p>
        </w:tc>
        <w:tc>
          <w:tcPr>
            <w:tcW w:type="dxa" w:w="3079"/>
            <w:tcMar>
              <w:top w:w="65" w:type="dxa"/>
              <w:start w:w="75" w:type="dxa"/>
              <w:bottom w:w="65" w:type="dxa"/>
              <w:end w:w="75" w:type="dxa"/>
            </w:tcMar>
            <w:vAlign w:val="center"/>
          </w:tcPr>
          <w:p>
            <w:pPr>
              <w:spacing w:after="0"/>
              <w:jc w:val="left"/>
            </w:pPr>
            <w:r>
              <w:rPr>
                <w:rFonts w:ascii="Times New Roman" w:hAnsi="Times New Roman"/>
                <w:sz w:val="17"/>
              </w:rPr>
            </w:r>
            <w:r>
              <w:rPr>
                <w:rFonts w:ascii="Times New Roman" w:hAnsi="Times New Roman"/>
                <w:sz w:val="17"/>
              </w:rPr>
              <w:t>Native-SVG PnL, responsive tables and accessibility</w:t>
            </w:r>
          </w:p>
        </w:tc>
        <w:tc>
          <w:tcPr>
            <w:tcW w:type="dxa" w:w="3079"/>
            <w:tcMar>
              <w:top w:w="65" w:type="dxa"/>
              <w:start w:w="75" w:type="dxa"/>
              <w:bottom w:w="65" w:type="dxa"/>
              <w:end w:w="75" w:type="dxa"/>
            </w:tcMar>
            <w:vAlign w:val="center"/>
          </w:tcPr>
          <w:p>
            <w:pPr>
              <w:spacing w:after="0"/>
              <w:jc w:val="left"/>
            </w:pPr>
            <w:r>
              <w:rPr>
                <w:rFonts w:ascii="Times New Roman" w:hAnsi="Times New Roman"/>
                <w:sz w:val="17"/>
              </w:rPr>
            </w:r>
            <w:r>
              <w:rPr>
                <w:rFonts w:ascii="Times New Roman" w:hAnsi="Times New Roman"/>
                <w:sz w:val="17"/>
              </w:rPr>
              <w:t>Completed production-facing interface quality</w:t>
            </w:r>
          </w:p>
        </w:tc>
      </w:tr>
    </w:tbl>
    <w:p>
      <w:pPr>
        <w:spacing w:after="20"/>
      </w:pPr>
    </w:p>
    <w:p>
      <w:pPr>
        <w:pStyle w:val="Heading1"/>
      </w:pPr>
      <w:r>
        <w:t>VI. Limitations and lessons learned</w:t>
      </w:r>
    </w:p>
    <w:p>
      <w:r>
        <w:t>Wide attribution tables still require horizontal scrolling on small screens, and long sector or industry labels can increase row height. These constraints are handled but not eliminated. Further usability testing with external retail investors would be required before claiming that every statistical explanation is immediately understood.</w:t>
      </w:r>
    </w:p>
    <w:p>
      <w:r>
        <w:t>The main lesson was that financial interface design must protect meaning. Units, assumptions and uncertainty are part of the visual system, not footnotes added after implementation. I can demonstrate the information hierarchy, typography, chart interaction and responsive behavior, while clearly separating those responsibilities from the simulation methodology owned by the Lead Developer.</w:t>
      </w:r>
    </w:p>
    <w:p>
      <w:pPr>
        <w:pStyle w:val="Heading1"/>
        <w:pageBreakBefore/>
      </w:pPr>
      <w:r>
        <w:t>INDIVIDUAL DECLARATION</w:t>
      </w:r>
    </w:p>
    <w:p>
      <w:r>
        <w:t>I confirm that this report reflects the work that I am responsible for explaining, calculating, demonstrating or reproducing in Finfolio 2.0. Referenced outputs may be collaborative team artifacts; my individual accountability is defined by the contribution map and repository evidence.</w:t>
      </w:r>
    </w:p>
    <w:tbl>
      <w:tblPr>
        <w:tblW w:type="auto" w:w="0"/>
        <w:tblLook w:firstColumn="1" w:firstRow="1" w:lastColumn="0" w:lastRow="0" w:noHBand="0" w:noVBand="1" w:val="04A0"/>
        <w:tblBorders>
          <w:top w:val="single" w:sz="4" w:space="0" w:color="B8C7D1"/>
          <w:left w:val="single" w:sz="4" w:space="0" w:color="B8C7D1"/>
          <w:bottom w:val="single" w:sz="4" w:space="0" w:color="B8C7D1"/>
          <w:right w:val="single" w:sz="4" w:space="0" w:color="B8C7D1"/>
          <w:insideH w:val="single" w:sz="4" w:space="0" w:color="B8C7D1"/>
          <w:insideV w:val="single" w:sz="4" w:space="0" w:color="B8C7D1"/>
        </w:tblBorders>
      </w:tblPr>
      <w:tblGrid>
        <w:gridCol w:w="4618"/>
        <w:gridCol w:w="4618"/>
      </w:tblGrid>
      <w:tr>
        <w:tc>
          <w:tcPr>
            <w:tcW w:type="dxa" w:w="4618"/>
            <w:shd w:fill="D9EAF7"/>
            <w:tcMar>
              <w:top w:w="150" w:type="dxa"/>
              <w:start w:w="120" w:type="dxa"/>
              <w:bottom w:w="150" w:type="dxa"/>
              <w:end w:w="120" w:type="dxa"/>
            </w:tcMar>
          </w:tcPr>
          <w:p>
            <w:pPr>
              <w:spacing w:after="0"/>
            </w:pPr>
            <w:r>
              <w:rPr>
                <w:rFonts w:ascii="Times New Roman" w:hAnsi="Times New Roman"/>
                <w:b/>
                <w:sz w:val="21"/>
              </w:rPr>
              <w:t>Full name</w:t>
            </w:r>
          </w:p>
        </w:tc>
        <w:tc>
          <w:tcPr>
            <w:tcW w:type="dxa" w:w="4618"/>
            <w:tcMar>
              <w:top w:w="150" w:type="dxa"/>
              <w:start w:w="120" w:type="dxa"/>
              <w:bottom w:w="150" w:type="dxa"/>
              <w:end w:w="120" w:type="dxa"/>
            </w:tcMar>
          </w:tcPr>
          <w:p>
            <w:pPr>
              <w:spacing w:after="0"/>
            </w:pPr>
            <w:r>
              <w:rPr>
                <w:rFonts w:ascii="Times New Roman" w:hAnsi="Times New Roman"/>
                <w:sz w:val="21"/>
              </w:rPr>
              <w:t>Nguyễn Ngọc Anh</w:t>
            </w:r>
          </w:p>
        </w:tc>
      </w:tr>
      <w:tr>
        <w:tc>
          <w:tcPr>
            <w:tcW w:type="dxa" w:w="4618"/>
            <w:shd w:fill="D9EAF7"/>
            <w:tcMar>
              <w:top w:w="150" w:type="dxa"/>
              <w:start w:w="120" w:type="dxa"/>
              <w:bottom w:w="150" w:type="dxa"/>
              <w:end w:w="120" w:type="dxa"/>
            </w:tcMar>
          </w:tcPr>
          <w:p>
            <w:pPr>
              <w:spacing w:after="0"/>
            </w:pPr>
            <w:r>
              <w:rPr>
                <w:rFonts w:ascii="Times New Roman" w:hAnsi="Times New Roman"/>
                <w:b/>
                <w:sz w:val="21"/>
              </w:rPr>
              <w:t>Student ID</w:t>
            </w:r>
          </w:p>
        </w:tc>
        <w:tc>
          <w:tcPr>
            <w:tcW w:type="dxa" w:w="4618"/>
            <w:tcMar>
              <w:top w:w="150" w:type="dxa"/>
              <w:start w:w="120" w:type="dxa"/>
              <w:bottom w:w="150" w:type="dxa"/>
              <w:end w:w="120" w:type="dxa"/>
            </w:tcMar>
          </w:tcPr>
          <w:p>
            <w:pPr>
              <w:spacing w:after="0"/>
            </w:pPr>
            <w:r>
              <w:rPr>
                <w:rFonts w:ascii="Times New Roman" w:hAnsi="Times New Roman"/>
                <w:sz w:val="21"/>
              </w:rPr>
              <w:t>2413380008</w:t>
            </w:r>
          </w:p>
        </w:tc>
      </w:tr>
      <w:tr>
        <w:tc>
          <w:tcPr>
            <w:tcW w:type="dxa" w:w="4618"/>
            <w:shd w:fill="D9EAF7"/>
            <w:tcMar>
              <w:top w:w="150" w:type="dxa"/>
              <w:start w:w="120" w:type="dxa"/>
              <w:bottom w:w="150" w:type="dxa"/>
              <w:end w:w="120" w:type="dxa"/>
            </w:tcMar>
          </w:tcPr>
          <w:p>
            <w:pPr>
              <w:spacing w:after="0"/>
            </w:pPr>
            <w:r>
              <w:rPr>
                <w:rFonts w:ascii="Times New Roman" w:hAnsi="Times New Roman"/>
                <w:b/>
                <w:sz w:val="21"/>
              </w:rPr>
              <w:t>Signature</w:t>
            </w:r>
          </w:p>
        </w:tc>
        <w:tc>
          <w:tcPr>
            <w:tcW w:type="dxa" w:w="4618"/>
            <w:tcMar>
              <w:top w:w="150" w:type="dxa"/>
              <w:start w:w="120" w:type="dxa"/>
              <w:bottom w:w="150" w:type="dxa"/>
              <w:end w:w="120" w:type="dxa"/>
            </w:tcMar>
          </w:tcPr>
          <w:p>
            <w:pPr>
              <w:spacing w:after="0"/>
            </w:pPr>
            <w:r>
              <w:rPr>
                <w:rFonts w:ascii="Times New Roman" w:hAnsi="Times New Roman"/>
                <w:sz w:val="21"/>
              </w:rPr>
            </w:r>
          </w:p>
        </w:tc>
      </w:tr>
      <w:tr>
        <w:tc>
          <w:tcPr>
            <w:tcW w:type="dxa" w:w="4618"/>
            <w:shd w:fill="D9EAF7"/>
            <w:tcMar>
              <w:top w:w="150" w:type="dxa"/>
              <w:start w:w="120" w:type="dxa"/>
              <w:bottom w:w="150" w:type="dxa"/>
              <w:end w:w="120" w:type="dxa"/>
            </w:tcMar>
          </w:tcPr>
          <w:p>
            <w:pPr>
              <w:spacing w:after="0"/>
            </w:pPr>
            <w:r>
              <w:rPr>
                <w:rFonts w:ascii="Times New Roman" w:hAnsi="Times New Roman"/>
                <w:b/>
                <w:sz w:val="21"/>
              </w:rPr>
              <w:t>Date</w:t>
            </w:r>
          </w:p>
        </w:tc>
        <w:tc>
          <w:tcPr>
            <w:tcW w:type="dxa" w:w="4618"/>
            <w:tcMar>
              <w:top w:w="150" w:type="dxa"/>
              <w:start w:w="120" w:type="dxa"/>
              <w:bottom w:w="150" w:type="dxa"/>
              <w:end w:w="120" w:type="dxa"/>
            </w:tcMar>
          </w:tcPr>
          <w:p>
            <w:pPr>
              <w:spacing w:after="0"/>
            </w:pPr>
            <w:r>
              <w:rPr>
                <w:rFonts w:ascii="Times New Roman" w:hAnsi="Times New Roman"/>
                <w:sz w:val="21"/>
              </w:rPr>
            </w:r>
          </w:p>
        </w:tc>
      </w:tr>
    </w:tbl>
    <w:sectPr w:rsidR="00DC5944">
      <w:headerReference w:type="default" r:id="rId26"/>
      <w:footerReference w:type="default" r:id="rId27"/>
      <w:footnotePr>
        <w:numRestart w:val="eachSect"/>
      </w:footnotePr>
      <w:pgSz w:w="12240" w:h="15840"/>
      <w:pgMar w:top="1417" w:right="1417" w:bottom="1417" w:left="1587" w:header="720" w:footer="720" w:gutter="0"/>
      <w:cols w:space="720"/>
      <w:pgNumType w:start="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61163D3" w14:textId="77777777" w:rsidR="006D6761" w:rsidRDefault="006D6761">
      <w:pPr>
        <w:spacing w:after="0" w:line="240" w:lineRule="auto"/>
      </w:pPr>
      <w:r>
        <w:separator/>
      </w:r>
    </w:p>
  </w:endnote>
  <w:endnote w:type="continuationSeparator" w:id="0">
    <w:p w14:paraId="3998D4AC" w14:textId="77777777" w:rsidR="006D6761" w:rsidRDefault="006D6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3D5ABB" w14:textId="77777777" w:rsidR="00DC5944" w:rsidRDefault="00DC594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6030E5" w14:textId="77777777" w:rsidR="00DC5944" w:rsidRDefault="00DC594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F7367A" w14:textId="77777777" w:rsidR="00DC5944" w:rsidRDefault="00000000">
    <w:pPr>
      <w:spacing w:after="0" w:line="240" w:lineRule="auto"/>
      <w:ind w:firstLine="0"/>
      <w:jc w:val="right"/>
    </w:pPr>
    <w:r>
      <w:fldChar w:fldCharType="begin"/>
    </w:r>
    <w:r>
      <w:instrText>PAGE</w:instrText>
    </w:r>
    <w:r>
      <w:fldChar w:fldCharType="separate"/>
    </w:r>
    <w:r>
      <w:rPr>
        <w:sz w:val="24"/>
      </w:rPr>
      <w:t>2</w:t>
    </w:r>
    <w:r>
      <w:rPr>
        <w:sz w:val="24"/>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sz w:val="20"/>
      </w:rPr>
      <w:fldChar w:fldCharType="begin"/>
      <w:instrText xml:space="preserve"> PAGE </w:instrText>
      <w:fldChar w:fldCharType="separat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965A5DC" w14:textId="77777777" w:rsidR="006D6761" w:rsidRDefault="006D6761">
      <w:pPr>
        <w:spacing w:after="0" w:line="240" w:lineRule="auto"/>
      </w:pPr>
      <w:r>
        <w:separator/>
      </w:r>
    </w:p>
  </w:footnote>
  <w:footnote w:type="continuationSeparator" w:id="0">
    <w:p w14:paraId="7DB3ED2C" w14:textId="77777777" w:rsidR="006D6761" w:rsidRDefault="006D67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2ADDD7" w14:textId="77777777" w:rsidR="00DC5944" w:rsidRDefault="00DC594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54B451" w14:textId="77777777" w:rsidR="00DC5944" w:rsidRDefault="00DC594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8958A4" w14:textId="77777777" w:rsidR="00DC5944" w:rsidRDefault="00DC5944"/>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9D08A78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31237038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3"/>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C5944"/>
    <w:rsid w:val="000460F5"/>
    <w:rsid w:val="006D6761"/>
    <w:rsid w:val="009908EB"/>
    <w:rsid w:val="00DC59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9241B6"/>
  <w15:docId w15:val="{04642DCF-ADC0-044D-B820-E33E48895EA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324" w:lineRule="auto"/>
      <w:ind w:firstLine="425"/>
      <w:jc w:val="both"/>
    </w:pPr>
    <w:rPr>
      <w:rFonts w:ascii="Times New Roman" w:hAnsi="Times New Roman"/>
      <w:sz w:val="22"/>
    </w:rPr>
  </w:style>
  <w:style w:type="paragraph" w:styleId="Heading1">
    <w:name w:val="heading 1"/>
    <w:basedOn w:val="Normal"/>
    <w:next w:val="BodyText"/>
    <w:link w:val="Heading1Char"/>
    <w:uiPriority w:val="9"/>
    <w:qFormat/>
    <w:rsid w:val="00A10FD9"/>
    <w:pPr>
      <w:keepNext/>
      <w:keepLines/>
      <w:spacing w:before="320" w:after="120" w:line="276" w:lineRule="auto"/>
      <w:ind w:firstLine="0"/>
      <w:outlineLvl w:val="0"/>
    </w:pPr>
    <w:rPr>
      <w:rFonts w:asciiTheme="majorHAnsi" w:eastAsiaTheme="majorEastAsia" w:hAnsiTheme="majorHAnsi" w:cstheme="majorBidi" w:ascii="Times New Roman" w:hAnsi="Times New Roman"/>
      <w:b/>
      <w:color w:val="1F4E79"/>
      <w:sz w:val="32"/>
      <w:szCs w:val="40"/>
    </w:rPr>
  </w:style>
  <w:style w:type="paragraph" w:styleId="Heading2">
    <w:name w:val="heading 2"/>
    <w:basedOn w:val="Normal"/>
    <w:next w:val="BodyText"/>
    <w:link w:val="Heading2Char"/>
    <w:uiPriority w:val="9"/>
    <w:semiHidden/>
    <w:unhideWhenUsed/>
    <w:qFormat/>
    <w:rsid w:val="00A10FD9"/>
    <w:pPr>
      <w:keepNext/>
      <w:keepLines/>
      <w:spacing w:before="200" w:after="80" w:line="276" w:lineRule="auto"/>
      <w:ind w:firstLine="0"/>
      <w:outlineLvl w:val="1"/>
    </w:pPr>
    <w:rPr>
      <w:rFonts w:asciiTheme="majorHAnsi" w:eastAsiaTheme="majorEastAsia" w:hAnsiTheme="majorHAnsi" w:cstheme="majorBidi" w:ascii="Times New Roman" w:hAnsi="Times New Roman"/>
      <w:b/>
      <w:color w:val="2F75B5"/>
      <w:sz w:val="26"/>
      <w:szCs w:val="32"/>
    </w:rPr>
  </w:style>
  <w:style w:type="paragraph" w:styleId="Heading3">
    <w:name w:val="heading 3"/>
    <w:basedOn w:val="Normal"/>
    <w:next w:val="BodyText"/>
    <w:link w:val="Heading3Char"/>
    <w:uiPriority w:val="9"/>
    <w:semiHidden/>
    <w:unhideWhenUsed/>
    <w:qFormat/>
    <w:rsid w:val="00A10FD9"/>
    <w:pPr>
      <w:keepNext/>
      <w:keepLines/>
      <w:spacing w:before="160" w:after="60" w:line="276" w:lineRule="auto"/>
      <w:ind w:firstLine="0"/>
      <w:outlineLvl w:val="2"/>
    </w:pPr>
    <w:rPr>
      <w:rFonts w:eastAsiaTheme="majorEastAsia" w:cstheme="majorBidi" w:ascii="Times New Roman" w:hAnsi="Times New Roman"/>
      <w:b/>
      <w:color w:val="2F75B5"/>
      <w:sz w:val="22"/>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line="276" w:lineRule="auto"/>
      <w:ind w:firstLine="0"/>
    </w:pPr>
    <w:rPr>
      <w:sz w:val="24"/>
    </w:rPr>
  </w:style>
  <w:style w:type="paragraph" w:styleId="Title">
    <w:name w:val="Title"/>
    <w:basedOn w:val="Normal"/>
    <w:next w:val="BodyText"/>
    <w:link w:val="TitleChar"/>
    <w:uiPriority w:val="10"/>
    <w:qFormat/>
    <w:rsid w:val="00A10FD9"/>
    <w:pPr>
      <w:keepNext/>
      <w:spacing w:after="200" w:line="240" w:lineRule="auto" w:before="0"/>
      <w:contextualSpacing/>
      <w:jc w:val="center"/>
    </w:pPr>
    <w:rPr>
      <w:rFonts w:asciiTheme="majorHAnsi" w:eastAsiaTheme="majorEastAsia" w:hAnsiTheme="majorHAnsi" w:cstheme="majorBidi" w:ascii="Times New Roman" w:hAnsi="Times New Roman"/>
      <w:color w:val="1F4E79"/>
      <w:sz w:val="50"/>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keepNext/>
      <w:numPr>
        <w:ilvl w:val="1"/>
      </w:numPr>
      <w:spacing w:before="0" w:after="160"/>
      <w:ind w:firstLine="425"/>
    </w:pPr>
    <w:rPr>
      <w:rFonts w:ascii="Times New Roman" w:hAnsi="Times New Roman"/>
      <w:color w:val="666666"/>
      <w:spacing w:val="15"/>
      <w:sz w:val="26"/>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firstLine="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rPr>
      <w:b/>
      <w:color w:val="000000"/>
      <w:sz w:val="20"/>
    </w:rPr>
  </w:style>
  <w:style w:type="paragraph" w:customStyle="1" w:styleId="ImageCaption">
    <w:name w:val="Image Caption"/>
    <w:basedOn w:val="Caption"/>
    <w:rPr>
      <w:b/>
      <w:color w:val="000000"/>
      <w:sz w:val="2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b w:val="0"/>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ReferenceFront">
    <w:name w:val="Reference Front"/>
    <w:basedOn w:val="Normal"/>
  </w:style>
  <w:style w:type="paragraph" w:customStyle="1" w:styleId="ReferenceTOC1">
    <w:name w:val="Reference TOC 1"/>
    <w:basedOn w:val="Normal"/>
  </w:style>
  <w:style w:type="paragraph" w:customStyle="1" w:styleId="ReferenceTOC2">
    <w:name w:val="Reference TOC 2"/>
    <w:basedOn w:val="Normal"/>
  </w:style>
  <w:style w:type="paragraph" w:customStyle="1" w:styleId="ReportAbstract">
    <w:name w:val="Report Abstract"/>
    <w:pPr>
      <w:spacing w:line="324" w:lineRule="auto" w:after="120"/>
      <w:ind w:left="340" w:right="340"/>
      <w:jc w:val="both"/>
    </w:pPr>
    <w:rPr>
      <w:rFonts w:ascii="Times New Roman" w:hAnsi="Times New Roman"/>
      <w:i w:val="0"/>
      <w:sz w:val="22"/>
    </w:rPr>
  </w:style>
  <w:style w:type="paragraph" w:customStyle="1" w:styleId="ListBullet">
    <w:name w:val="List Bullet"/>
    <w:basedOn w:val="Normal"/>
    <w:pPr>
      <w:spacing w:line="300" w:lineRule="auto" w:after="60"/>
    </w:pPr>
    <w:rPr>
      <w:rFonts w:ascii="Times New Roman" w:hAnsi="Times New Roman"/>
      <w:sz w:val="22"/>
    </w:rPr>
  </w:style>
  <w:style w:type="paragraph" w:customStyle="1" w:styleId="ListNumber">
    <w:name w:val="List Number"/>
    <w:basedOn w:val="Normal"/>
    <w:pPr>
      <w:spacing w:line="300" w:lineRule="auto" w:after="60"/>
    </w:pPr>
    <w:rPr>
      <w:rFonts w:ascii="Times New Roman" w:hAnsi="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federalreserve.gov/pubs/ifdp/2006/871/ifdp871.pdf" TargetMode="External"/><Relationship Id="rId18" Type="http://schemas.openxmlformats.org/officeDocument/2006/relationships/hyperlink" Target="https://finance.yahoo.com/" TargetMode="External"/><Relationship Id="rId3" Type="http://schemas.openxmlformats.org/officeDocument/2006/relationships/settings" Target="settings.xml"/><Relationship Id="rId21" Type="http://schemas.openxmlformats.org/officeDocument/2006/relationships/hyperlink" Target="https://github.com/lebaoann05-ops/fomc-price-discovery" TargetMode="Externa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hyperlink" Target="https://doi.org/10.1111/jofi.12196"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i.org/10.1016/j.frl.2020.101781" TargetMode="External"/><Relationship Id="rId20"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federalreserve.gov/monetarypolicy/fomccalendars.htm" TargetMode="External"/><Relationship Id="rId23" Type="http://schemas.openxmlformats.org/officeDocument/2006/relationships/footer" Target="footer3.xml"/><Relationship Id="rId10" Type="http://schemas.openxmlformats.org/officeDocument/2006/relationships/header" Target="header2.xml"/><Relationship Id="rId19" Type="http://schemas.openxmlformats.org/officeDocument/2006/relationships/hyperlink" Target="https://ranaroussi.github.io/yfinance/"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doi.org/10.1111/j.1540-6261.2005.00760.x" TargetMode="External"/><Relationship Id="rId22" Type="http://schemas.openxmlformats.org/officeDocument/2006/relationships/header" Target="header3.xml"/><Relationship Id="rId26" Type="http://schemas.openxmlformats.org/officeDocument/2006/relationships/header" Target="header4.xml"/><Relationship Id="rId27"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22</Pages>
  <Words>5476</Words>
  <Characters>31216</Characters>
  <Application>Microsoft Office Word</Application>
  <DocSecurity>0</DocSecurity>
  <Lines>260</Lines>
  <Paragraphs>73</Paragraphs>
  <ScaleCrop>false</ScaleCrop>
  <Company/>
  <LinksUpToDate>false</LinksUpToDate>
  <CharactersWithSpaces>36619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Project Report — Nguyễn Ngọc Anh</dc:title>
  <dc:subject>FINFOLIO 2.0 — PORTFOLIO ATTRIBUTION &amp; RISK ANALYTICS</dc:subject>
  <dc:creator>Nguyễn Ngọc Anh</dc:creator>
  <cp:keywords>Finfolio 2.0, G09, individual footprint, NHA408E</cp:keywords>
  <cp:lastModifiedBy>2412380002-LÊ BẢO AN</cp:lastModifiedBy>
  <cp:revision>2</cp:revision>
  <dcterms:created xsi:type="dcterms:W3CDTF">2026-10-02T15:50:00Z</dcterms:created>
  <dcterms:modified xsi:type="dcterms:W3CDTF">2026-10-02T16:44:00Z</dcterms:modified>
</cp:coreProperties>
</file>