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40"/>
        <w:jc w:val="center"/>
      </w:pPr>
      <w:r>
        <w:rPr>
          <w:rFonts w:ascii="Times New Roman" w:hAnsi="Times New Roman"/>
          <w:b/>
          <w:color w:val="1F4E79"/>
          <w:sz w:val="28"/>
        </w:rPr>
        <w:t>FOREIGN TRADE UNIVERSITY</w:t>
      </w:r>
    </w:p>
    <w:p>
      <w:pPr>
        <w:jc w:val="center"/>
      </w:pPr>
      <w:r>
        <w:rPr>
          <w:rFonts w:ascii="Times New Roman" w:hAnsi="Times New Roman"/>
          <w:b/>
          <w:sz w:val="24"/>
        </w:rPr>
        <w:t>FACULTY OF BANKING AND FINANCE</w:t>
      </w:r>
    </w:p>
    <w:p>
      <w:pPr>
        <w:spacing w:before="160" w:after="160"/>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900000" cy="900000"/>
                    </a:xfrm>
                    <a:prstGeom prst="rect"/>
                  </pic:spPr>
                </pic:pic>
              </a:graphicData>
            </a:graphic>
          </wp:inline>
        </w:drawing>
      </w:r>
    </w:p>
    <w:p>
      <w:pPr>
        <w:spacing w:before="400" w:after="200"/>
        <w:jc w:val="center"/>
      </w:pPr>
      <w:r>
        <w:rPr>
          <w:rFonts w:ascii="Times New Roman" w:hAnsi="Times New Roman"/>
          <w:b/>
          <w:color w:val="1F4E79"/>
          <w:sz w:val="48"/>
        </w:rPr>
        <w:t>PERSONAL PROJECT REPORT</w:t>
      </w:r>
    </w:p>
    <w:p>
      <w:pPr>
        <w:spacing w:after="360"/>
        <w:jc w:val="center"/>
      </w:pPr>
      <w:r>
        <w:rPr>
          <w:rFonts w:ascii="Times New Roman" w:hAnsi="Times New Roman"/>
          <w:b/>
          <w:sz w:val="34"/>
        </w:rPr>
        <w:t>FINFOLIO 2.0 — PORTFOLIO ATTRIBUTION &amp; RISK ANALYTICS</w:t>
      </w:r>
    </w:p>
    <w:tbl>
      <w:tblPr>
        <w:tblW w:type="auto" w:w="0"/>
        <w:jc w:val="center"/>
        <w:tblLayout w:type="fixed"/>
        <w:tblLook w:firstColumn="1" w:firstRow="1" w:lastColumn="0" w:lastRow="0" w:noHBand="0" w:noVBand="1" w:val="04A0"/>
      </w:tblPr>
      <w:tblGrid>
        <w:gridCol w:w="2381"/>
        <w:gridCol w:w="5896"/>
      </w:tblGrid>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Student</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Nguyễn Quỳnh Anh</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Student ID</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2413380010</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Role</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Product Manager / Flow &amp; Testing Lead</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Group</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G09 — K63</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Course</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Information Technology Applications in Finance and Banking (NHA408E)</w:t>
            </w:r>
          </w:p>
        </w:tc>
      </w:tr>
      <w:tr>
        <w:tc>
          <w:tcPr>
            <w:tcW w:type="dxa" w:w="4702"/>
            <w:shd w:fill="D9EAF7"/>
            <w:vAlign w:val="center"/>
            <w:tcMar>
              <w:top w:w="110" w:type="dxa"/>
              <w:start w:w="120" w:type="dxa"/>
              <w:bottom w:w="110" w:type="dxa"/>
              <w:end w:w="120" w:type="dxa"/>
            </w:tcMar>
          </w:tcPr>
          <w:p>
            <w:pPr>
              <w:spacing w:after="0"/>
              <w:jc w:val="left"/>
            </w:pPr>
            <w:r>
              <w:rPr>
                <w:rFonts w:ascii="Times New Roman" w:hAnsi="Times New Roman"/>
                <w:b/>
                <w:sz w:val="21"/>
              </w:rPr>
              <w:t>Instructor</w:t>
            </w:r>
          </w:p>
        </w:tc>
        <w:tc>
          <w:tcPr>
            <w:tcW w:type="dxa" w:w="4702"/>
            <w:vAlign w:val="center"/>
            <w:tcMar>
              <w:top w:w="110" w:type="dxa"/>
              <w:start w:w="120" w:type="dxa"/>
              <w:bottom w:w="110" w:type="dxa"/>
              <w:end w:w="120" w:type="dxa"/>
            </w:tcMar>
          </w:tcPr>
          <w:p>
            <w:pPr>
              <w:spacing w:after="0"/>
              <w:jc w:val="left"/>
            </w:pPr>
            <w:r>
              <w:rPr>
                <w:rFonts w:ascii="Times New Roman" w:hAnsi="Times New Roman"/>
                <w:b w:val="0"/>
                <w:sz w:val="21"/>
              </w:rPr>
              <w:t>Phan Trần Trung Dũng</w:t>
            </w:r>
          </w:p>
        </w:tc>
      </w:tr>
    </w:tbl>
    <w:p>
      <w:pPr>
        <w:spacing w:before="640"/>
        <w:jc w:val="center"/>
      </w:pPr>
      <w:r>
        <w:rPr>
          <w:rFonts w:ascii="Times New Roman" w:hAnsi="Times New Roman"/>
          <w:sz w:val="22"/>
        </w:rPr>
        <w:t>Hanoi, October 2026</w:t>
      </w:r>
    </w:p>
    <w:p>
      <w:pPr>
        <w:sectPr>
          <w:headerReference w:type="default" r:id="rId22"/>
          <w:footerReference w:type="default" r:id="rId23"/>
          <w:footnotePr>
            <w:numRestart w:val="eachSect"/>
          </w:footnotePr>
          <w:pgSz w:w="12240" w:h="15840"/>
          <w:pgMar w:top="1134" w:right="1134" w:bottom="1134" w:left="1701" w:header="720" w:footer="720" w:gutter="0"/>
          <w:cols w:space="720"/>
          <w:titlePg/>
          <w:pgBorders w:display="firstPage" w:offsetFrom="page">
            <w:top w:val="double" w:sz="6" w:space="24" w:color="000000"/>
            <w:left w:val="double" w:sz="6" w:space="24" w:color="000000"/>
            <w:bottom w:val="double" w:sz="6" w:space="24" w:color="000000"/>
            <w:right w:val="double" w:sz="6" w:space="24" w:color="000000"/>
          </w:pgBorders>
        </w:sectPr>
      </w:pPr>
    </w:p>
    <w:p>
      <w:pPr>
        <w:pStyle w:val="ReferenceFront"/>
        <w:jc w:val="center"/>
      </w:pPr>
      <w:r>
        <w:t>ABSTRACT</w:t>
      </w:r>
    </w:p>
    <w:p>
      <w:pPr>
        <w:pStyle w:val="ReportAbstract"/>
      </w:pPr>
      <w:r>
        <w:t>This report documents my responsibility for converting product requirements into user flows, acceptance criteria and verifiable tests. It covers happy, alternative and error paths, regression evidence, bug governance and production acceptance.</w:t>
      </w:r>
    </w:p>
    <w:p>
      <w:pPr>
        <w:pStyle w:val="ReportAbstract"/>
      </w:pPr>
      <w:r>
        <w:rPr>
          <w:b/>
        </w:rPr>
        <w:t xml:space="preserve">Keywords: </w:t>
      </w:r>
      <w:r>
        <w:t>Finfolio 2.0; portfolio attribution; risk analytics; individual contribution; reproducibility.</w:t>
      </w:r>
    </w:p>
    <w:p>
      <w:pPr>
        <w:pStyle w:val="Heading2"/>
      </w:pPr>
      <w:r>
        <w:t>Verification principle</w:t>
      </w:r>
    </w:p>
    <w:p>
      <w:pPr>
        <w:pStyle w:val="ReportAbstract"/>
      </w:pPr>
      <w:r>
        <w:t>This report interprets the member's responsibilities from the G09 Individual Footprint. Each contribution is linked to an output, repository file or reproducible check. Git commit authorship is not treated as sole proof because one member may integrate files for the team.</w:t>
      </w:r>
    </w:p>
    <w:p>
      <w:pPr>
        <w:pStyle w:val="ReferenceFront"/>
        <w:jc w:val="center"/>
      </w:pPr>
      <w:r>
        <w:t>CONTENTS</w:t>
      </w:r>
    </w:p>
    <w:p>
      <w:pPr>
        <w:spacing w:after="100"/>
        <w:ind w:left="283" w:right="283"/>
        <w:tabs>
          <w:tab w:val="right" w:leader="dot" w:pos="8700"/>
        </w:tabs>
      </w:pPr>
      <w:r>
        <w:rPr>
          <w:rFonts w:ascii="Times New Roman" w:hAnsi="Times New Roman"/>
          <w:sz w:val="22"/>
        </w:rPr>
        <w:t>I. Role and accountability</w:t>
        <w:tab/>
        <w:t>3</w:t>
      </w:r>
    </w:p>
    <w:p>
      <w:pPr>
        <w:spacing w:after="100"/>
        <w:ind w:left="283" w:right="283"/>
        <w:tabs>
          <w:tab w:val="right" w:leader="dot" w:pos="8700"/>
        </w:tabs>
      </w:pPr>
      <w:r>
        <w:rPr>
          <w:rFonts w:ascii="Times New Roman" w:hAnsi="Times New Roman"/>
          <w:sz w:val="22"/>
        </w:rPr>
        <w:t>II. Distinctive contribution to Finfolio 2.0</w:t>
        <w:tab/>
        <w:t>3</w:t>
      </w:r>
    </w:p>
    <w:p>
      <w:pPr>
        <w:spacing w:after="100"/>
        <w:ind w:left="283" w:right="283"/>
        <w:tabs>
          <w:tab w:val="right" w:leader="dot" w:pos="8700"/>
        </w:tabs>
      </w:pPr>
      <w:r>
        <w:rPr>
          <w:rFonts w:ascii="Times New Roman" w:hAnsi="Times New Roman"/>
          <w:sz w:val="22"/>
        </w:rPr>
        <w:t>III. Work completed across the project</w:t>
        <w:tab/>
        <w:t>3</w:t>
      </w:r>
    </w:p>
    <w:p>
      <w:pPr>
        <w:spacing w:after="100"/>
        <w:ind w:left="283" w:right="283"/>
        <w:tabs>
          <w:tab w:val="right" w:leader="dot" w:pos="8700"/>
        </w:tabs>
      </w:pPr>
      <w:r>
        <w:rPr>
          <w:rFonts w:ascii="Times New Roman" w:hAnsi="Times New Roman"/>
          <w:sz w:val="22"/>
        </w:rPr>
        <w:t>IV. Evidence and reproducibility</w:t>
        <w:tab/>
        <w:t>4</w:t>
      </w:r>
    </w:p>
    <w:p>
      <w:pPr>
        <w:spacing w:after="100"/>
        <w:ind w:left="283" w:right="283"/>
        <w:tabs>
          <w:tab w:val="right" w:leader="dot" w:pos="8700"/>
        </w:tabs>
      </w:pPr>
      <w:r>
        <w:rPr>
          <w:rFonts w:ascii="Times New Roman" w:hAnsi="Times New Roman"/>
          <w:sz w:val="22"/>
        </w:rPr>
        <w:t>V. Weekly evidence trail</w:t>
        <w:tab/>
        <w:t>5</w:t>
      </w:r>
    </w:p>
    <w:p>
      <w:pPr>
        <w:spacing w:after="100"/>
        <w:ind w:left="283" w:right="283"/>
        <w:tabs>
          <w:tab w:val="right" w:leader="dot" w:pos="8700"/>
        </w:tabs>
      </w:pPr>
      <w:r>
        <w:rPr>
          <w:rFonts w:ascii="Times New Roman" w:hAnsi="Times New Roman"/>
          <w:sz w:val="22"/>
        </w:rPr>
        <w:t>VI. Limitations and lessons learned</w:t>
        <w:tab/>
        <w:t>5</w:t>
      </w:r>
    </w:p>
    <w:p>
      <w:pPr>
        <w:spacing w:after="100"/>
        <w:ind w:left="283" w:right="283"/>
        <w:tabs>
          <w:tab w:val="right" w:leader="dot" w:pos="8700"/>
        </w:tabs>
      </w:pPr>
      <w:r>
        <w:rPr>
          <w:rFonts w:ascii="Times New Roman" w:hAnsi="Times New Roman"/>
          <w:sz w:val="22"/>
        </w:rPr>
        <w:t>Individual declaration</w:t>
        <w:tab/>
        <w:t>6</w:t>
      </w:r>
    </w:p>
    <w:p>
      <w:r>
        <w:br w:type="page"/>
      </w:r>
    </w:p>
    <w:p>
      <w:pPr>
        <w:pStyle w:val="Heading1"/>
      </w:pPr>
      <w:r>
        <w:t>I. Role and accountability</w:t>
      </w:r>
    </w:p>
    <w:p>
      <w:r>
        <w:t>As Product Manager and Flow &amp; Testing Lead, I converted product and financial requirements into user journeys, acceptance criteria and verifiable test cases. I owned the happy, alternative and error paths; validation behavior; regression coverage; bug governance; and production acceptance evidence. My contribution ensured that the application did not merely calculate values but behaved predictably when data or constraints were incomplete.</w:t>
      </w:r>
    </w:p>
    <w:p>
      <w:pPr>
        <w:pStyle w:val="Heading1"/>
      </w:pPr>
      <w:r>
        <w:t>II. Distinctive contribution to Finfolio 2.0</w:t>
      </w:r>
    </w:p>
    <w:p>
      <w:pPr>
        <w:pStyle w:val="Heading2"/>
      </w:pPr>
      <w:r>
        <w:t>2.1 Three-path user-flow specification</w:t>
      </w:r>
    </w:p>
    <w:p>
      <w:r>
        <w:t>I documented the successful flow from portfolio input to analysis and decision recording, alternative flows for fallbacks or limited benchmark data, and error flows for invalid symbols, non-positive values, duplicates and infeasible caps. Each error must be attached to an actionable user message rather than becoming a silent backend failure.</w:t>
      </w:r>
    </w:p>
    <w:p>
      <w:pPr>
        <w:pStyle w:val="Heading2"/>
      </w:pPr>
      <w:r>
        <w:t>2.2 Acceptance criteria for financial identities</w:t>
      </w:r>
    </w:p>
    <w:p>
      <w:r>
        <w:t>I translated financial methodology into observable pass/fail conditions. Return contributions must reconcile with portfolio return; Euler components must reconcile with portfolio volatility; optimized weights must sum to 100% and satisfy all caps; before/after comparisons must use the same observations and assumptions.</w:t>
      </w:r>
    </w:p>
    <w:p>
      <w:pPr>
        <w:pStyle w:val="Heading2"/>
      </w:pPr>
      <w:r>
        <w:t>2.3 Regression and bug governance</w:t>
      </w:r>
    </w:p>
    <w:p>
      <w:r>
        <w:t>I maintained a bug log that records symptom, severity, cause, owner, correction and regression evidence. Issues included provider failure, stale result state after input changes, missing Vietnam benchmark data and infeasible optimization caps. A fix is considered complete only after the relevant test or production check passes.</w:t>
      </w:r>
    </w:p>
    <w:p>
      <w:pPr>
        <w:pStyle w:val="Heading1"/>
      </w:pPr>
      <w:r>
        <w:t>III. Work completed across the project</w:t>
      </w:r>
    </w:p>
    <w:p>
      <w:pPr>
        <w:pStyle w:val="Heading2"/>
      </w:pPr>
      <w:r>
        <w:t>3.1 Requirement synthesis — Weeks 1–2</w:t>
      </w:r>
    </w:p>
    <w:p>
      <w:pPr>
        <w:pStyle w:val="ListBullet"/>
        <w:ind w:left="369" w:hanging="198"/>
      </w:pPr>
      <w:r>
        <w:t>• Consolidated candidate problems and instructor feedback.</w:t>
      </w:r>
    </w:p>
    <w:p>
      <w:pPr>
        <w:pStyle w:val="ListBullet"/>
        <w:ind w:left="369" w:hanging="198"/>
      </w:pPr>
      <w:r>
        <w:t>• Converted the selected concept into a traceable user journey.</w:t>
      </w:r>
    </w:p>
    <w:p>
      <w:pPr>
        <w:pStyle w:val="ListBullet"/>
        <w:ind w:left="369" w:hanging="198"/>
      </w:pPr>
      <w:r>
        <w:t>• Distinguished core MVP behavior from deferred features such as brokerage execution.</w:t>
      </w:r>
    </w:p>
    <w:p>
      <w:pPr>
        <w:pStyle w:val="Heading2"/>
      </w:pPr>
      <w:r>
        <w:t>3.2 Validation matrix — Week 3</w:t>
      </w:r>
    </w:p>
    <w:p>
      <w:pPr>
        <w:pStyle w:val="ListBullet"/>
        <w:ind w:left="369" w:hanging="198"/>
      </w:pPr>
      <w:r>
        <w:t>• Defined ticker normalization, positive-value checks, duplicate detection and currency validation.</w:t>
      </w:r>
    </w:p>
    <w:p>
      <w:pPr>
        <w:pStyle w:val="ListBullet"/>
        <w:ind w:left="369" w:hanging="198"/>
      </w:pPr>
      <w:r>
        <w:t>• Defined feasibility checks, including the case where the sum of permitted maximum weights is below 100%.</w:t>
      </w:r>
    </w:p>
    <w:p>
      <w:pPr>
        <w:pStyle w:val="ListBullet"/>
        <w:ind w:left="369" w:hanging="198"/>
      </w:pPr>
      <w:r>
        <w:t>• Specified that invalid input clears or blocks stale analysis output.</w:t>
      </w:r>
    </w:p>
    <w:p>
      <w:pPr>
        <w:pStyle w:val="Heading2"/>
      </w:pPr>
      <w:r>
        <w:t>3.3 Acceptance scenarios — Week 5</w:t>
      </w:r>
    </w:p>
    <w:p>
      <w:pPr>
        <w:pStyle w:val="ListBullet"/>
        <w:ind w:left="369" w:hanging="198"/>
      </w:pPr>
      <w:r>
        <w:t>• Created scenarios covering valid multi-asset portfolios, invalid totals, benchmark gaps, return and risk reconciliation, feasible and infeasible optimization, before/after consistency and prohibited recommendation language.</w:t>
      </w:r>
    </w:p>
    <w:p>
      <w:pPr>
        <w:pStyle w:val="ListBullet"/>
        <w:ind w:left="369" w:hanging="198"/>
      </w:pPr>
      <w:r>
        <w:t>• Connected each scenario to an expected visible result.</w:t>
      </w:r>
    </w:p>
    <w:p>
      <w:pPr>
        <w:pStyle w:val="Heading2"/>
      </w:pPr>
      <w:r>
        <w:t>3.4 Build testing and bug log — Week 6</w:t>
      </w:r>
    </w:p>
    <w:p>
      <w:pPr>
        <w:pStyle w:val="ListBullet"/>
        <w:ind w:left="369" w:hanging="198"/>
      </w:pPr>
      <w:r>
        <w:t>• Executed the first integrated test matrix against the working product.</w:t>
      </w:r>
    </w:p>
    <w:p>
      <w:pPr>
        <w:pStyle w:val="ListBullet"/>
        <w:ind w:left="369" w:hanging="198"/>
      </w:pPr>
      <w:r>
        <w:t>• Recorded provider, calculation and state-management defects and followed them through correction.</w:t>
      </w:r>
    </w:p>
    <w:p>
      <w:pPr>
        <w:pStyle w:val="ListBullet"/>
        <w:ind w:left="369" w:hanging="198"/>
      </w:pPr>
      <w:r>
        <w:t>• Distinguished expected and actual results rather than recording unsupported “Pass” labels.</w:t>
      </w:r>
    </w:p>
    <w:p>
      <w:pPr>
        <w:pStyle w:val="Heading2"/>
      </w:pPr>
      <w:r>
        <w:t>3.5 Final audit — Week 7</w:t>
      </w:r>
    </w:p>
    <w:p>
      <w:pPr>
        <w:pStyle w:val="ListBullet"/>
        <w:ind w:left="369" w:hanging="198"/>
      </w:pPr>
      <w:r>
        <w:t>• Reviewed JavaScript and Python verification results and production smoke tests.</w:t>
      </w:r>
    </w:p>
    <w:p>
      <w:pPr>
        <w:pStyle w:val="ListBullet"/>
        <w:ind w:left="369" w:hanging="198"/>
      </w:pPr>
      <w:r>
        <w:t>• Checked core routes and responsive behavior at representative viewport sizes.</w:t>
      </w:r>
    </w:p>
    <w:p>
      <w:pPr>
        <w:pStyle w:val="ListBullet"/>
        <w:ind w:left="369" w:hanging="198"/>
      </w:pPr>
      <w:r>
        <w:t>• Confirmed that methodology and limitation text remained visible next to advanced outputs.</w:t>
      </w:r>
    </w:p>
    <w:p>
      <w:pPr>
        <w:pStyle w:val="Heading1"/>
      </w:pPr>
      <w:r>
        <w:t>IV. Evidence and reproducibility</w:t>
      </w:r>
    </w:p>
    <w:tbl>
      <w:tblPr>
        <w:tblW w:type="auto" w:w="0"/>
        <w:tblLayout w:type="autofit"/>
        <w:tblLook w:firstColumn="1" w:firstRow="1" w:lastColumn="0" w:lastRow="0" w:noHBand="0" w:noVBand="1" w:val="04A0"/>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309"/>
        <w:gridCol w:w="2309"/>
        <w:gridCol w:w="2309"/>
        <w:gridCol w:w="2309"/>
      </w:tblGrid>
      <w:tr>
        <w:trPr>
          <w:tblHeader w:val="true"/>
          <w:cantSplit/>
        </w:trPr>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Deliverable</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Actual contribution</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Repository evidence</w:t>
            </w:r>
          </w:p>
        </w:tc>
        <w:tc>
          <w:tcPr>
            <w:tcW w:type="dxa" w:w="2309"/>
            <w:tcMar>
              <w:top w:w="65" w:type="dxa"/>
              <w:start w:w="75" w:type="dxa"/>
              <w:bottom w:w="65" w:type="dxa"/>
              <w:end w:w="75" w:type="dxa"/>
            </w:tcMar>
            <w:vAlign w:val="center"/>
            <w:shd w:fill="1F4E79"/>
          </w:tcPr>
          <w:p>
            <w:pPr>
              <w:spacing w:after="0"/>
              <w:jc w:val="left"/>
            </w:pPr>
            <w:r>
              <w:rPr>
                <w:rFonts w:ascii="Times New Roman" w:hAnsi="Times New Roman"/>
                <w:b/>
                <w:color w:val="FFFFFF"/>
                <w:sz w:val="15"/>
              </w:rPr>
            </w:r>
            <w:r>
              <w:rPr>
                <w:rFonts w:ascii="Times New Roman" w:hAnsi="Times New Roman"/>
                <w:b/>
                <w:color w:val="FFFFFF"/>
                <w:sz w:val="15"/>
              </w:rPr>
              <w:t>How to reproduce or explain it</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User flows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Happy, alternative and error paths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docs/WEEK5.md</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Walk through one path of each type</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Acceptance criteria</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Nine core scenarios and visible outcomes</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docs/WEEK5.md</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Map each requirement to its acceptance result</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Week 6 test matrix</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Integrated functional and boundary cases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docs/WEEK6.md</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Re-run the documented cases</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Freshness regression</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Prevented a recent download timestamp from hiding an old market session</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demo/freshness.test.mjs</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 xml:space="preserve">Run </w:t>
            </w:r>
            <w:r>
              <w:rPr>
                <w:rFonts w:ascii="Times New Roman" w:hAnsi="Times New Roman"/>
                <w:color w:val="464646"/>
                <w:sz w:val="15"/>
              </w:rPr>
              <w:t>node --test demo/freshness.test.mjs</w:t>
            </w:r>
          </w:p>
        </w:tc>
      </w:tr>
      <w:tr>
        <w:trPr>
          <w:cantSplit/>
        </w:trPr>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Research regression</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Feasibility and seeded-simulation checks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color w:val="464646"/>
                <w:sz w:val="15"/>
              </w:rPr>
              <w:t>demo/research.test.mjs</w:t>
            </w:r>
          </w:p>
        </w:tc>
        <w:tc>
          <w:tcPr>
            <w:tcW w:type="dxa" w:w="2309"/>
            <w:tcMar>
              <w:top w:w="65" w:type="dxa"/>
              <w:start w:w="75" w:type="dxa"/>
              <w:bottom w:w="65" w:type="dxa"/>
              <w:end w:w="75" w:type="dxa"/>
            </w:tcMar>
            <w:vAlign w:val="center"/>
          </w:tcPr>
          <w:p>
            <w:pPr>
              <w:spacing w:after="0"/>
              <w:jc w:val="left"/>
            </w:pPr>
            <w:r>
              <w:rPr>
                <w:rFonts w:ascii="Times New Roman" w:hAnsi="Times New Roman"/>
                <w:sz w:val="15"/>
              </w:rPr>
            </w:r>
            <w:r>
              <w:rPr>
                <w:rFonts w:ascii="Times New Roman" w:hAnsi="Times New Roman"/>
                <w:sz w:val="15"/>
              </w:rPr>
              <w:t xml:space="preserve">Run </w:t>
            </w:r>
            <w:r>
              <w:rPr>
                <w:rFonts w:ascii="Times New Roman" w:hAnsi="Times New Roman"/>
                <w:color w:val="464646"/>
                <w:sz w:val="15"/>
              </w:rPr>
              <w:t>node --test demo/research.test.mjs</w:t>
            </w:r>
          </w:p>
        </w:tc>
      </w:tr>
      <w:tr>
        <w:trPr>
          <w:cantSplit/>
        </w:trPr>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Final audit</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Expected-versus-actual release evidence</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color w:val="464646"/>
                <w:sz w:val="15"/>
              </w:rPr>
              <w:t>docs/WEEK7.md</w:t>
            </w:r>
          </w:p>
        </w:tc>
        <w:tc>
          <w:tcPr>
            <w:tcW w:type="dxa" w:w="2309"/>
            <w:tcMar>
              <w:top w:w="65" w:type="dxa"/>
              <w:start w:w="75" w:type="dxa"/>
              <w:bottom w:w="65" w:type="dxa"/>
              <w:end w:w="75" w:type="dxa"/>
            </w:tcMar>
            <w:vAlign w:val="center"/>
            <w:shd w:fill="EEF5FA"/>
          </w:tcPr>
          <w:p>
            <w:pPr>
              <w:spacing w:after="0"/>
              <w:jc w:val="left"/>
            </w:pPr>
            <w:r>
              <w:rPr>
                <w:rFonts w:ascii="Times New Roman" w:hAnsi="Times New Roman"/>
                <w:sz w:val="15"/>
              </w:rPr>
            </w:r>
            <w:r>
              <w:rPr>
                <w:rFonts w:ascii="Times New Roman" w:hAnsi="Times New Roman"/>
                <w:sz w:val="15"/>
              </w:rPr>
              <w:t>Review the final acceptance table and production routes</w:t>
            </w:r>
          </w:p>
        </w:tc>
      </w:tr>
    </w:tbl>
    <w:p>
      <w:pPr>
        <w:spacing w:after="20"/>
      </w:pPr>
    </w:p>
    <w:p>
      <w:pPr>
        <w:pStyle w:val="Heading1"/>
      </w:pPr>
      <w:r>
        <w:t>V. Weekly evidence trail</w:t>
      </w:r>
    </w:p>
    <w:tbl>
      <w:tblPr>
        <w:tblW w:type="auto" w:w="0"/>
        <w:tblLayout w:type="autofit"/>
        <w:tblLook w:firstColumn="1" w:firstRow="1" w:lastColumn="0" w:lastRow="0" w:noHBand="0" w:noVBand="1" w:val="04A0"/>
        <w:jc w:val="center"/>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3079"/>
        <w:gridCol w:w="3079"/>
        <w:gridCol w:w="3079"/>
      </w:tblGrid>
      <w:tr>
        <w:trPr>
          <w:tblHeader w:val="true"/>
          <w:cantSplit/>
        </w:trPr>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Week</w:t>
            </w:r>
          </w:p>
        </w:tc>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Verified output</w:t>
            </w:r>
          </w:p>
        </w:tc>
        <w:tc>
          <w:tcPr>
            <w:tcW w:type="dxa" w:w="3079"/>
            <w:tcMar>
              <w:top w:w="65" w:type="dxa"/>
              <w:start w:w="75" w:type="dxa"/>
              <w:bottom w:w="65" w:type="dxa"/>
              <w:end w:w="75" w:type="dxa"/>
            </w:tcMar>
            <w:vAlign w:val="center"/>
            <w:shd w:fill="1F4E79"/>
          </w:tcPr>
          <w:p>
            <w:pPr>
              <w:spacing w:after="0"/>
              <w:jc w:val="left"/>
            </w:pPr>
            <w:r>
              <w:rPr>
                <w:rFonts w:ascii="Times New Roman" w:hAnsi="Times New Roman"/>
                <w:b/>
                <w:color w:val="FFFFFF"/>
                <w:sz w:val="17"/>
              </w:rPr>
            </w:r>
            <w:r>
              <w:rPr>
                <w:rFonts w:ascii="Times New Roman" w:hAnsi="Times New Roman"/>
                <w:b/>
                <w:color w:val="FFFFFF"/>
                <w:sz w:val="17"/>
              </w:rPr>
              <w:t>Personal significance</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W1</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Candidate-problem and feedback synthesis</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Supported a feasible project decision</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W2</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Requirement breakdown and user journey</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Converted the concept into observable steps</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W3</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Validation register</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Prevented invalid data from reaching the engine</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W4</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Reconciliation acceptance logic</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Defined machine-checkable financial consistency</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W5</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Nine acceptance scenarios</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Established the build contract</w:t>
            </w:r>
          </w:p>
        </w:tc>
      </w:tr>
      <w:tr>
        <w:trPr>
          <w:cantSplit/>
        </w:trPr>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W6</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Integrated test table and bug log</w:t>
            </w:r>
          </w:p>
        </w:tc>
        <w:tc>
          <w:tcPr>
            <w:tcW w:type="dxa" w:w="3079"/>
            <w:tcMar>
              <w:top w:w="65" w:type="dxa"/>
              <w:start w:w="75" w:type="dxa"/>
              <w:bottom w:w="65" w:type="dxa"/>
              <w:end w:w="75" w:type="dxa"/>
            </w:tcMar>
            <w:vAlign w:val="center"/>
            <w:shd w:fill="EEF5FA"/>
          </w:tcPr>
          <w:p>
            <w:pPr>
              <w:spacing w:after="0"/>
              <w:jc w:val="left"/>
            </w:pPr>
            <w:r>
              <w:rPr>
                <w:rFonts w:ascii="Times New Roman" w:hAnsi="Times New Roman"/>
                <w:sz w:val="17"/>
              </w:rPr>
            </w:r>
            <w:r>
              <w:rPr>
                <w:rFonts w:ascii="Times New Roman" w:hAnsi="Times New Roman"/>
                <w:sz w:val="17"/>
              </w:rPr>
              <w:t>Governed defects in the first working demo</w:t>
            </w:r>
          </w:p>
        </w:tc>
      </w:tr>
      <w:tr>
        <w:trPr>
          <w:cantSplit/>
        </w:trPr>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W7</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Final audit and production smoke checks</w:t>
            </w:r>
          </w:p>
        </w:tc>
        <w:tc>
          <w:tcPr>
            <w:tcW w:type="dxa" w:w="3079"/>
            <w:tcMar>
              <w:top w:w="65" w:type="dxa"/>
              <w:start w:w="75" w:type="dxa"/>
              <w:bottom w:w="65" w:type="dxa"/>
              <w:end w:w="75" w:type="dxa"/>
            </w:tcMar>
            <w:vAlign w:val="center"/>
          </w:tcPr>
          <w:p>
            <w:pPr>
              <w:spacing w:after="0"/>
              <w:jc w:val="left"/>
            </w:pPr>
            <w:r>
              <w:rPr>
                <w:rFonts w:ascii="Times New Roman" w:hAnsi="Times New Roman"/>
                <w:sz w:val="17"/>
              </w:rPr>
            </w:r>
            <w:r>
              <w:rPr>
                <w:rFonts w:ascii="Times New Roman" w:hAnsi="Times New Roman"/>
                <w:sz w:val="17"/>
              </w:rPr>
              <w:t>Supported release readiness</w:t>
            </w:r>
          </w:p>
        </w:tc>
      </w:tr>
    </w:tbl>
    <w:p>
      <w:pPr>
        <w:spacing w:after="20"/>
      </w:pPr>
    </w:p>
    <w:p>
      <w:pPr>
        <w:pStyle w:val="Heading1"/>
      </w:pPr>
      <w:r>
        <w:t>VI. Limitations and lessons learned</w:t>
      </w:r>
    </w:p>
    <w:p>
      <w:r>
        <w:t>Testing was primarily internal and did not include a large external user-acceptance sample. Upstream provider outages can be handled transparently but cannot always be eliminated on a free-data stack. These limitations mean that a passing automated suite is necessary but not sufficient evidence of universal usability.</w:t>
      </w:r>
    </w:p>
    <w:p>
      <w:r>
        <w:t>My main lesson was the difference between a requirement that sounds correct and a result that can be demonstrated. Each important behavior needs an input, expected outcome, actual observation and regression check. I can personally reproduce the core error paths and explain how the bug log links a reported defect to its final verification.</w:t>
      </w:r>
    </w:p>
    <w:p>
      <w:pPr>
        <w:pStyle w:val="Heading1"/>
        <w:pageBreakBefore/>
      </w:pPr>
      <w:r>
        <w:t>INDIVIDUAL DECLARATION</w:t>
      </w:r>
    </w:p>
    <w:p>
      <w:r>
        <w:t>I confirm that this report reflects the work that I am responsible for explaining, calculating, demonstrating or reproducing in Finfolio 2.0. Referenced outputs may be collaborative team artifacts; my individual accountability is defined by the contribution map and repository evidence.</w:t>
      </w:r>
    </w:p>
    <w:tbl>
      <w:tblPr>
        <w:tblW w:type="auto" w:w="0"/>
        <w:tblLook w:firstColumn="1" w:firstRow="1" w:lastColumn="0" w:lastRow="0" w:noHBand="0" w:noVBand="1" w:val="04A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4618"/>
        <w:gridCol w:w="4618"/>
      </w:tblGrid>
      <w:tr>
        <w:tc>
          <w:tcPr>
            <w:tcW w:type="dxa" w:w="4618"/>
            <w:shd w:fill="D9EAF7"/>
            <w:tcMar>
              <w:top w:w="150" w:type="dxa"/>
              <w:start w:w="120" w:type="dxa"/>
              <w:bottom w:w="150" w:type="dxa"/>
              <w:end w:w="120" w:type="dxa"/>
            </w:tcMar>
          </w:tcPr>
          <w:p>
            <w:pPr>
              <w:spacing w:after="0"/>
            </w:pPr>
            <w:r>
              <w:rPr>
                <w:rFonts w:ascii="Times New Roman" w:hAnsi="Times New Roman"/>
                <w:b/>
                <w:sz w:val="21"/>
              </w:rPr>
              <w:t>Full name</w:t>
            </w:r>
          </w:p>
        </w:tc>
        <w:tc>
          <w:tcPr>
            <w:tcW w:type="dxa" w:w="4618"/>
            <w:tcMar>
              <w:top w:w="150" w:type="dxa"/>
              <w:start w:w="120" w:type="dxa"/>
              <w:bottom w:w="150" w:type="dxa"/>
              <w:end w:w="120" w:type="dxa"/>
            </w:tcMar>
          </w:tcPr>
          <w:p>
            <w:pPr>
              <w:spacing w:after="0"/>
            </w:pPr>
            <w:r>
              <w:rPr>
                <w:rFonts w:ascii="Times New Roman" w:hAnsi="Times New Roman"/>
                <w:sz w:val="21"/>
              </w:rPr>
              <w:t>Nguyễn Quỳnh Anh</w:t>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Student ID</w:t>
            </w:r>
          </w:p>
        </w:tc>
        <w:tc>
          <w:tcPr>
            <w:tcW w:type="dxa" w:w="4618"/>
            <w:tcMar>
              <w:top w:w="150" w:type="dxa"/>
              <w:start w:w="120" w:type="dxa"/>
              <w:bottom w:w="150" w:type="dxa"/>
              <w:end w:w="120" w:type="dxa"/>
            </w:tcMar>
          </w:tcPr>
          <w:p>
            <w:pPr>
              <w:spacing w:after="0"/>
            </w:pPr>
            <w:r>
              <w:rPr>
                <w:rFonts w:ascii="Times New Roman" w:hAnsi="Times New Roman"/>
                <w:sz w:val="21"/>
              </w:rPr>
              <w:t>2413380010</w:t>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Signature</w:t>
            </w:r>
          </w:p>
        </w:tc>
        <w:tc>
          <w:tcPr>
            <w:tcW w:type="dxa" w:w="4618"/>
            <w:tcMar>
              <w:top w:w="150" w:type="dxa"/>
              <w:start w:w="120" w:type="dxa"/>
              <w:bottom w:w="150" w:type="dxa"/>
              <w:end w:w="120" w:type="dxa"/>
            </w:tcMar>
          </w:tcPr>
          <w:p>
            <w:pPr>
              <w:spacing w:after="0"/>
            </w:pPr>
            <w:r>
              <w:rPr>
                <w:rFonts w:ascii="Times New Roman" w:hAnsi="Times New Roman"/>
                <w:sz w:val="21"/>
              </w:rPr>
            </w:r>
          </w:p>
        </w:tc>
      </w:tr>
      <w:tr>
        <w:tc>
          <w:tcPr>
            <w:tcW w:type="dxa" w:w="4618"/>
            <w:shd w:fill="D9EAF7"/>
            <w:tcMar>
              <w:top w:w="150" w:type="dxa"/>
              <w:start w:w="120" w:type="dxa"/>
              <w:bottom w:w="150" w:type="dxa"/>
              <w:end w:w="120" w:type="dxa"/>
            </w:tcMar>
          </w:tcPr>
          <w:p>
            <w:pPr>
              <w:spacing w:after="0"/>
            </w:pPr>
            <w:r>
              <w:rPr>
                <w:rFonts w:ascii="Times New Roman" w:hAnsi="Times New Roman"/>
                <w:b/>
                <w:sz w:val="21"/>
              </w:rPr>
              <w:t>Date</w:t>
            </w:r>
          </w:p>
        </w:tc>
        <w:tc>
          <w:tcPr>
            <w:tcW w:type="dxa" w:w="4618"/>
            <w:tcMar>
              <w:top w:w="150" w:type="dxa"/>
              <w:start w:w="120" w:type="dxa"/>
              <w:bottom w:w="150" w:type="dxa"/>
              <w:end w:w="120" w:type="dxa"/>
            </w:tcMar>
          </w:tcPr>
          <w:p>
            <w:pPr>
              <w:spacing w:after="0"/>
            </w:pPr>
            <w:r>
              <w:rPr>
                <w:rFonts w:ascii="Times New Roman" w:hAnsi="Times New Roman"/>
                <w:sz w:val="21"/>
              </w:rPr>
            </w:r>
          </w:p>
        </w:tc>
      </w:tr>
    </w:tbl>
    <w:sectPr w:rsidR="00DC5944">
      <w:headerReference w:type="default" r:id="rId26"/>
      <w:footerReference w:type="default" r:id="rId27"/>
      <w:footnotePr>
        <w:numRestart w:val="eachSect"/>
      </w:footnotePr>
      <w:pgSz w:w="12240" w:h="15840"/>
      <w:pgMar w:top="1417" w:right="1417" w:bottom="1417" w:left="1587" w:header="720" w:footer="720" w:gutter="0"/>
      <w:cols w:space="720"/>
      <w:pgNumType w:start="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1163D3" w14:textId="77777777" w:rsidR="006D6761" w:rsidRDefault="006D6761">
      <w:pPr>
        <w:spacing w:after="0" w:line="240" w:lineRule="auto"/>
      </w:pPr>
      <w:r>
        <w:separator/>
      </w:r>
    </w:p>
  </w:endnote>
  <w:endnote w:type="continuationSeparator" w:id="0">
    <w:p w14:paraId="3998D4AC" w14:textId="77777777" w:rsidR="006D6761" w:rsidRDefault="006D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D5ABB" w14:textId="77777777" w:rsidR="00DC5944" w:rsidRDefault="00DC59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6030E5" w14:textId="77777777" w:rsidR="00DC5944" w:rsidRDefault="00DC594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F7367A" w14:textId="77777777" w:rsidR="00DC5944" w:rsidRDefault="00000000">
    <w:pPr>
      <w:spacing w:after="0" w:line="240" w:lineRule="auto"/>
      <w:ind w:firstLine="0"/>
      <w:jc w:val="right"/>
    </w:pPr>
    <w:r>
      <w:fldChar w:fldCharType="begin"/>
    </w:r>
    <w:r>
      <w:instrText>PAGE</w:instrText>
    </w:r>
    <w:r>
      <w:fldChar w:fldCharType="separate"/>
    </w:r>
    <w:r>
      <w:rPr>
        <w:sz w:val="24"/>
      </w:rPr>
      <w:t>2</w:t>
    </w:r>
    <w:r>
      <w:rPr>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0"/>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5A5DC" w14:textId="77777777" w:rsidR="006D6761" w:rsidRDefault="006D6761">
      <w:pPr>
        <w:spacing w:after="0" w:line="240" w:lineRule="auto"/>
      </w:pPr>
      <w:r>
        <w:separator/>
      </w:r>
    </w:p>
  </w:footnote>
  <w:footnote w:type="continuationSeparator" w:id="0">
    <w:p w14:paraId="7DB3ED2C" w14:textId="77777777" w:rsidR="006D6761" w:rsidRDefault="006D6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2ADDD7" w14:textId="77777777" w:rsidR="00DC5944" w:rsidRDefault="00DC594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54B451" w14:textId="77777777" w:rsidR="00DC5944" w:rsidRDefault="00DC59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958A4" w14:textId="77777777" w:rsidR="00DC5944" w:rsidRDefault="00DC5944"/>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D08A7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123703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C5944"/>
    <w:rsid w:val="000460F5"/>
    <w:rsid w:val="006D6761"/>
    <w:rsid w:val="009908EB"/>
    <w:rsid w:val="00DC5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9241B6"/>
  <w15:docId w15:val="{04642DCF-ADC0-044D-B820-E33E48895E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24" w:lineRule="auto"/>
      <w:ind w:firstLine="425"/>
      <w:jc w:val="both"/>
    </w:pPr>
    <w:rPr>
      <w:rFonts w:ascii="Times New Roman" w:hAnsi="Times New Roman"/>
      <w:sz w:val="22"/>
    </w:rPr>
  </w:style>
  <w:style w:type="paragraph" w:styleId="Heading1">
    <w:name w:val="heading 1"/>
    <w:basedOn w:val="Normal"/>
    <w:next w:val="BodyText"/>
    <w:link w:val="Heading1Char"/>
    <w:uiPriority w:val="9"/>
    <w:qFormat/>
    <w:rsid w:val="00A10FD9"/>
    <w:pPr>
      <w:keepNext/>
      <w:keepLines/>
      <w:spacing w:before="320" w:after="120" w:line="276" w:lineRule="auto"/>
      <w:ind w:firstLine="0"/>
      <w:outlineLvl w:val="0"/>
    </w:pPr>
    <w:rPr>
      <w:rFonts w:asciiTheme="majorHAnsi" w:eastAsiaTheme="majorEastAsia" w:hAnsiTheme="majorHAnsi" w:cstheme="majorBidi" w:ascii="Times New Roman" w:hAnsi="Times New Roman"/>
      <w:b/>
      <w:color w:val="1F4E79"/>
      <w:sz w:val="32"/>
      <w:szCs w:val="40"/>
    </w:rPr>
  </w:style>
  <w:style w:type="paragraph" w:styleId="Heading2">
    <w:name w:val="heading 2"/>
    <w:basedOn w:val="Normal"/>
    <w:next w:val="BodyText"/>
    <w:link w:val="Heading2Char"/>
    <w:uiPriority w:val="9"/>
    <w:semiHidden/>
    <w:unhideWhenUsed/>
    <w:qFormat/>
    <w:rsid w:val="00A10FD9"/>
    <w:pPr>
      <w:keepNext/>
      <w:keepLines/>
      <w:spacing w:before="200" w:after="80" w:line="276" w:lineRule="auto"/>
      <w:ind w:firstLine="0"/>
      <w:outlineLvl w:val="1"/>
    </w:pPr>
    <w:rPr>
      <w:rFonts w:asciiTheme="majorHAnsi" w:eastAsiaTheme="majorEastAsia" w:hAnsiTheme="majorHAnsi" w:cstheme="majorBidi" w:ascii="Times New Roman" w:hAnsi="Times New Roman"/>
      <w:b/>
      <w:color w:val="2F75B5"/>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60" w:line="276" w:lineRule="auto"/>
      <w:ind w:firstLine="0"/>
      <w:outlineLvl w:val="2"/>
    </w:pPr>
    <w:rPr>
      <w:rFonts w:eastAsiaTheme="majorEastAsia" w:cstheme="majorBidi" w:ascii="Times New Roman" w:hAnsi="Times New Roman"/>
      <w:b/>
      <w:color w:val="2F75B5"/>
      <w:sz w:val="22"/>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line="276" w:lineRule="auto"/>
      <w:ind w:firstLine="0"/>
    </w:pPr>
    <w:rPr>
      <w:sz w:val="24"/>
    </w:rPr>
  </w:style>
  <w:style w:type="paragraph" w:styleId="Title">
    <w:name w:val="Title"/>
    <w:basedOn w:val="Normal"/>
    <w:next w:val="BodyText"/>
    <w:link w:val="TitleChar"/>
    <w:uiPriority w:val="10"/>
    <w:qFormat/>
    <w:rsid w:val="00A10FD9"/>
    <w:pPr>
      <w:keepNext/>
      <w:spacing w:after="200" w:line="240" w:lineRule="auto" w:before="0"/>
      <w:contextualSpacing/>
      <w:jc w:val="center"/>
    </w:pPr>
    <w:rPr>
      <w:rFonts w:asciiTheme="majorHAnsi" w:eastAsiaTheme="majorEastAsia" w:hAnsiTheme="majorHAnsi" w:cstheme="majorBidi" w:ascii="Times New Roman" w:hAnsi="Times New Roman"/>
      <w:color w:val="1F4E79"/>
      <w:sz w:val="5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keepNext/>
      <w:numPr>
        <w:ilvl w:val="1"/>
      </w:numPr>
      <w:spacing w:before="0" w:after="160"/>
      <w:ind w:firstLine="425"/>
    </w:pPr>
    <w:rPr>
      <w:rFonts w:ascii="Times New Roman" w:hAnsi="Times New Roman"/>
      <w:color w:val="66666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rPr>
      <w:b/>
      <w:color w:val="000000"/>
      <w:sz w:val="20"/>
    </w:rPr>
  </w:style>
  <w:style w:type="paragraph" w:customStyle="1" w:styleId="ImageCaption">
    <w:name w:val="Image Caption"/>
    <w:basedOn w:val="Caption"/>
    <w:rPr>
      <w:b/>
      <w:color w:val="00000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ReferenceFront">
    <w:name w:val="Reference Front"/>
    <w:basedOn w:val="Normal"/>
  </w:style>
  <w:style w:type="paragraph" w:customStyle="1" w:styleId="ReferenceTOC1">
    <w:name w:val="Reference TOC 1"/>
    <w:basedOn w:val="Normal"/>
  </w:style>
  <w:style w:type="paragraph" w:customStyle="1" w:styleId="ReferenceTOC2">
    <w:name w:val="Reference TOC 2"/>
    <w:basedOn w:val="Normal"/>
  </w:style>
  <w:style w:type="paragraph" w:customStyle="1" w:styleId="ReportAbstract">
    <w:name w:val="Report Abstract"/>
    <w:pPr>
      <w:spacing w:line="324" w:lineRule="auto" w:after="120"/>
      <w:ind w:left="340" w:right="340"/>
      <w:jc w:val="both"/>
    </w:pPr>
    <w:rPr>
      <w:rFonts w:ascii="Times New Roman" w:hAnsi="Times New Roman"/>
      <w:i w:val="0"/>
      <w:sz w:val="22"/>
    </w:rPr>
  </w:style>
  <w:style w:type="paragraph" w:customStyle="1" w:styleId="ListBullet">
    <w:name w:val="List Bullet"/>
    <w:basedOn w:val="Normal"/>
    <w:pPr>
      <w:spacing w:line="300" w:lineRule="auto" w:after="60"/>
    </w:pPr>
    <w:rPr>
      <w:rFonts w:ascii="Times New Roman" w:hAnsi="Times New Roman"/>
      <w:sz w:val="22"/>
    </w:rPr>
  </w:style>
  <w:style w:type="paragraph" w:customStyle="1" w:styleId="ListNumber">
    <w:name w:val="List Number"/>
    <w:basedOn w:val="Normal"/>
    <w:pPr>
      <w:spacing w:line="300" w:lineRule="auto" w:after="60"/>
    </w:pP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federalreserve.gov/pubs/ifdp/2006/871/ifdp871.pdf" TargetMode="External"/><Relationship Id="rId18" Type="http://schemas.openxmlformats.org/officeDocument/2006/relationships/hyperlink" Target="https://finance.yahoo.com/" TargetMode="External"/><Relationship Id="rId3" Type="http://schemas.openxmlformats.org/officeDocument/2006/relationships/settings" Target="settings.xml"/><Relationship Id="rId21" Type="http://schemas.openxmlformats.org/officeDocument/2006/relationships/hyperlink" Target="https://github.com/lebaoann05-ops/fomc-price-discovery" TargetMode="Externa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doi.org/10.1111/jofi.1219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frl.2020.101781"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ederalreserve.gov/monetarypolicy/fomccalendars.htm" TargetMode="External"/><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hyperlink" Target="https://ranaroussi.github.io/yfinanc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111/j.1540-6261.2005.00760.x" TargetMode="External"/><Relationship Id="rId22" Type="http://schemas.openxmlformats.org/officeDocument/2006/relationships/header" Target="header3.xml"/><Relationship Id="rId26" Type="http://schemas.openxmlformats.org/officeDocument/2006/relationships/header" Target="header4.xml"/><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5476</Words>
  <Characters>31216</Characters>
  <Application>Microsoft Office Word</Application>
  <DocSecurity>0</DocSecurity>
  <Lines>260</Lines>
  <Paragraphs>73</Paragraphs>
  <ScaleCrop>false</ScaleCrop>
  <Company/>
  <LinksUpToDate>false</LinksUpToDate>
  <CharactersWithSpaces>36619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Project Report — Nguyễn Quỳnh Anh</dc:title>
  <dc:subject>FINFOLIO 2.0 — PORTFOLIO ATTRIBUTION &amp; RISK ANALYTICS</dc:subject>
  <dc:creator>Nguyễn Quỳnh Anh</dc:creator>
  <cp:keywords>Finfolio 2.0, G09, individual footprint, NHA408E</cp:keywords>
  <cp:lastModifiedBy>2412380002-LÊ BẢO AN</cp:lastModifiedBy>
  <cp:revision>2</cp:revision>
  <dcterms:created xsi:type="dcterms:W3CDTF">2026-10-02T15:50:00Z</dcterms:created>
  <dcterms:modified xsi:type="dcterms:W3CDTF">2026-10-02T16:44:00Z</dcterms:modified>
</cp:coreProperties>
</file>