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firstLine="0" w:firstLine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一</w:t>
      </w:r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、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何种装置：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 w:firstLine="240" w:firstLineChars="1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highlight w:val="yellow"/>
          <w:lang w:val="en-US" w:eastAsia="zh-CN"/>
        </w:rPr>
        <w:t>1.活塞式压力计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（提供并显示压力）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40" w:firstLineChars="100"/>
        <w:textAlignment w:val="auto"/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sz w:val="24"/>
          <w:szCs w:val="24"/>
          <w:highlight w:val="yellow"/>
          <w:lang w:val="en-US" w:eastAsia="zh-CN"/>
        </w:rPr>
        <w:t>2.光纤压力传感器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粉末冶金、温度光纤光栅、应变光纤光栅、悬臂梁、限位罩、波纹管压罩、波纹管和弹簧）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40" w:firstLineChars="100"/>
        <w:textAlignment w:val="auto"/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3.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高精度温度计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（确保恒温）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40" w:firstLineChars="100"/>
        <w:textAlignment w:val="auto"/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4.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YGSJ-12C解调仪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（测量波长）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40" w:firstLineChars="100"/>
        <w:textAlignment w:val="auto"/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5.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T260-50高低温试验箱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（恒温）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40" w:firstLineChars="100"/>
        <w:textAlignment w:val="auto"/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二、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如何制作：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118745</wp:posOffset>
            </wp:positionV>
            <wp:extent cx="4499610" cy="1922145"/>
            <wp:effectExtent l="0" t="0" r="8890" b="8255"/>
            <wp:wrapTopAndBottom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三、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传感原理：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80" w:firstLineChars="200"/>
        <w:textAlignment w:val="auto"/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当外界压力通过波纹管底部的管道到达波纹管时，高压使其产生轴向形变，进而压缩弹簧，最终弹簧发生形变并将力传至悬臂梁，改变应变光纤光栅的受力情况。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四、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计算方法：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120" w:leftChars="0" w:firstLine="0" w:firstLineChars="0"/>
        <w:textAlignment w:val="auto"/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1.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温度补偿：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120" w:leftChars="0" w:firstLine="0" w:firstLineChars="0"/>
        <w:textAlignment w:val="auto"/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170815</wp:posOffset>
            </wp:positionV>
            <wp:extent cx="1548130" cy="406400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120" w:leftChars="0"/>
        <w:textAlignment w:val="auto"/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（1）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式中：</w:t>
      </w:r>
      <w:r>
        <w:rPr>
          <w:rFonts w:hint="eastAsia" w:ascii="楷体" w:hAnsi="楷体" w:eastAsia="楷体" w:cs="楷体"/>
          <w:sz w:val="24"/>
          <w:szCs w:val="24"/>
        </w:rPr>
        <w:t>λ₁</w:t>
      </w:r>
      <w:r>
        <w:rPr>
          <w:rFonts w:hint="eastAsia" w:ascii="楷体" w:hAnsi="楷体" w:eastAsia="楷体" w:cs="楷体"/>
          <w:sz w:val="24"/>
          <w:szCs w:val="24"/>
        </w:rPr>
        <w:t>为悬臂梁粘接的应变光纤光栅改变后的波长；</w:t>
      </w:r>
      <w:r>
        <w:rPr>
          <w:rFonts w:hint="eastAsia" w:ascii="楷体" w:hAnsi="楷体" w:eastAsia="楷体" w:cs="楷体"/>
          <w:sz w:val="24"/>
          <w:szCs w:val="24"/>
        </w:rPr>
        <w:t>λ₀</w:t>
      </w:r>
      <w:r>
        <w:rPr>
          <w:rFonts w:hint="eastAsia" w:ascii="楷体" w:hAnsi="楷体" w:eastAsia="楷体" w:cs="楷体"/>
          <w:sz w:val="24"/>
          <w:szCs w:val="24"/>
        </w:rPr>
        <w:t>为悬臂梁粘接的应变光纤光栅原始波长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；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λ₃</w:t>
      </w:r>
      <w:r>
        <w:rPr>
          <w:rFonts w:hint="eastAsia" w:ascii="楷体" w:hAnsi="楷体" w:eastAsia="楷体" w:cs="楷体"/>
          <w:sz w:val="24"/>
          <w:szCs w:val="24"/>
        </w:rPr>
        <w:t>为悬空的温度光纤光栅改变后的波长；</w:t>
      </w:r>
      <w:r>
        <w:rPr>
          <w:rFonts w:hint="eastAsia" w:ascii="楷体" w:hAnsi="楷体" w:eastAsia="楷体" w:cs="楷体"/>
          <w:sz w:val="24"/>
          <w:szCs w:val="24"/>
        </w:rPr>
        <w:t>λ₂</w:t>
      </w:r>
      <w:r>
        <w:rPr>
          <w:rFonts w:hint="eastAsia" w:ascii="楷体" w:hAnsi="楷体" w:eastAsia="楷体" w:cs="楷体"/>
          <w:sz w:val="24"/>
          <w:szCs w:val="24"/>
        </w:rPr>
        <w:t>为悬空的温 度光纤光栅原始波长；</w:t>
      </w:r>
      <w:r>
        <w:rPr>
          <w:rFonts w:hint="eastAsia" w:ascii="楷体" w:hAnsi="楷体" w:eastAsia="楷体" w:cs="楷体"/>
          <w:sz w:val="24"/>
          <w:szCs w:val="24"/>
        </w:rPr>
        <w:t>K₂</w:t>
      </w:r>
      <w:r>
        <w:rPr>
          <w:rFonts w:hint="eastAsia" w:ascii="楷体" w:hAnsi="楷体" w:eastAsia="楷体" w:cs="楷体"/>
          <w:sz w:val="24"/>
          <w:szCs w:val="24"/>
        </w:rPr>
        <w:t>为温度光纤光栅的温度系数；</w:t>
      </w:r>
      <w:r>
        <w:rPr>
          <w:rFonts w:hint="eastAsia" w:ascii="楷体" w:hAnsi="楷体" w:eastAsia="楷体" w:cs="楷体"/>
          <w:sz w:val="24"/>
          <w:szCs w:val="24"/>
        </w:rPr>
        <w:t>K₃</w:t>
      </w:r>
      <w:r>
        <w:rPr>
          <w:rFonts w:hint="eastAsia" w:ascii="楷体" w:hAnsi="楷体" w:eastAsia="楷体" w:cs="楷体"/>
          <w:sz w:val="24"/>
          <w:szCs w:val="24"/>
        </w:rPr>
        <w:t>为应变光纤光栅的温度系数；</w:t>
      </w:r>
      <w:r>
        <w:rPr>
          <w:rFonts w:hint="eastAsia" w:ascii="楷体" w:hAnsi="楷体" w:eastAsia="楷体" w:cs="楷体"/>
          <w:sz w:val="24"/>
          <w:szCs w:val="24"/>
        </w:rPr>
        <w:t>Κ₁</w:t>
      </w:r>
      <w:r>
        <w:rPr>
          <w:rFonts w:hint="eastAsia" w:ascii="楷体" w:hAnsi="楷体" w:eastAsia="楷体" w:cs="楷体"/>
          <w:sz w:val="24"/>
          <w:szCs w:val="24"/>
        </w:rPr>
        <w:t>为应变光纤光栅通过波长和压力变化拟合出的系数。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  <w:highlight w:val="yellow"/>
          <w:lang w:val="en-US" w:eastAsia="zh-CN"/>
        </w:rPr>
        <w:t>2.压力传感器有关计算：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00" w:lineRule="exact"/>
        <w:ind w:left="0" w:right="0" w:firstLine="480" w:firstLineChars="200"/>
        <w:jc w:val="left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采用悬臂梁作为光纤光栅传感器的直接受力元件，悬臂梁自由端的升高度t与悬臂梁产生的应变</w:t>
      </w: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195580" cy="215265"/>
            <wp:effectExtent l="0" t="0" r="7620" b="63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rcRect r="73865" b="9360"/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具有线性关系。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00" w:lineRule="exact"/>
        <w:ind w:left="0" w:right="0" w:firstLine="0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36195</wp:posOffset>
            </wp:positionV>
            <wp:extent cx="737235" cy="234315"/>
            <wp:effectExtent l="0" t="0" r="12065" b="6985"/>
            <wp:wrapSquare wrapText="bothSides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23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  （2）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00" w:lineRule="exact"/>
        <w:ind w:left="0" w:right="0" w:firstLine="0"/>
        <w:jc w:val="left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式中</w:t>
      </w: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220345" cy="227330"/>
            <wp:effectExtent l="0" t="0" r="8255" b="127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rcRect l="44359" t="-1932" r="25633" b="4589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为悬臂梁的应变系数。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00" w:lineRule="exact"/>
        <w:ind w:left="0" w:right="0" w:firstLine="480" w:firstLineChars="200"/>
        <w:jc w:val="left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波纹管是一种管状的弹性材料，其受到内部压力时会改变自身轴向的长度，针对波纹管的这一特性，将其作为敏感材料，根据波纹管的自身机械原理，可得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00" w:lineRule="exact"/>
        <w:ind w:left="0" w:right="0" w:firstLine="0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227330</wp:posOffset>
            </wp:positionH>
            <wp:positionV relativeFrom="paragraph">
              <wp:posOffset>149225</wp:posOffset>
            </wp:positionV>
            <wp:extent cx="1283970" cy="443230"/>
            <wp:effectExtent l="0" t="0" r="11430" b="1270"/>
            <wp:wrapSquare wrapText="bothSides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00" w:lineRule="exact"/>
        <w:ind w:left="0" w:right="0" w:firstLine="480" w:firstLineChars="200"/>
        <w:jc w:val="left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（3）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00" w:lineRule="exact"/>
        <w:ind w:left="0" w:right="0" w:firstLine="0"/>
        <w:jc w:val="left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式中：z为波纹管的轴向位移；</w:t>
      </w: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175260" cy="166370"/>
            <wp:effectExtent l="0" t="0" r="2540" b="1143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rcRect l="19413" t="33249" r="68493" b="3350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为修正系数；m为波纹管的波数；F为外界压力；μ为材料的泊松比;Ro为波纹管的原始半径；E为材料的弹性模量；h为波纹管的高度。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00" w:lineRule="exact"/>
        <w:ind w:left="0" w:right="0" w:firstLine="480" w:firstLineChars="200"/>
        <w:jc w:val="left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当波纹管确定后，波纹管的轴向位移z只与外界压力F有关。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00" w:lineRule="exact"/>
        <w:ind w:left="0" w:right="0" w:firstLine="480" w:firstLineChars="200"/>
        <w:jc w:val="left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本研究在单层波纹管中增加了劲度系数更大的弹簧，以限制外界产生压力时单层波纹管发生光纤形变，使波纹管与弹簧共同传递压力到悬臂梁。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00" w:lineRule="exact"/>
        <w:ind w:left="0" w:right="0" w:firstLine="480" w:firstLineChars="200"/>
        <w:jc w:val="left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由于增加了弹簧作为辅助弹性材料，将波纹管、弹簧作为整体来分析，可得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00" w:lineRule="exact"/>
        <w:ind w:left="0" w:right="0" w:firstLine="720" w:firstLineChars="300"/>
        <w:jc w:val="left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13970</wp:posOffset>
            </wp:positionV>
            <wp:extent cx="607060" cy="281940"/>
            <wp:effectExtent l="0" t="0" r="2540" b="10160"/>
            <wp:wrapSquare wrapText="bothSides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（4）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00" w:lineRule="exact"/>
        <w:ind w:left="0" w:right="0" w:firstLine="0"/>
        <w:jc w:val="left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式中</w:t>
      </w: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201930" cy="183515"/>
            <wp:effectExtent l="0" t="0" r="1270" b="6985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rcRect l="47933" t="18008" r="20768" b="2076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为弹簧、波纹管结合后的劲度系数。结合式（2）及式（4)可得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00" w:lineRule="exact"/>
        <w:ind w:left="0" w:right="0" w:firstLine="960" w:firstLineChars="400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554990</wp:posOffset>
            </wp:positionH>
            <wp:positionV relativeFrom="paragraph">
              <wp:posOffset>152400</wp:posOffset>
            </wp:positionV>
            <wp:extent cx="603250" cy="361950"/>
            <wp:effectExtent l="0" t="0" r="6350" b="6350"/>
            <wp:wrapSquare wrapText="bothSides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00" w:lineRule="exact"/>
        <w:ind w:left="0" w:right="0" w:firstLine="1200" w:firstLineChars="500"/>
        <w:jc w:val="left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（5）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00" w:lineRule="exact"/>
        <w:ind w:left="0" w:right="0" w:firstLine="0"/>
        <w:jc w:val="left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由于波纹管和弹簧相结合增大了K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₁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，在同样外界压力F下更不易产生应变</w:t>
      </w: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195580" cy="215265"/>
            <wp:effectExtent l="0" t="0" r="7620" b="63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rcRect r="73865" b="9360"/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,同时，可看出应变与外界压力之间存在线性关系。通过调整K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₁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或</w:t>
      </w: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241935" cy="178435"/>
            <wp:effectExtent l="0" t="0" r="12065" b="12065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rcRect l="42882" t="2209" r="25818" b="5935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改变传感器的灵敏度，进而改变量程，如果悬臂梁参数不变，就可只通过改变弹簧的劲度系数来影响量程。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00" w:lineRule="exact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五、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如何解调：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00" w:lineRule="exact"/>
        <w:ind w:leftChars="0" w:right="0" w:rightChars="0"/>
        <w:jc w:val="left"/>
        <w:textAlignment w:val="auto"/>
        <w:rPr>
          <w:rFonts w:hint="default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1.用高低温试验箱和解调仪实验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（画出温度-波长曲线）  </w: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-165100</wp:posOffset>
            </wp:positionV>
            <wp:extent cx="1231900" cy="412750"/>
            <wp:effectExtent l="0" t="0" r="0" b="6350"/>
            <wp:wrapSquare wrapText="bothSides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00" w:lineRule="exact"/>
        <w:ind w:leftChars="0" w:right="0" w:rightChars="0" w:firstLine="480" w:firstLineChars="200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得到：</w:t>
      </w:r>
      <w:r>
        <w:rPr>
          <w:rFonts w:hint="eastAsia" w:ascii="楷体" w:hAnsi="楷体" w:eastAsia="楷体" w:cs="楷体"/>
          <w:sz w:val="24"/>
          <w:szCs w:val="24"/>
        </w:rPr>
        <w:t>应变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/温度</w:t>
      </w:r>
      <w:r>
        <w:rPr>
          <w:rFonts w:hint="eastAsia" w:ascii="楷体" w:hAnsi="楷体" w:eastAsia="楷体" w:cs="楷体"/>
          <w:sz w:val="24"/>
          <w:szCs w:val="24"/>
        </w:rPr>
        <w:t>光纤光栅的温度系数</w:t>
      </w:r>
      <w:r>
        <w:rPr>
          <w:rFonts w:hint="eastAsia" w:ascii="楷体" w:hAnsi="楷体" w:eastAsia="楷体" w:cs="楷体"/>
          <w:sz w:val="24"/>
          <w:szCs w:val="24"/>
          <w:highlight w:val="red"/>
        </w:rPr>
        <w:t>Κ₃</w:t>
      </w:r>
      <w:r>
        <w:rPr>
          <w:rFonts w:hint="eastAsia" w:ascii="楷体" w:hAnsi="楷体" w:eastAsia="楷体" w:cs="楷体"/>
          <w:sz w:val="24"/>
          <w:szCs w:val="24"/>
          <w:highlight w:val="red"/>
          <w:lang w:val="en-US" w:eastAsia="zh-CN"/>
        </w:rPr>
        <w:t>/</w:t>
      </w:r>
      <w:r>
        <w:rPr>
          <w:rFonts w:hint="eastAsia" w:ascii="楷体" w:hAnsi="楷体" w:eastAsia="楷体" w:cs="楷体"/>
          <w:sz w:val="24"/>
          <w:szCs w:val="24"/>
          <w:highlight w:val="red"/>
        </w:rPr>
        <w:t>Κ₂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斜率）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120" w:leftChars="0" w:firstLine="0" w:firstLineChars="0"/>
        <w:textAlignment w:val="auto"/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2.</w:t>
      </w:r>
      <w:r>
        <w:rPr>
          <w:rFonts w:hint="eastAsia" w:ascii="楷体" w:hAnsi="楷体" w:eastAsia="楷体" w:cs="楷体"/>
          <w:sz w:val="24"/>
          <w:szCs w:val="24"/>
          <w:highlight w:val="yellow"/>
          <w:lang w:val="en-US" w:eastAsia="zh-CN"/>
        </w:rPr>
        <w:t>用活塞式压力计、光纤压力传感器、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高精度温度计、解调仪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（画出压力-波长曲线）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120" w:leftChars="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得到：</w:t>
      </w:r>
      <w:r>
        <w:rPr>
          <w:rFonts w:hint="eastAsia" w:ascii="楷体" w:hAnsi="楷体" w:eastAsia="楷体" w:cs="楷体"/>
          <w:sz w:val="24"/>
          <w:szCs w:val="24"/>
        </w:rPr>
        <w:t>应变光纤光栅的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应变</w:t>
      </w:r>
      <w:r>
        <w:rPr>
          <w:rFonts w:hint="eastAsia" w:ascii="楷体" w:hAnsi="楷体" w:eastAsia="楷体" w:cs="楷体"/>
          <w:sz w:val="24"/>
          <w:szCs w:val="24"/>
        </w:rPr>
        <w:t>系数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灵敏度）</w:t>
      </w:r>
      <w:r>
        <w:rPr>
          <w:rFonts w:hint="eastAsia" w:ascii="楷体" w:hAnsi="楷体" w:eastAsia="楷体" w:cs="楷体"/>
          <w:sz w:val="24"/>
          <w:szCs w:val="24"/>
          <w:highlight w:val="red"/>
        </w:rPr>
        <w:t>Κ₁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120" w:leftChars="0" w:firstLine="240" w:firstLineChars="100"/>
        <w:textAlignment w:val="auto"/>
        <w:rPr>
          <w:rFonts w:hint="eastAsia" w:ascii="楷体" w:hAnsi="楷体" w:eastAsia="楷体" w:cs="楷体"/>
          <w:sz w:val="24"/>
          <w:szCs w:val="24"/>
          <w:highlight w:val="red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再根据（1）式得到解调压力值</w:t>
      </w:r>
      <w:r>
        <w:rPr>
          <w:rFonts w:hint="eastAsia" w:ascii="楷体" w:hAnsi="楷体" w:eastAsia="楷体" w:cs="楷体"/>
          <w:sz w:val="24"/>
          <w:szCs w:val="24"/>
          <w:highlight w:val="red"/>
          <w:lang w:val="en-US" w:eastAsia="zh-CN"/>
        </w:rPr>
        <w:t>∆x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120" w:leftChars="0" w:firstLine="240" w:firstLineChars="100"/>
        <w:textAlignment w:val="auto"/>
        <w:rPr>
          <w:rFonts w:hint="default" w:ascii="楷体" w:hAnsi="楷体" w:eastAsia="楷体" w:cs="楷体"/>
          <w:sz w:val="24"/>
          <w:szCs w:val="24"/>
          <w:highlight w:val="red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highlight w:val="none"/>
          <w:lang w:val="en-US" w:eastAsia="zh-CN"/>
        </w:rPr>
        <w:t>测量误差=|</w:t>
      </w:r>
      <w:r>
        <w:rPr>
          <w:rFonts w:hint="eastAsia" w:ascii="楷体" w:hAnsi="楷体" w:eastAsia="楷体" w:cs="楷体"/>
          <w:sz w:val="24"/>
          <w:szCs w:val="24"/>
          <w:highlight w:val="none"/>
          <w:lang w:val="en-US" w:eastAsia="zh-CN"/>
        </w:rPr>
        <w:t>∆x-实际压力|</w:t>
      </w:r>
      <w:bookmarkStart w:id="0" w:name="_GoBack"/>
      <w:bookmarkEnd w:id="0"/>
    </w:p>
    <w:p>
      <w:pPr>
        <w:numPr>
          <w:numId w:val="0"/>
        </w:numPr>
        <w:ind w:left="120" w:leftChars="0"/>
        <w:rPr>
          <w:rFonts w:hint="default" w:ascii="楷体" w:hAnsi="楷体" w:eastAsia="楷体" w:cs="楷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5Mzg4NTgwYWI0OTc1YTYzMzI3NmM2YzNiYWZjNmYifQ=="/>
  </w:docVars>
  <w:rsids>
    <w:rsidRoot w:val="40752DE3"/>
    <w:rsid w:val="4075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2024-05-26T10:51:00Z</dcterms:created>
  <dc:creator>八.九.♡</dc:creator>
  <cp:lastModifiedBy>八.九.♡</cp:lastModifiedBy>
  <dcterms:modified xsi:type="dcterms:W3CDTF">2024-05-26T12:42:50Z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DE674F644024413ABEC6F433977EC9D7_11</vt:lpwstr>
  </property>
</Properties>
</file>