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2.svg" ContentType="image/svg+xml"/>
  <Override PartName="/word/media/image14.svg" ContentType="image/svg+xml"/>
  <Override PartName="/word/media/image17.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firstLine="643" w:firstLineChars="200"/>
        <w:jc w:val="left"/>
        <w:rPr>
          <w:rFonts w:hint="default"/>
          <w:sz w:val="28"/>
          <w:szCs w:val="36"/>
          <w:lang w:val="en-US" w:eastAsia="zh-CN"/>
        </w:rPr>
      </w:pPr>
      <w:r>
        <w:rPr>
          <w:rFonts w:hint="eastAsia"/>
          <w:b/>
          <w:bCs/>
          <w:sz w:val="32"/>
          <w:szCs w:val="40"/>
          <w:lang w:val="en-US" w:eastAsia="zh-CN"/>
        </w:rPr>
        <w:t>一、</w:t>
      </w:r>
      <w:r>
        <w:rPr>
          <w:rFonts w:hint="eastAsia"/>
          <w:b/>
          <w:bCs/>
          <w:sz w:val="32"/>
          <w:szCs w:val="40"/>
        </w:rPr>
        <w:t>传感系统包括哪几个部分</w:t>
      </w:r>
      <w:r>
        <w:rPr>
          <w:rFonts w:hint="eastAsia"/>
          <w:b/>
          <w:bCs/>
          <w:sz w:val="32"/>
          <w:szCs w:val="40"/>
          <w:lang w:eastAsia="zh-CN"/>
        </w:rPr>
        <w:t>：</w:t>
      </w:r>
      <w:r>
        <w:rPr>
          <w:rFonts w:hint="eastAsia"/>
          <w:sz w:val="28"/>
          <w:szCs w:val="36"/>
          <w:lang w:val="en-US" w:eastAsia="zh-CN"/>
        </w:rPr>
        <w:t>宽频光源</w:t>
      </w:r>
      <w:r>
        <w:rPr>
          <w:rFonts w:hint="eastAsia"/>
          <w:sz w:val="24"/>
          <w:szCs w:val="32"/>
          <w:lang w:val="en-US" w:eastAsia="zh-CN"/>
        </w:rPr>
        <w:t>（光源的光谱范围为1250.00～1700.00nm）</w:t>
      </w:r>
      <w:r>
        <w:rPr>
          <w:rFonts w:hint="eastAsia"/>
          <w:sz w:val="28"/>
          <w:szCs w:val="36"/>
          <w:lang w:val="en-US" w:eastAsia="zh-CN"/>
        </w:rPr>
        <w:t>、开腔干涉仪（与溶液接触，进行加工的光纤）、光谱分析仪[显示实验结果和分析数据</w:t>
      </w:r>
      <w:r>
        <w:rPr>
          <w:rFonts w:hint="eastAsia"/>
          <w:sz w:val="24"/>
          <w:szCs w:val="32"/>
          <w:lang w:val="en-US" w:eastAsia="zh-CN"/>
        </w:rPr>
        <w:t>（光谱仪的型号为AQ6370D）]</w:t>
      </w:r>
    </w:p>
    <w:p>
      <w:pPr>
        <w:ind w:firstLine="480" w:firstLineChars="200"/>
        <w:rPr>
          <w:rFonts w:hint="eastAsia"/>
          <w:sz w:val="28"/>
          <w:szCs w:val="36"/>
        </w:rPr>
      </w:pPr>
      <w:r>
        <w:rPr>
          <w:rFonts w:ascii="宋体" w:hAnsi="宋体" w:eastAsia="宋体" w:cs="宋体"/>
          <w:sz w:val="24"/>
          <w:szCs w:val="24"/>
        </w:rPr>
        <w:drawing>
          <wp:inline distT="0" distB="0" distL="114300" distR="114300">
            <wp:extent cx="5281930" cy="2052955"/>
            <wp:effectExtent l="0" t="0" r="1270"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81930" cy="2052955"/>
                    </a:xfrm>
                    <a:prstGeom prst="rect">
                      <a:avLst/>
                    </a:prstGeom>
                    <a:noFill/>
                    <a:ln w="9525">
                      <a:noFill/>
                    </a:ln>
                  </pic:spPr>
                </pic:pic>
              </a:graphicData>
            </a:graphic>
          </wp:inline>
        </w:drawing>
      </w:r>
    </w:p>
    <w:p>
      <w:pPr>
        <w:ind w:firstLine="643" w:firstLineChars="200"/>
        <w:rPr>
          <w:rFonts w:hint="eastAsia"/>
          <w:b/>
          <w:bCs/>
          <w:sz w:val="28"/>
          <w:szCs w:val="36"/>
          <w:lang w:val="en-US" w:eastAsia="zh-CN"/>
        </w:rPr>
      </w:pPr>
      <w:r>
        <w:rPr>
          <w:rFonts w:hint="eastAsia"/>
          <w:b/>
          <w:bCs/>
          <w:sz w:val="32"/>
          <w:szCs w:val="40"/>
          <w:lang w:val="en-US" w:eastAsia="zh-CN"/>
        </w:rPr>
        <w:t>二、</w:t>
      </w:r>
      <w:r>
        <w:rPr>
          <w:rFonts w:hint="eastAsia"/>
          <w:b/>
          <w:bCs/>
          <w:sz w:val="32"/>
          <w:szCs w:val="40"/>
        </w:rPr>
        <w:t>用何种装置、如何制作</w:t>
      </w:r>
      <w:r>
        <w:rPr>
          <w:rFonts w:hint="eastAsia"/>
          <w:b/>
          <w:bCs/>
          <w:sz w:val="32"/>
          <w:szCs w:val="40"/>
          <w:lang w:eastAsia="zh-CN"/>
        </w:rPr>
        <w:t>：</w:t>
      </w:r>
      <w:r>
        <w:rPr>
          <w:rFonts w:hint="eastAsia"/>
          <w:b/>
          <w:bCs/>
          <w:sz w:val="28"/>
          <w:szCs w:val="36"/>
          <w:lang w:val="en-US" w:eastAsia="zh-CN"/>
        </w:rPr>
        <w:t>基于马赫曾德尔干涉原理的开腔式光纤溶液浓度传感器；采用大错位熔接方式制作开腔结构的光纤干涉仪</w:t>
      </w:r>
    </w:p>
    <w:p>
      <w:pPr>
        <w:ind w:firstLine="480" w:firstLineChars="200"/>
        <w:rPr>
          <w:rFonts w:hint="default"/>
          <w:sz w:val="24"/>
          <w:szCs w:val="32"/>
          <w:lang w:val="en-US" w:eastAsia="zh-CN"/>
        </w:rPr>
      </w:pPr>
      <w:r>
        <w:rPr>
          <w:rFonts w:hint="eastAsia"/>
          <w:sz w:val="24"/>
          <w:szCs w:val="32"/>
          <w:lang w:val="en-US" w:eastAsia="zh-CN"/>
        </w:rPr>
        <w:t>为了研制开腔式M-Z</w:t>
      </w:r>
      <w:r>
        <w:rPr>
          <w:rFonts w:hint="default"/>
          <w:sz w:val="24"/>
          <w:szCs w:val="32"/>
          <w:lang w:val="en-US" w:eastAsia="zh-CN"/>
        </w:rPr>
        <w:t>光纤干涉仪，实验中采用藤仓公司生产的FSM-100P光纤熔接机进行错位熔接，所用光纤为康宁公司生产的普通单模光纤。根据实验经验，选择合适的功率参数以及错位量，可以避免熔点处不规则焊点的出现，以保证光束的传播。设定熔接机熔接参数为：自动推进控制选择关，电极间隔1.0mm，V型槽高度偏移0μm,放电矫正方法选择NC模式，放电中心补偿选择关闭，光纤端面间隔10μm，自动熔接放电电流为200bit，手动推进放电模式下放电电流为215bit,预放电时间为1200ms,放电时间为2000ms。在大错位熔接M-Z光纤干涉仪的制作过程中，第一个偏置熔接点的熔接制作采用自动熔接方式，设定光纤纤芯错位距离为62.50μm。第一个错位点熔接完成后，在光学显微镜下找到焊点位置，利用光纤切割刀预切出所需长度的传感腔。在熔接第二个光纤错位点时，采用手动熔接模式，调节好参数，利用光纤熔接机的网格功能和角度旋转进行纤芯对齐，观察左右两个显示屏幕在Y轴方向对齐，在X轴方向上形成错位，手动调节错位量近似为62.50μm。在此过程中，实时观察光谱分析仪上干涉条纹对比度情况，当调整到对比度最大且条纹稳定时，进行放电熔接。光纤熔接机显示制作好的开腔式光纤M-Z干涉仪的实物如图2所示</w:t>
      </w:r>
      <w:r>
        <w:rPr>
          <w:rFonts w:hint="eastAsia"/>
          <w:sz w:val="24"/>
          <w:szCs w:val="32"/>
          <w:lang w:val="en-US" w:eastAsia="zh-CN"/>
        </w:rPr>
        <w:t>，</w:t>
      </w:r>
      <w:r>
        <w:rPr>
          <w:rFonts w:hint="default"/>
          <w:sz w:val="24"/>
          <w:szCs w:val="32"/>
          <w:lang w:val="en-US" w:eastAsia="zh-CN"/>
        </w:rPr>
        <w:t>可以看出，焊接好的两个光纤端面比较平整，说明熔接过程中放电电流大小合适。</w:t>
      </w:r>
    </w:p>
    <w:p>
      <w:pPr>
        <w:ind w:firstLine="480" w:firstLineChars="200"/>
        <w:rPr>
          <w:rFonts w:hint="default"/>
          <w:sz w:val="24"/>
          <w:szCs w:val="32"/>
          <w:lang w:val="en-US" w:eastAsia="zh-CN"/>
        </w:rPr>
      </w:pPr>
      <w:r>
        <w:rPr>
          <w:rFonts w:hint="default"/>
          <w:sz w:val="24"/>
          <w:szCs w:val="32"/>
          <w:lang w:val="en-US" w:eastAsia="zh-CN"/>
        </w:rPr>
        <w:t>采用上述方法制作的开腔式M-Z光纤干涉仪在空气中的光谱图如图3所示，该干涉仪的腔长L约为400.00μm。可以看出，采用大错位熔接方式制作的开腔式M-Z光纤干涉仪具有明显的干涉条纹，在1400.00~1700.00nm的光谱范围，干涉条纹对比度最大可以达到17dB，插人损耗约为－40dB，在1550.00nm附近自由光谱范围约为12.35nm。需要说明的是，干涉对比度和插入损耗两者会互相制约，在实际制作时，可以根据实际需求观察光谱仪，当干涉条纹对比度最大时，进行放电熔接。</w:t>
      </w:r>
    </w:p>
    <w:p>
      <w:pPr>
        <w:ind w:firstLine="480" w:firstLineChars="200"/>
        <w:rPr>
          <w:rFonts w:hint="default" w:eastAsiaTheme="minorEastAsia"/>
          <w:sz w:val="28"/>
          <w:szCs w:val="36"/>
          <w:lang w:val="en-US" w:eastAsia="zh-CN"/>
        </w:rPr>
      </w:pPr>
      <w:r>
        <w:rPr>
          <w:rFonts w:ascii="宋体" w:hAnsi="宋体" w:eastAsia="宋体" w:cs="宋体"/>
          <w:sz w:val="24"/>
          <w:szCs w:val="24"/>
        </w:rPr>
        <w:drawing>
          <wp:inline distT="0" distB="0" distL="114300" distR="114300">
            <wp:extent cx="3937000" cy="3040380"/>
            <wp:effectExtent l="0" t="0" r="0"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937000" cy="3040380"/>
                    </a:xfrm>
                    <a:prstGeom prst="rect">
                      <a:avLst/>
                    </a:prstGeom>
                    <a:noFill/>
                    <a:ln w="9525">
                      <a:noFill/>
                    </a:ln>
                  </pic:spPr>
                </pic:pic>
              </a:graphicData>
            </a:graphic>
          </wp:inline>
        </w:drawing>
      </w:r>
    </w:p>
    <w:p>
      <w:pPr>
        <w:ind w:firstLine="643" w:firstLineChars="200"/>
        <w:rPr>
          <w:rFonts w:hint="eastAsia"/>
          <w:sz w:val="28"/>
          <w:szCs w:val="36"/>
          <w:lang w:val="en-US" w:eastAsia="zh-CN"/>
        </w:rPr>
      </w:pPr>
      <w:r>
        <w:rPr>
          <w:rFonts w:hint="eastAsia"/>
          <w:b/>
          <w:bCs/>
          <w:sz w:val="32"/>
          <w:szCs w:val="40"/>
          <w:lang w:val="en-US" w:eastAsia="zh-CN"/>
        </w:rPr>
        <w:t>三、</w:t>
      </w:r>
      <w:r>
        <w:rPr>
          <w:rFonts w:hint="eastAsia"/>
          <w:b/>
          <w:bCs/>
          <w:sz w:val="32"/>
          <w:szCs w:val="40"/>
        </w:rPr>
        <w:t>根据什么原理来传感</w:t>
      </w:r>
      <w:r>
        <w:rPr>
          <w:rFonts w:hint="eastAsia"/>
          <w:b/>
          <w:bCs/>
          <w:sz w:val="32"/>
          <w:szCs w:val="40"/>
          <w:lang w:eastAsia="zh-CN"/>
        </w:rPr>
        <w:t>：</w:t>
      </w:r>
      <w:r>
        <w:rPr>
          <w:rFonts w:hint="eastAsia"/>
          <w:sz w:val="28"/>
          <w:szCs w:val="36"/>
          <w:lang w:val="en-US" w:eastAsia="zh-CN"/>
        </w:rPr>
        <w:t>马赫曾德尔干涉原理（是基于光的相干性，通过使用同一光源产生两个相互等效的光束，并让它们通过两个不同的路径后再汇合，观察由于相位差引起的模式变化。）</w:t>
      </w:r>
    </w:p>
    <w:p>
      <w:pPr>
        <w:ind w:firstLine="420" w:firstLineChars="200"/>
        <w:rPr>
          <w:rFonts w:hint="eastAsia"/>
          <w:sz w:val="28"/>
          <w:szCs w:val="36"/>
          <w:lang w:val="en-US" w:eastAsia="zh-CN"/>
        </w:rPr>
      </w:pPr>
      <w:r>
        <w:drawing>
          <wp:inline distT="0" distB="0" distL="114300" distR="114300">
            <wp:extent cx="5266690" cy="1894205"/>
            <wp:effectExtent l="0" t="0" r="381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1894205"/>
                    </a:xfrm>
                    <a:prstGeom prst="rect">
                      <a:avLst/>
                    </a:prstGeom>
                    <a:noFill/>
                    <a:ln>
                      <a:noFill/>
                    </a:ln>
                  </pic:spPr>
                </pic:pic>
              </a:graphicData>
            </a:graphic>
          </wp:inline>
        </w:drawing>
      </w:r>
    </w:p>
    <w:p>
      <w:pPr>
        <w:ind w:firstLine="643" w:firstLineChars="200"/>
        <w:rPr>
          <w:rFonts w:hint="eastAsia"/>
          <w:b/>
          <w:bCs/>
          <w:sz w:val="32"/>
          <w:szCs w:val="40"/>
          <w:lang w:eastAsia="zh-CN"/>
        </w:rPr>
      </w:pPr>
      <w:r>
        <w:rPr>
          <w:rFonts w:hint="eastAsia"/>
          <w:b/>
          <w:bCs/>
          <w:sz w:val="32"/>
          <w:szCs w:val="40"/>
          <w:lang w:val="en-US" w:eastAsia="zh-CN"/>
        </w:rPr>
        <w:t>四、</w:t>
      </w:r>
      <w:r>
        <w:rPr>
          <w:rFonts w:hint="eastAsia"/>
          <w:b/>
          <w:bCs/>
          <w:sz w:val="32"/>
          <w:szCs w:val="40"/>
        </w:rPr>
        <w:t>如何解调最后显示</w:t>
      </w:r>
      <w:r>
        <w:rPr>
          <w:rFonts w:hint="eastAsia"/>
          <w:b/>
          <w:bCs/>
          <w:sz w:val="32"/>
          <w:szCs w:val="40"/>
          <w:lang w:eastAsia="zh-CN"/>
        </w:rPr>
        <w:t>：</w:t>
      </w:r>
    </w:p>
    <w:p>
      <w:pPr>
        <w:keepNext w:val="0"/>
        <w:keepLines w:val="0"/>
        <w:widowControl/>
        <w:suppressLineNumbers w:val="0"/>
        <w:ind w:firstLine="560" w:firstLineChars="200"/>
        <w:jc w:val="left"/>
      </w:pPr>
      <w:r>
        <w:rPr>
          <w:rFonts w:hint="eastAsia"/>
          <w:sz w:val="28"/>
          <w:szCs w:val="36"/>
          <w:lang w:val="en-US" w:eastAsia="zh-CN"/>
        </w:rPr>
        <w:t>根据光的干涉原理，干涉光谱的强度可以表示为：</w:t>
      </w:r>
    </w:p>
    <w:p>
      <w:pPr>
        <w:keepNext w:val="0"/>
        <w:keepLines w:val="0"/>
        <w:widowControl/>
        <w:suppressLineNumbers w:val="0"/>
        <w:ind w:firstLine="420" w:firstLineChars="200"/>
        <w:jc w:val="left"/>
      </w:pPr>
      <w:r>
        <w:drawing>
          <wp:inline distT="0" distB="0" distL="114300" distR="114300">
            <wp:extent cx="5270500" cy="10064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0500" cy="1006475"/>
                    </a:xfrm>
                    <a:prstGeom prst="rect">
                      <a:avLst/>
                    </a:prstGeom>
                    <a:noFill/>
                    <a:ln>
                      <a:noFill/>
                    </a:ln>
                  </pic:spPr>
                </pic:pic>
              </a:graphicData>
            </a:graphic>
          </wp:inline>
        </w:drawing>
      </w:r>
    </w:p>
    <w:p>
      <w:pPr>
        <w:keepNext w:val="0"/>
        <w:keepLines w:val="0"/>
        <w:widowControl/>
        <w:suppressLineNumbers w:val="0"/>
        <w:ind w:firstLine="560" w:firstLineChars="200"/>
        <w:jc w:val="left"/>
        <w:rPr>
          <w:rFonts w:hint="eastAsia"/>
          <w:sz w:val="28"/>
          <w:szCs w:val="36"/>
          <w:lang w:val="en-US" w:eastAsia="zh-CN"/>
        </w:rPr>
      </w:pPr>
      <w:r>
        <w:rPr>
          <w:rFonts w:hint="eastAsia"/>
          <w:sz w:val="28"/>
          <w:szCs w:val="36"/>
          <w:lang w:val="en-US" w:eastAsia="zh-CN"/>
        </w:rPr>
        <w:t>Δn</w:t>
      </w:r>
      <w:r>
        <w:rPr>
          <w:rFonts w:hint="eastAsia"/>
          <w:sz w:val="20"/>
          <w:szCs w:val="22"/>
          <w:lang w:val="en-US" w:eastAsia="zh-CN"/>
        </w:rPr>
        <w:t>eff</w:t>
      </w:r>
      <w:r>
        <w:rPr>
          <w:rFonts w:hint="eastAsia"/>
          <w:sz w:val="28"/>
          <w:szCs w:val="36"/>
          <w:lang w:val="en-US" w:eastAsia="zh-CN"/>
        </w:rPr>
        <w:t>为传感区和错位光纤包层的有效折射率差</w:t>
      </w:r>
    </w:p>
    <w:p>
      <w:pPr>
        <w:keepNext w:val="0"/>
        <w:keepLines w:val="0"/>
        <w:widowControl/>
        <w:suppressLineNumbers w:val="0"/>
        <w:ind w:firstLine="560" w:firstLineChars="200"/>
        <w:jc w:val="left"/>
        <w:rPr>
          <w:rFonts w:hint="eastAsia"/>
          <w:sz w:val="28"/>
          <w:szCs w:val="36"/>
          <w:lang w:val="en-US" w:eastAsia="zh-CN"/>
        </w:rPr>
      </w:pPr>
      <w:r>
        <w:rPr>
          <w:rFonts w:hint="eastAsia"/>
          <w:sz w:val="28"/>
          <w:szCs w:val="36"/>
          <w:lang w:val="en-US" w:eastAsia="zh-CN"/>
        </w:rPr>
        <w:t>两个相邻的波谷之间的波长间隔为自由光谱范围（Free spectral range</w:t>
      </w:r>
      <w:r>
        <w:rPr>
          <w:rFonts w:hint="default"/>
          <w:sz w:val="28"/>
          <w:szCs w:val="36"/>
          <w:lang w:val="en-US" w:eastAsia="zh-CN"/>
        </w:rPr>
        <w:t>，FSR），光波长的间距可以表示为</w:t>
      </w:r>
      <w:r>
        <w:rPr>
          <w:rFonts w:hint="eastAsia"/>
          <w:sz w:val="28"/>
          <w:szCs w:val="36"/>
          <w:lang w:val="en-US" w:eastAsia="zh-CN"/>
        </w:rPr>
        <w:t>：</w:t>
      </w:r>
      <w:r>
        <w:rPr>
          <w:rFonts w:hint="default"/>
          <w:sz w:val="28"/>
          <w:szCs w:val="36"/>
          <w:lang w:val="en-US" w:eastAsia="zh-CN"/>
        </w:rPr>
        <w:t xml:space="preserve"> </w:t>
      </w:r>
      <w:r>
        <w:drawing>
          <wp:inline distT="0" distB="0" distL="114300" distR="114300">
            <wp:extent cx="5268595" cy="620395"/>
            <wp:effectExtent l="0" t="0" r="1905"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8595" cy="620395"/>
                    </a:xfrm>
                    <a:prstGeom prst="rect">
                      <a:avLst/>
                    </a:prstGeom>
                    <a:noFill/>
                    <a:ln>
                      <a:noFill/>
                    </a:ln>
                  </pic:spPr>
                </pic:pic>
              </a:graphicData>
            </a:graphic>
          </wp:inline>
        </w:drawing>
      </w:r>
    </w:p>
    <w:p>
      <w:pPr>
        <w:keepNext w:val="0"/>
        <w:keepLines w:val="0"/>
        <w:widowControl/>
        <w:suppressLineNumbers w:val="0"/>
        <w:ind w:firstLine="560" w:firstLineChars="200"/>
        <w:jc w:val="left"/>
        <w:rPr>
          <w:rFonts w:hint="eastAsia"/>
          <w:sz w:val="28"/>
          <w:szCs w:val="36"/>
          <w:lang w:val="en-US" w:eastAsia="zh-CN"/>
        </w:rPr>
      </w:pPr>
      <w:r>
        <w:rPr>
          <w:rFonts w:hint="default"/>
          <w:sz w:val="28"/>
          <w:szCs w:val="36"/>
          <w:lang w:val="en-US" w:eastAsia="zh-CN"/>
        </w:rPr>
        <w:t>由式(2)可知，自由光谱范围和腔长度成反比。当腔长越长时,FSR越小，干涉条纹越密集。</w:t>
      </w:r>
    </w:p>
    <w:p>
      <w:pPr>
        <w:keepNext w:val="0"/>
        <w:keepLines w:val="0"/>
        <w:widowControl/>
        <w:suppressLineNumbers w:val="0"/>
        <w:ind w:firstLine="560" w:firstLineChars="200"/>
        <w:jc w:val="left"/>
        <w:rPr>
          <w:rFonts w:hint="default"/>
          <w:sz w:val="28"/>
          <w:szCs w:val="36"/>
          <w:lang w:val="en-US" w:eastAsia="zh-CN"/>
        </w:rPr>
      </w:pPr>
      <w:r>
        <w:rPr>
          <w:rFonts w:hint="default"/>
          <w:sz w:val="28"/>
          <w:szCs w:val="36"/>
          <w:lang w:val="en-US" w:eastAsia="zh-CN"/>
        </w:rPr>
        <w:t>当开腔结构填充不同液体时，当腔中被测溶液的折射率由n变化到n+△n时，第i级干涉条纹波谷对应的相位值仍为（2i+1）π，波谷的中心波长由λ</w:t>
      </w:r>
      <w:r>
        <w:rPr>
          <w:rFonts w:hint="eastAsia"/>
          <w:sz w:val="24"/>
          <w:szCs w:val="32"/>
          <w:lang w:val="en-US" w:eastAsia="zh-CN"/>
        </w:rPr>
        <w:t>i</w:t>
      </w:r>
      <w:r>
        <w:rPr>
          <w:rFonts w:hint="default"/>
          <w:sz w:val="28"/>
          <w:szCs w:val="36"/>
          <w:lang w:val="en-US" w:eastAsia="zh-CN"/>
        </w:rPr>
        <w:t>漂移到λ</w:t>
      </w:r>
      <w:r>
        <w:rPr>
          <w:rFonts w:hint="eastAsia"/>
          <w:sz w:val="24"/>
          <w:szCs w:val="32"/>
          <w:lang w:val="en-US" w:eastAsia="zh-CN"/>
        </w:rPr>
        <w:t>i</w:t>
      </w:r>
      <w:r>
        <w:rPr>
          <w:rFonts w:hint="default"/>
          <w:sz w:val="28"/>
          <w:szCs w:val="36"/>
          <w:lang w:val="en-US" w:eastAsia="zh-CN"/>
        </w:rPr>
        <w:t>+</w:t>
      </w:r>
      <w:r>
        <w:rPr>
          <w:rFonts w:hint="eastAsia"/>
          <w:sz w:val="28"/>
          <w:szCs w:val="36"/>
          <w:lang w:val="en-US" w:eastAsia="zh-CN"/>
        </w:rPr>
        <w:t>Δ</w:t>
      </w:r>
      <w:r>
        <w:rPr>
          <w:rFonts w:hint="default"/>
          <w:sz w:val="28"/>
          <w:szCs w:val="36"/>
          <w:lang w:val="en-US" w:eastAsia="zh-CN"/>
        </w:rPr>
        <w:t>λ</w:t>
      </w:r>
      <w:r>
        <w:rPr>
          <w:rFonts w:hint="eastAsia"/>
          <w:sz w:val="24"/>
          <w:szCs w:val="32"/>
          <w:lang w:val="en-US" w:eastAsia="zh-CN"/>
        </w:rPr>
        <w:t>i</w:t>
      </w:r>
      <w:r>
        <w:rPr>
          <w:rFonts w:hint="default"/>
          <w:sz w:val="28"/>
          <w:szCs w:val="36"/>
          <w:lang w:val="en-US" w:eastAsia="zh-CN"/>
        </w:rPr>
        <w:t>它们之间的关系有：</w:t>
      </w:r>
      <w:r>
        <w:drawing>
          <wp:inline distT="0" distB="0" distL="114300" distR="114300">
            <wp:extent cx="5269865" cy="542290"/>
            <wp:effectExtent l="0" t="0" r="63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9865" cy="542290"/>
                    </a:xfrm>
                    <a:prstGeom prst="rect">
                      <a:avLst/>
                    </a:prstGeom>
                    <a:noFill/>
                    <a:ln>
                      <a:noFill/>
                    </a:ln>
                  </pic:spPr>
                </pic:pic>
              </a:graphicData>
            </a:graphic>
          </wp:inline>
        </w:drawing>
      </w:r>
    </w:p>
    <w:p>
      <w:pPr>
        <w:keepNext w:val="0"/>
        <w:keepLines w:val="0"/>
        <w:widowControl/>
        <w:suppressLineNumbers w:val="0"/>
        <w:ind w:firstLine="560" w:firstLineChars="200"/>
        <w:jc w:val="left"/>
        <w:rPr>
          <w:rFonts w:hint="default"/>
          <w:sz w:val="28"/>
          <w:szCs w:val="36"/>
          <w:lang w:val="en-US" w:eastAsia="zh-CN"/>
        </w:rPr>
      </w:pPr>
      <w:r>
        <w:rPr>
          <w:rFonts w:hint="default"/>
          <w:sz w:val="28"/>
          <w:szCs w:val="36"/>
          <w:lang w:val="en-US" w:eastAsia="zh-CN"/>
        </w:rPr>
        <w:t>当开腔内溶液浓度变化的时候,溶液对应的折射率随之改变。溶液浓度与折射率的关系可以表示为：</w:t>
      </w:r>
      <w:r>
        <w:drawing>
          <wp:inline distT="0" distB="0" distL="114300" distR="114300">
            <wp:extent cx="5268595" cy="367030"/>
            <wp:effectExtent l="0" t="0" r="190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8595" cy="367030"/>
                    </a:xfrm>
                    <a:prstGeom prst="rect">
                      <a:avLst/>
                    </a:prstGeom>
                    <a:noFill/>
                    <a:ln>
                      <a:noFill/>
                    </a:ln>
                  </pic:spPr>
                </pic:pic>
              </a:graphicData>
            </a:graphic>
          </wp:inline>
        </w:drawing>
      </w:r>
    </w:p>
    <w:p>
      <w:pPr>
        <w:keepNext w:val="0"/>
        <w:keepLines w:val="0"/>
        <w:widowControl/>
        <w:suppressLineNumbers w:val="0"/>
        <w:ind w:firstLine="560" w:firstLineChars="200"/>
        <w:jc w:val="left"/>
      </w:pPr>
      <w:r>
        <w:rPr>
          <w:rFonts w:hint="default"/>
          <w:sz w:val="28"/>
          <w:szCs w:val="36"/>
          <w:lang w:val="en-US" w:eastAsia="zh-CN"/>
        </w:rPr>
        <w:t>式中：</w:t>
      </w:r>
      <w:r>
        <w:rPr>
          <w:rFonts w:hint="eastAsia"/>
          <w:sz w:val="28"/>
          <w:szCs w:val="36"/>
          <w:lang w:val="en-US" w:eastAsia="zh-CN"/>
        </w:rPr>
        <w:t>α</w:t>
      </w:r>
      <w:r>
        <w:rPr>
          <w:rFonts w:hint="default"/>
          <w:sz w:val="28"/>
          <w:szCs w:val="36"/>
          <w:lang w:val="en-US" w:eastAsia="zh-CN"/>
        </w:rPr>
        <w:t>和</w:t>
      </w:r>
      <w:r>
        <w:rPr>
          <w:rFonts w:hint="eastAsia"/>
          <w:sz w:val="28"/>
          <w:szCs w:val="36"/>
          <w:lang w:val="en-US" w:eastAsia="zh-CN"/>
        </w:rPr>
        <w:t>γ</w:t>
      </w:r>
      <w:r>
        <w:rPr>
          <w:rFonts w:hint="default"/>
          <w:sz w:val="28"/>
          <w:szCs w:val="36"/>
          <w:lang w:val="en-US" w:eastAsia="zh-CN"/>
        </w:rPr>
        <w:t>为常数;</w:t>
      </w:r>
      <w:r>
        <w:rPr>
          <w:rFonts w:hint="eastAsia"/>
          <w:sz w:val="28"/>
          <w:szCs w:val="36"/>
          <w:lang w:val="en-US" w:eastAsia="zh-CN"/>
        </w:rPr>
        <w:t>C</w:t>
      </w:r>
      <w:r>
        <w:rPr>
          <w:rFonts w:hint="default"/>
          <w:sz w:val="28"/>
          <w:szCs w:val="36"/>
          <w:lang w:val="en-US" w:eastAsia="zh-CN"/>
        </w:rPr>
        <w:t>为溶液的浓度；</w:t>
      </w:r>
      <w:r>
        <w:rPr>
          <w:rFonts w:hint="eastAsia"/>
          <w:sz w:val="28"/>
          <w:szCs w:val="36"/>
          <w:lang w:val="en-US" w:eastAsia="zh-CN"/>
        </w:rPr>
        <w:t>n</w:t>
      </w:r>
      <w:r>
        <w:rPr>
          <w:rFonts w:hint="default"/>
          <w:sz w:val="28"/>
          <w:szCs w:val="36"/>
          <w:lang w:val="en-US" w:eastAsia="zh-CN"/>
        </w:rPr>
        <w:t>为溶液的折射率。</w:t>
      </w:r>
    </w:p>
    <w:p>
      <w:pPr>
        <w:keepNext w:val="0"/>
        <w:keepLines w:val="0"/>
        <w:widowControl/>
        <w:suppressLineNumbers w:val="0"/>
        <w:ind w:firstLine="560" w:firstLineChars="200"/>
        <w:jc w:val="left"/>
        <w:rPr>
          <w:rFonts w:hint="default"/>
          <w:sz w:val="28"/>
          <w:szCs w:val="36"/>
          <w:lang w:val="en-US" w:eastAsia="zh-CN"/>
        </w:rPr>
      </w:pPr>
      <w:r>
        <w:rPr>
          <w:rFonts w:hint="default"/>
          <w:sz w:val="28"/>
          <w:szCs w:val="36"/>
          <w:lang w:val="en-US" w:eastAsia="zh-CN"/>
        </w:rPr>
        <w:t>根据式(5)可知，当通过溶液的光频率恒定时,溶液的浓度和折射率近似为</w:t>
      </w:r>
      <w:r>
        <w:rPr>
          <w:rFonts w:hint="default"/>
          <w:sz w:val="28"/>
          <w:szCs w:val="36"/>
          <w:highlight w:val="yellow"/>
          <w:lang w:val="en-US" w:eastAsia="zh-CN"/>
        </w:rPr>
        <w:t>线性关系</w:t>
      </w:r>
      <w:r>
        <w:rPr>
          <w:rFonts w:hint="default"/>
          <w:sz w:val="28"/>
          <w:szCs w:val="36"/>
          <w:lang w:val="en-US" w:eastAsia="zh-CN"/>
        </w:rPr>
        <w:t>，可以表示为：</w:t>
      </w:r>
    </w:p>
    <w:p>
      <w:pPr>
        <w:keepNext w:val="0"/>
        <w:keepLines w:val="0"/>
        <w:widowControl/>
        <w:suppressLineNumbers w:val="0"/>
        <w:ind w:firstLine="420" w:firstLineChars="200"/>
        <w:jc w:val="left"/>
      </w:pPr>
      <w:r>
        <w:drawing>
          <wp:inline distT="0" distB="0" distL="114300" distR="114300">
            <wp:extent cx="5271770" cy="350520"/>
            <wp:effectExtent l="0" t="0" r="11430"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770" cy="350520"/>
                    </a:xfrm>
                    <a:prstGeom prst="rect">
                      <a:avLst/>
                    </a:prstGeom>
                    <a:noFill/>
                    <a:ln>
                      <a:noFill/>
                    </a:ln>
                  </pic:spPr>
                </pic:pic>
              </a:graphicData>
            </a:graphic>
          </wp:inline>
        </w:drawing>
      </w:r>
    </w:p>
    <w:p>
      <w:pPr>
        <w:keepNext w:val="0"/>
        <w:keepLines w:val="0"/>
        <w:widowControl/>
        <w:suppressLineNumbers w:val="0"/>
        <w:ind w:firstLine="560" w:firstLineChars="200"/>
        <w:jc w:val="left"/>
        <w:rPr>
          <w:rFonts w:hint="default"/>
          <w:sz w:val="28"/>
          <w:szCs w:val="36"/>
          <w:lang w:val="en-US" w:eastAsia="zh-CN"/>
        </w:rPr>
      </w:pPr>
      <w:r>
        <w:rPr>
          <w:rFonts w:hint="default"/>
          <w:sz w:val="28"/>
          <w:szCs w:val="36"/>
          <w:lang w:val="en-US" w:eastAsia="zh-CN"/>
        </w:rPr>
        <w:t>联立式（4)和式（6），可以得到开腔结构干涉仪的波长漂移随溶液浓度变化的灵敏度公式：</w:t>
      </w:r>
      <w:r>
        <w:drawing>
          <wp:inline distT="0" distB="0" distL="114300" distR="114300">
            <wp:extent cx="5271135" cy="593090"/>
            <wp:effectExtent l="0" t="0" r="1206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135" cy="593090"/>
                    </a:xfrm>
                    <a:prstGeom prst="rect">
                      <a:avLst/>
                    </a:prstGeom>
                    <a:noFill/>
                    <a:ln>
                      <a:noFill/>
                    </a:ln>
                  </pic:spPr>
                </pic:pic>
              </a:graphicData>
            </a:graphic>
          </wp:inline>
        </w:drawing>
      </w:r>
      <w:r>
        <w:rPr>
          <w:rFonts w:hint="default"/>
          <w:sz w:val="28"/>
          <w:szCs w:val="36"/>
          <w:lang w:val="en-US" w:eastAsia="zh-CN"/>
        </w:rPr>
        <w:t>由式(7)可知,通过</w:t>
      </w:r>
      <w:r>
        <w:rPr>
          <w:rFonts w:hint="default"/>
          <w:sz w:val="28"/>
          <w:szCs w:val="36"/>
          <w:highlight w:val="yellow"/>
          <w:lang w:val="en-US" w:eastAsia="zh-CN"/>
        </w:rPr>
        <w:t>监测开腔结构干涉谱某一级波谷的波长漂移情况</w:t>
      </w:r>
      <w:r>
        <w:rPr>
          <w:rFonts w:hint="default"/>
          <w:sz w:val="28"/>
          <w:szCs w:val="36"/>
          <w:lang w:val="en-US" w:eastAsia="zh-CN"/>
        </w:rPr>
        <w:t>,可以</w:t>
      </w:r>
      <w:r>
        <w:rPr>
          <w:rFonts w:hint="default"/>
          <w:sz w:val="28"/>
          <w:szCs w:val="36"/>
          <w:highlight w:val="yellow"/>
          <w:lang w:val="en-US" w:eastAsia="zh-CN"/>
        </w:rPr>
        <w:t>获得溶液浓度的变化</w:t>
      </w:r>
      <w:r>
        <w:rPr>
          <w:rFonts w:hint="default"/>
          <w:sz w:val="28"/>
          <w:szCs w:val="36"/>
          <w:lang w:val="en-US" w:eastAsia="zh-CN"/>
        </w:rPr>
        <w:t xml:space="preserve">。右侧的负号表明,当被测溶液折射率小于光纤包层的折射率时,即ncl－n&gt;0，随着溶液浓度的增加，干涉谱向短 </w:t>
      </w:r>
    </w:p>
    <w:p>
      <w:pPr>
        <w:keepNext w:val="0"/>
        <w:keepLines w:val="0"/>
        <w:widowControl/>
        <w:suppressLineNumbers w:val="0"/>
        <w:ind w:firstLine="560" w:firstLineChars="200"/>
        <w:jc w:val="left"/>
      </w:pPr>
      <w:r>
        <w:rPr>
          <w:rFonts w:hint="default"/>
          <w:sz w:val="28"/>
          <w:szCs w:val="36"/>
          <w:lang w:val="en-US" w:eastAsia="zh-CN"/>
        </w:rPr>
        <w:t>波方向漂移，</w:t>
      </w:r>
      <w:r>
        <w:rPr>
          <w:rFonts w:hint="default"/>
          <w:sz w:val="28"/>
          <w:szCs w:val="36"/>
          <w:highlight w:val="yellow"/>
          <w:lang w:val="en-US" w:eastAsia="zh-CN"/>
        </w:rPr>
        <w:t>波谷值随着浓度增加而减小</w:t>
      </w:r>
      <w:r>
        <w:rPr>
          <w:rFonts w:hint="default"/>
          <w:sz w:val="28"/>
          <w:szCs w:val="36"/>
          <w:lang w:val="en-US" w:eastAsia="zh-CN"/>
        </w:rPr>
        <w:t>。</w:t>
      </w:r>
      <w:r>
        <w:drawing>
          <wp:inline distT="0" distB="0" distL="114300" distR="114300">
            <wp:extent cx="5269230" cy="2501265"/>
            <wp:effectExtent l="0" t="0" r="1270"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69230" cy="2501265"/>
                    </a:xfrm>
                    <a:prstGeom prst="rect">
                      <a:avLst/>
                    </a:prstGeom>
                    <a:noFill/>
                    <a:ln>
                      <a:noFill/>
                    </a:ln>
                  </pic:spPr>
                </pic:pic>
              </a:graphicData>
            </a:graphic>
          </wp:inline>
        </w:drawing>
      </w:r>
    </w:p>
    <w:p>
      <w:pPr>
        <w:keepNext w:val="0"/>
        <w:keepLines w:val="0"/>
        <w:widowControl/>
        <w:suppressLineNumbers w:val="0"/>
        <w:ind w:firstLine="560" w:firstLineChars="200"/>
        <w:jc w:val="left"/>
        <w:rPr>
          <w:rFonts w:hint="default"/>
          <w:sz w:val="28"/>
          <w:szCs w:val="36"/>
          <w:lang w:val="en-US" w:eastAsia="zh-CN"/>
        </w:rPr>
      </w:pPr>
      <w:r>
        <w:rPr>
          <w:rFonts w:hint="default"/>
          <w:sz w:val="28"/>
          <w:szCs w:val="36"/>
          <w:lang w:val="en-US" w:eastAsia="zh-CN"/>
        </w:rPr>
        <w:t>选择干涉仪的某一个损耗峰Dip1进行监测，记录Dipl的波长随着溶液浓度的变化情况</w:t>
      </w:r>
      <w:r>
        <w:rPr>
          <w:rFonts w:hint="eastAsia"/>
          <w:sz w:val="28"/>
          <w:szCs w:val="36"/>
          <w:lang w:val="en-US" w:eastAsia="zh-CN"/>
        </w:rPr>
        <w:t>。</w:t>
      </w:r>
    </w:p>
    <w:p>
      <w:pPr>
        <w:keepNext w:val="0"/>
        <w:keepLines w:val="0"/>
        <w:widowControl/>
        <w:suppressLineNumbers w:val="0"/>
        <w:ind w:firstLine="560" w:firstLineChars="200"/>
        <w:jc w:val="left"/>
        <w:rPr>
          <w:rFonts w:hint="default"/>
          <w:sz w:val="28"/>
          <w:szCs w:val="36"/>
          <w:lang w:val="en-US" w:eastAsia="zh-CN"/>
        </w:rPr>
      </w:pPr>
      <w:r>
        <w:rPr>
          <w:rFonts w:hint="default"/>
          <w:sz w:val="28"/>
          <w:szCs w:val="36"/>
          <w:lang w:val="en-US" w:eastAsia="zh-CN"/>
        </w:rPr>
        <w:t>当NaCl溶液质量浓度从2.12%增加至2.99%时，干涉光谱向短波方向漂移。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120" w:afterAutospacing="0" w:line="200" w:lineRule="atLeast"/>
        <w:ind w:left="0" w:right="0"/>
        <w:rPr>
          <w:sz w:val="18"/>
          <w:szCs w:val="18"/>
        </w:rPr>
      </w:pPr>
      <w:r>
        <w:rPr>
          <w:rFonts w:hint="default"/>
          <w:sz w:val="28"/>
          <w:szCs w:val="36"/>
          <w:lang w:val="en-US" w:eastAsia="zh-CN"/>
        </w:rPr>
        <w:t>对波长-浓度曲线进行</w:t>
      </w:r>
      <w:r>
        <w:rPr>
          <w:rFonts w:hint="default"/>
          <w:sz w:val="28"/>
          <w:szCs w:val="36"/>
          <w:highlight w:val="yellow"/>
          <w:lang w:val="en-US" w:eastAsia="zh-CN"/>
        </w:rPr>
        <w:t>线性拟合</w:t>
      </w:r>
      <w:r>
        <w:rPr>
          <w:rFonts w:hint="eastAsia"/>
          <w:sz w:val="28"/>
          <w:szCs w:val="36"/>
          <w:highlight w:val="none"/>
          <w:lang w:val="en-US" w:eastAsia="zh-CN"/>
        </w:rPr>
        <w:t>（</w:t>
      </w:r>
      <w:r>
        <w:rPr>
          <w:i w:val="0"/>
          <w:iCs w:val="0"/>
          <w:caps w:val="0"/>
          <w:color w:val="333333"/>
          <w:spacing w:val="0"/>
          <w:sz w:val="18"/>
          <w:szCs w:val="18"/>
          <w:bdr w:val="none" w:color="auto" w:sz="0" w:space="0"/>
          <w:shd w:val="clear" w:fill="FFFFFF"/>
        </w:rPr>
        <w:t>曲线拟合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jc w:val="left"/>
        <w:rPr>
          <w:rFonts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在科学技术的许多领域中，常会遇到以下问题：在各种物理问题和统计问题中，对有关量进行多次观测或实验得到了一些数据组，它们是零散的，不仅不便于处理，而且通常不能确切和充分地体现出其固有的规律。为了得到数据之间的固有规律或者用当前数据来预测期望得到的数据，就要用</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instrText xml:space="preserve"> HYPERLINK "https://baike.baidu.com/item/%E8%BF%9E%E7%BB%AD%E6%9B%B2%E7%BA%BF/5074457?fromModule=lemma_inlink" \t "https://baike.baidu.com/item/%E7%BA%BF%E6%80%A7%E6%8B%9F%E5%90%88/_blank" </w:instrTex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14"/>
          <w:szCs w:val="14"/>
          <w:u w:val="none"/>
          <w:bdr w:val="none" w:color="auto" w:sz="0" w:space="0"/>
          <w:shd w:val="clear" w:fill="FFFFFF"/>
        </w:rPr>
        <w:t>连续曲线</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近似地刻画或比拟平面上</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instrText xml:space="preserve"> HYPERLINK "https://baike.baidu.com/item/%E7%A6%BB%E6%95%A3%E7%82%B9/2310615?fromModule=lemma_inlink" \t "https://baike.baidu.com/item/%E7%BA%BF%E6%80%A7%E6%8B%9F%E5%90%88/_blank" </w:instrTex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14"/>
          <w:szCs w:val="14"/>
          <w:u w:val="none"/>
          <w:bdr w:val="none" w:color="auto" w:sz="0" w:space="0"/>
          <w:shd w:val="clear" w:fill="FFFFFF"/>
        </w:rPr>
        <w:t>离散点</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组所表示的坐标之间的</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instrText xml:space="preserve"> HYPERLINK "https://baike.baidu.com/item/%E5%87%BD%E6%95%B0%E5%85%B3%E7%B3%BB/9846826?fromModule=lemma_inlink" \t "https://baike.baidu.com/item/%E7%BA%BF%E6%80%A7%E6%8B%9F%E5%90%88/_blank" </w:instrTex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14"/>
          <w:szCs w:val="14"/>
          <w:u w:val="none"/>
          <w:bdr w:val="none" w:color="auto" w:sz="0" w:space="0"/>
          <w:shd w:val="clear" w:fill="FFFFFF"/>
        </w:rPr>
        <w:t>函数关系</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instrText xml:space="preserve"> HYPERLINK "https://baike.baidu.com/item/%E9%AB%98%E7%BB%B4%E7%A9%BA%E9%97%B4/692559?fromModule=lemma_inlink" \t "https://baike.baidu.com/item/%E7%BA%BF%E6%80%A7%E6%8B%9F%E5%90%88/_blank" </w:instrTex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14"/>
          <w:szCs w:val="14"/>
          <w:u w:val="none"/>
          <w:bdr w:val="none" w:color="auto" w:sz="0" w:space="0"/>
          <w:shd w:val="clear" w:fill="FFFFFF"/>
        </w:rPr>
        <w:t>高维空间</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中的相应问题亦属此范畴。设x,y为被观测的量，y可表示为x的函数：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4688840" cy="631825"/>
            <wp:effectExtent l="0" t="0" r="0" b="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688840" cy="631825"/>
                    </a:xfrm>
                    <a:prstGeom prst="rect">
                      <a:avLst/>
                    </a:prstGeom>
                    <a:noFill/>
                  </pic:spPr>
                </pic:pic>
              </a:graphicData>
            </a:graphic>
          </wp:inline>
        </w:drawing>
      </w:r>
      <w:bookmarkStart w:id="2" w:name="_GoBack"/>
      <w:bookmarkEnd w:id="2"/>
    </w:p>
    <w:p>
      <w:pPr>
        <w:keepNext w:val="0"/>
        <w:keepLines w:val="0"/>
        <w:widowControl/>
        <w:suppressLineNumbers w:val="0"/>
        <w:spacing w:before="0" w:beforeAutospacing="0" w:after="150" w:afterAutospacing="0"/>
        <w:ind w:left="0" w:right="0"/>
        <w:jc w:val="left"/>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 。假定这个函数关系已经由实际问题从理论上具体确定，则称为理论函数，但其中含有n个未知参数。通过实验可以获得多组数据：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5283200" cy="456565"/>
            <wp:effectExtent l="0" t="0" r="0" b="635"/>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283200" cy="456565"/>
                    </a:xfrm>
                    <a:prstGeom prst="rect">
                      <a:avLst/>
                    </a:prstGeom>
                    <a:noFill/>
                  </pic:spPr>
                </pic:pic>
              </a:graphicData>
            </a:graphic>
          </wp:inline>
        </w:drawing>
      </w:r>
    </w:p>
    <w:p>
      <w:pPr>
        <w:keepNext w:val="0"/>
        <w:keepLines w:val="0"/>
        <w:widowControl/>
        <w:suppressLineNumbers w:val="0"/>
        <w:spacing w:before="0" w:beforeAutospacing="0" w:after="150" w:afterAutospacing="0"/>
        <w:ind w:left="0" w:right="0"/>
        <w:jc w:val="left"/>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 ，通过m组数据可寻求参数b的最佳估计值，即寻求最佳的理论函数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42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5031740" cy="678180"/>
            <wp:effectExtent l="0" t="0" r="0" b="0"/>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031740" cy="678180"/>
                    </a:xfrm>
                    <a:prstGeom prst="rect">
                      <a:avLst/>
                    </a:prstGeom>
                    <a:noFill/>
                  </pic:spPr>
                </pic:pic>
              </a:graphicData>
            </a:graphic>
          </wp:inline>
        </w:drawing>
      </w:r>
    </w:p>
    <w:p>
      <w:pPr>
        <w:keepNext w:val="0"/>
        <w:keepLines w:val="0"/>
        <w:widowControl/>
        <w:suppressLineNumbers w:val="0"/>
        <w:spacing w:before="0" w:beforeAutospacing="0" w:after="150" w:afterAutospacing="0"/>
        <w:ind w:left="0" w:right="0"/>
        <w:jc w:val="left"/>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 。在数值分析中，</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instrText xml:space="preserve"> HYPERLINK "https://baike.baidu.com/item/%E6%9B%B2%E7%BA%BF%E6%8B%9F%E5%90%88/5893992?fromModule=lemma_inlink" \t "https://baike.baidu.com/item/%E7%BA%BF%E6%80%A7%E6%8B%9F%E5%90%88/_blank" </w:instrTex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14"/>
          <w:szCs w:val="14"/>
          <w:u w:val="none"/>
          <w:bdr w:val="none" w:color="auto" w:sz="0" w:space="0"/>
          <w:shd w:val="clear" w:fill="FFFFFF"/>
        </w:rPr>
        <w:t>曲线拟合</w: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就是用解析表达式逼近离散数据，即离散数据的公式化。</w:t>
      </w:r>
      <w:r>
        <w:rPr>
          <w:rFonts w:hint="default" w:ascii="Helvetica" w:hAnsi="Helvetica" w:eastAsia="Helvetica" w:cs="Helvetica"/>
          <w:i w:val="0"/>
          <w:iCs w:val="0"/>
          <w:caps w:val="0"/>
          <w:color w:val="3366CC"/>
          <w:spacing w:val="0"/>
          <w:kern w:val="0"/>
          <w:sz w:val="14"/>
          <w:szCs w:val="14"/>
          <w:bdr w:val="none" w:color="auto" w:sz="0" w:space="0"/>
          <w:shd w:val="clear" w:fill="FFFFFF"/>
          <w:vertAlign w:val="baseline"/>
          <w:lang w:val="en-US" w:eastAsia="zh-CN" w:bidi="ar"/>
        </w:rPr>
        <w:t> [1]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120" w:afterAutospacing="0" w:line="200" w:lineRule="atLeast"/>
        <w:ind w:left="0" w:right="0"/>
        <w:rPr>
          <w:sz w:val="18"/>
          <w:szCs w:val="18"/>
        </w:rPr>
      </w:pPr>
      <w:bookmarkStart w:id="0" w:name="线性拟合"/>
      <w:bookmarkEnd w:id="0"/>
      <w:bookmarkStart w:id="1" w:name="1-2"/>
      <w:bookmarkEnd w:id="1"/>
      <w:r>
        <w:rPr>
          <w:i w:val="0"/>
          <w:iCs w:val="0"/>
          <w:caps w:val="0"/>
          <w:color w:val="333333"/>
          <w:spacing w:val="0"/>
          <w:sz w:val="18"/>
          <w:szCs w:val="18"/>
          <w:bdr w:val="none" w:color="auto" w:sz="0" w:space="0"/>
          <w:shd w:val="clear" w:fill="FFFFFF"/>
        </w:rPr>
        <w:t>线性拟合</w:t>
      </w:r>
    </w:p>
    <w:p>
      <w:pPr>
        <w:keepNext w:val="0"/>
        <w:keepLines w:val="0"/>
        <w:widowControl/>
        <w:suppressLineNumbers w:val="0"/>
        <w:pBdr>
          <w:top w:val="single" w:color="E0E0E0" w:sz="4" w:space="0"/>
          <w:left w:val="single" w:color="E0E0E0" w:sz="4" w:space="0"/>
          <w:bottom w:val="single" w:color="E0E0E0" w:sz="4" w:space="0"/>
          <w:right w:val="single" w:color="E0E0E0" w:sz="4" w:space="0"/>
        </w:pBdr>
        <w:shd w:val="clear" w:fill="FFFFFF"/>
        <w:spacing w:before="0" w:beforeAutospacing="0" w:after="30" w:afterAutospacing="0" w:line="240" w:lineRule="atLeast"/>
        <w:ind w:left="200" w:right="0"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136EC2"/>
          <w:spacing w:val="0"/>
          <w:sz w:val="14"/>
          <w:szCs w:val="14"/>
          <w:u w:val="none"/>
          <w:bdr w:val="none" w:color="auto" w:sz="0" w:space="0"/>
          <w:shd w:val="clear" w:fill="FBFBFB"/>
        </w:rPr>
        <w:drawing>
          <wp:inline distT="0" distB="0" distL="114300" distR="114300">
            <wp:extent cx="2095500" cy="1200150"/>
            <wp:effectExtent l="0" t="0" r="0" b="6350"/>
            <wp:docPr id="15" name="图片 4" descr="IMG_259">
              <a:hlinkClick xmlns:a="http://schemas.openxmlformats.org/drawingml/2006/main" r:id="rId18" tooltip="线性拟合"/>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9"/>
                    <pic:cNvPicPr>
                      <a:picLocks noChangeAspect="1"/>
                    </pic:cNvPicPr>
                  </pic:nvPicPr>
                  <pic:blipFill>
                    <a:blip r:embed="rId19"/>
                    <a:stretch>
                      <a:fillRect/>
                    </a:stretch>
                  </pic:blipFill>
                  <pic:spPr>
                    <a:xfrm>
                      <a:off x="0" y="0"/>
                      <a:ext cx="2095500" cy="1200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若理论函数</w:t>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4137660" cy="557530"/>
            <wp:effectExtent l="0" t="0" r="2540" b="1270"/>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137660" cy="557530"/>
                    </a:xfrm>
                    <a:prstGeom prst="rect">
                      <a:avLst/>
                    </a:prstGeom>
                    <a:noFill/>
                  </pic:spPr>
                </pic:pic>
              </a:graphicData>
            </a:graphic>
          </wp:inline>
        </w:drawing>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是各参数</w:t>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279400" cy="352425"/>
            <wp:effectExtent l="0" t="0" r="0" b="3175"/>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279400" cy="352425"/>
                    </a:xfrm>
                    <a:prstGeom prst="rect">
                      <a:avLst/>
                    </a:prstGeom>
                    <a:noFill/>
                  </pic:spPr>
                </pic:pic>
              </a:graphicData>
            </a:graphic>
          </wp:inline>
        </w:drawing>
      </w: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t> (i=1,2,…，n)的线性函数，则称为线性拟合。</w:t>
      </w:r>
      <w:r>
        <w:rPr>
          <w:rFonts w:hint="default" w:ascii="Helvetica" w:hAnsi="Helvetica" w:eastAsia="Helvetica" w:cs="Helvetica"/>
          <w:i w:val="0"/>
          <w:iCs w:val="0"/>
          <w:caps w:val="0"/>
          <w:color w:val="3366CC"/>
          <w:spacing w:val="0"/>
          <w:kern w:val="0"/>
          <w:sz w:val="14"/>
          <w:szCs w:val="14"/>
          <w:bdr w:val="none" w:color="auto" w:sz="0" w:space="0"/>
          <w:shd w:val="clear" w:fill="FFFFFF"/>
          <w:vertAlign w:val="baseline"/>
          <w:lang w:val="en-US" w:eastAsia="zh-CN" w:bidi="ar"/>
        </w:rPr>
        <w:t> [1]</w:t>
      </w:r>
    </w:p>
    <w:p>
      <w:pPr>
        <w:keepNext w:val="0"/>
        <w:keepLines w:val="0"/>
        <w:widowControl/>
        <w:suppressLineNumbers w:val="0"/>
        <w:ind w:firstLine="400" w:firstLineChars="200"/>
        <w:jc w:val="left"/>
        <w:rPr>
          <w:rFonts w:hint="default"/>
          <w:sz w:val="28"/>
          <w:szCs w:val="36"/>
          <w:lang w:val="en-US" w:eastAsia="zh-CN"/>
        </w:rPr>
      </w:pPr>
      <w:r>
        <w:rPr>
          <w:rStyle w:val="5"/>
          <w:rFonts w:ascii="微软雅黑" w:hAnsi="微软雅黑" w:eastAsia="微软雅黑" w:cs="微软雅黑"/>
          <w:b/>
          <w:bCs/>
          <w:i w:val="0"/>
          <w:iCs w:val="0"/>
          <w:caps w:val="0"/>
          <w:color w:val="111111"/>
          <w:spacing w:val="0"/>
          <w:sz w:val="20"/>
          <w:szCs w:val="20"/>
          <w:highlight w:val="none"/>
        </w:rPr>
        <w:t>线性拟合是曲线拟合的一种形式</w:t>
      </w:r>
      <w:r>
        <w:rPr>
          <w:rFonts w:hint="eastAsia" w:ascii="微软雅黑" w:hAnsi="微软雅黑" w:eastAsia="微软雅黑" w:cs="微软雅黑"/>
          <w:i w:val="0"/>
          <w:iCs w:val="0"/>
          <w:caps w:val="0"/>
          <w:color w:val="111111"/>
          <w:spacing w:val="0"/>
          <w:sz w:val="20"/>
          <w:szCs w:val="20"/>
          <w:highlight w:val="none"/>
          <w:shd w:val="clear" w:fill="FFFFFF"/>
        </w:rPr>
        <w:t>。 设x和y都是被观测的量，且y是x的函数：y=f (x; b)，曲线拟合就是通过x,y的观测值来寻求参数b的最佳估计值，及寻求最佳的理论曲线y=f (x; b)。 当函数y=f (x; b)为关于b的i线性函数时，称这种曲线拟合为线性拟合。</w:t>
      </w:r>
      <w:r>
        <w:rPr>
          <w:rFonts w:hint="eastAsia"/>
          <w:sz w:val="28"/>
          <w:szCs w:val="36"/>
          <w:highlight w:val="none"/>
          <w:lang w:val="en-US" w:eastAsia="zh-CN"/>
        </w:rPr>
        <w:t>）</w:t>
      </w:r>
      <w:r>
        <w:rPr>
          <w:rFonts w:hint="default"/>
          <w:sz w:val="28"/>
          <w:szCs w:val="36"/>
          <w:lang w:val="en-US" w:eastAsia="zh-CN"/>
        </w:rPr>
        <w:t>，得到拟合曲线的斜率为-25.27nm/%，拟合相关系数R²为0.9995。这表明开腔式M-Z光纤干涉仪的损耗峰波长与外界环境浓度变化存在良好的线性关系。</w:t>
      </w:r>
    </w:p>
    <w:p>
      <w:pPr>
        <w:keepNext w:val="0"/>
        <w:keepLines w:val="0"/>
        <w:widowControl/>
        <w:suppressLineNumbers w:val="0"/>
        <w:ind w:firstLine="480" w:firstLineChars="200"/>
        <w:jc w:val="left"/>
      </w:pPr>
      <w:r>
        <w:rPr>
          <w:rFonts w:ascii="宋体" w:hAnsi="宋体" w:eastAsia="宋体" w:cs="宋体"/>
          <w:sz w:val="24"/>
          <w:szCs w:val="24"/>
        </w:rPr>
        <w:fldChar w:fldCharType="begin"/>
      </w:r>
      <w:r>
        <w:rPr>
          <w:rFonts w:ascii="宋体" w:hAnsi="宋体" w:eastAsia="宋体" w:cs="宋体"/>
          <w:sz w:val="24"/>
          <w:szCs w:val="24"/>
        </w:rPr>
        <w:instrText xml:space="preserve"> HYPERLINK "https://www.zhizhen.com/detail_38502727e7500f2649a639d76da0f6f539808507a6fc37c71921b0a3ea255101fc1cf1fbb4666ae62fd0952d499d0ed62baa07dda0fbb80cc0335a848caa5948487672e9ae766e2379c805f88acbc1b6?&amp;apistrclassfy=0_18_17" </w:instrText>
      </w:r>
      <w:r>
        <w:rPr>
          <w:rFonts w:ascii="宋体" w:hAnsi="宋体" w:eastAsia="宋体" w:cs="宋体"/>
          <w:sz w:val="24"/>
          <w:szCs w:val="24"/>
        </w:rPr>
        <w:fldChar w:fldCharType="separate"/>
      </w:r>
      <w:r>
        <w:rPr>
          <w:rStyle w:val="6"/>
          <w:rFonts w:ascii="宋体" w:hAnsi="宋体" w:eastAsia="宋体" w:cs="宋体"/>
          <w:sz w:val="24"/>
          <w:szCs w:val="24"/>
        </w:rPr>
        <w:t>基于开腔式马赫-曾德尔光纤干涉仪的高灵敏溶液浓度传感器 _超星发现系统 (zhizhen.com)</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Y5NzIzMTM2YWRlYmIzMjI2NDJiZGQyNmEyMjRiZTgifQ=="/>
  </w:docVars>
  <w:rsids>
    <w:rsidRoot w:val="00000000"/>
    <w:rsid w:val="0E1E7AC7"/>
    <w:rsid w:val="10F41F02"/>
    <w:rsid w:val="15EC69B4"/>
    <w:rsid w:val="64806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7.sv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hyperlink" Target="https://baike.baidu.com/pic/%E7%BA%BF%E6%80%A7%E6%8B%9F%E5%90%88/5511930/0/6c63514a725e957708f7eff4?fr=lemma%26fromModule=lemma_content-image" TargetMode="External"/><Relationship Id="rId17" Type="http://schemas.openxmlformats.org/officeDocument/2006/relationships/image" Target="media/image14.svg"/><Relationship Id="rId16" Type="http://schemas.openxmlformats.org/officeDocument/2006/relationships/image" Target="media/image13.png"/><Relationship Id="rId15" Type="http://schemas.openxmlformats.org/officeDocument/2006/relationships/image" Target="media/image12.sv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1542</Words>
  <Characters>1758</Characters>
  <Lines>0</Lines>
  <Paragraphs>0</Paragraphs>
  <TotalTime>9</TotalTime>
  <ScaleCrop>false</ScaleCrop>
  <LinksUpToDate>false</LinksUpToDate>
  <CharactersWithSpaces>1764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2024-05-26T10:33:00Z</dcterms:created>
  <dc:creator>20641</dc:creator>
  <cp:lastModifiedBy>半世琉璃ザ倾城殇</cp:lastModifiedBy>
  <dcterms:modified xsi:type="dcterms:W3CDTF">2024-05-26T12:43:19Z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1874B0B1ADA7413EB0F860170209F2AA_12</vt:lpwstr>
  </property>
</Properties>
</file>