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" w:lineRule="auto" w:line="240"/>
        <w:jc w:val="center"/>
      </w:pPr>
      <w:r>
        <w:rPr>
          <w:rFonts w:ascii="Arial" w:hAnsi="Arial"/>
          <w:b/>
          <w:i w:val="0"/>
          <w:color w:val="0B2545"/>
          <w:sz w:val="42"/>
        </w:rPr>
        <w:t>Fu Xiaonan</w:t>
      </w:r>
    </w:p>
    <w:p>
      <w:pPr>
        <w:spacing w:before="0" w:after="20" w:lineRule="auto" w:line="240"/>
        <w:jc w:val="center"/>
      </w:pPr>
      <w:r>
        <w:rPr>
          <w:rFonts w:ascii="Arial" w:hAnsi="Arial"/>
          <w:b/>
          <w:i w:val="0"/>
          <w:color w:val="1F4D78"/>
          <w:sz w:val="19"/>
        </w:rPr>
        <w:t>LLM EVALUATION  •  AGENT RELIABILITY  •  POST-TRAINING RESEARCH ENGINEERING</w:t>
      </w:r>
    </w:p>
    <w:p>
      <w:pPr>
        <w:spacing w:before="0" w:after="60" w:lineRule="auto" w:line="240"/>
        <w:jc w:val="center"/>
      </w:pPr>
      <w:r>
        <w:rPr>
          <w:rFonts w:ascii="Arial" w:hAnsi="Arial"/>
          <w:b w:val="0"/>
          <w:i w:val="0"/>
          <w:color w:val="4B5563"/>
          <w:sz w:val="17"/>
        </w:rPr>
        <w:t xml:space="preserve">Hong Kong  |  </w:t>
      </w:r>
      <w:hyperlink r:id="rId9">
        <w:r>
          <w:rPr>
            <w:rFonts w:ascii="Arial" w:hAnsi="Arial"/>
            <w:color w:val="1F4D78"/>
            <w:sz w:val="17"/>
            <w:szCs w:val="17"/>
          </w:rPr>
          <w:t>GitHub</w:t>
        </w:r>
      </w:hyperlink>
      <w:r>
        <w:rPr>
          <w:rFonts w:ascii="Arial" w:hAnsi="Arial"/>
          <w:b w:val="0"/>
          <w:i w:val="0"/>
          <w:color w:val="4B5563"/>
          <w:sz w:val="17"/>
        </w:rPr>
        <w:t xml:space="preserve">  |  </w:t>
      </w:r>
      <w:hyperlink r:id="rId10">
        <w:r>
          <w:rPr>
            <w:rFonts w:ascii="Arial" w:hAnsi="Arial"/>
            <w:color w:val="1F4D78"/>
            <w:sz w:val="17"/>
            <w:szCs w:val="17"/>
          </w:rPr>
          <w:t>LinkedIn</w:t>
        </w:r>
      </w:hyperlink>
      <w:r>
        <w:rPr>
          <w:rFonts w:ascii="Arial" w:hAnsi="Arial"/>
          <w:b w:val="0"/>
          <w:i w:val="0"/>
          <w:color w:val="4B5563"/>
          <w:sz w:val="17"/>
        </w:rPr>
        <w:t xml:space="preserve">  |  </w:t>
      </w:r>
      <w:hyperlink r:id="rId11">
        <w:r>
          <w:rPr>
            <w:rFonts w:ascii="Arial" w:hAnsi="Arial"/>
            <w:color w:val="1F4D78"/>
            <w:sz w:val="17"/>
            <w:szCs w:val="17"/>
          </w:rPr>
          <w:t>ORCID</w:t>
        </w:r>
      </w:hyperlink>
    </w:p>
    <w:p>
      <w:pPr>
        <w:pStyle w:val="ResumeSection"/>
        <w:spacing w:before="110" w:after="44" w:lineRule="auto" w:line="240"/>
        <w:pBdr>
          <w:bottom w:val="single" w:sz="6" w:space="1" w:color="C9D4E2"/>
        </w:pBdr>
      </w:pPr>
      <w:r>
        <w:rPr>
          <w:rFonts w:ascii="Arial" w:hAnsi="Arial"/>
          <w:b/>
          <w:i w:val="0"/>
          <w:color w:val="1F4D78"/>
          <w:sz w:val="21"/>
        </w:rPr>
        <w:t>PROFILE</w:t>
      </w:r>
    </w:p>
    <w:p>
      <w:pPr>
        <w:spacing w:before="0" w:after="30" w:lineRule="auto" w:line="250"/>
      </w:pPr>
      <w:r>
        <w:rPr>
          <w:rFonts w:ascii="Arial" w:hAnsi="Arial"/>
          <w:b w:val="0"/>
          <w:i w:val="0"/>
          <w:color w:val="111111"/>
          <w:sz w:val="19"/>
        </w:rPr>
        <w:t>HKU undergraduate and research engineer focused on reproducible LLM evaluation, reliable agent systems, and post-training correctness. Delivered 11 merged pull requests across nine AI/software repositories and authored two papers accepted to non-archival COLM 2026 workshops.</w:t>
      </w:r>
    </w:p>
    <w:p>
      <w:pPr>
        <w:pStyle w:val="ResumeSection"/>
        <w:spacing w:before="110" w:after="44" w:lineRule="auto" w:line="240"/>
        <w:pBdr>
          <w:bottom w:val="single" w:sz="6" w:space="1" w:color="C9D4E2"/>
        </w:pBdr>
      </w:pPr>
      <w:r>
        <w:rPr>
          <w:rFonts w:ascii="Arial" w:hAnsi="Arial"/>
          <w:b/>
          <w:i w:val="0"/>
          <w:color w:val="1F4D78"/>
          <w:sz w:val="21"/>
        </w:rPr>
        <w:t>EXPERIENCE</w:t>
      </w:r>
    </w:p>
    <w:p>
      <w:pPr>
        <w:pStyle w:val="ResumeEntry"/>
        <w:tabs>
          <w:tab w:pos="10282" w:val="right"/>
        </w:tabs>
        <w:spacing w:before="28" w:after="10" w:lineRule="auto" w:line="240"/>
      </w:pPr>
      <w:r>
        <w:rPr>
          <w:rFonts w:ascii="Arial" w:hAnsi="Arial"/>
          <w:b/>
          <w:i w:val="0"/>
          <w:color w:val="0B2545"/>
          <w:sz w:val="19"/>
        </w:rPr>
        <w:t>Tencent — Intern, AI Agent Development &amp; Evaluation</w:t>
      </w:r>
      <w:r>
        <w:rPr>
          <w:rFonts w:ascii="Arial" w:hAnsi="Arial"/>
          <w:b/>
          <w:i w:val="0"/>
          <w:color w:val="4B5563"/>
          <w:sz w:val="18"/>
        </w:rPr>
        <w:tab/>
        <w:t>Jul 2026–Present</w:t>
      </w:r>
    </w:p>
    <w:p>
      <w:pPr>
        <w:pStyle w:val="ResumeBullet"/>
        <w:spacing w:before="0" w:after="25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r>
        <w:rPr>
          <w:rFonts w:ascii="Arial" w:hAnsi="Arial"/>
          <w:b w:val="0"/>
          <w:i w:val="0"/>
          <w:color w:val="111111"/>
          <w:sz w:val="18"/>
        </w:rPr>
        <w:t>Contribute to next-generation agent development and evaluation in repository-scale software-engineering settings, with emphasis on reliable and reproducible behavior.</w:t>
      </w:r>
    </w:p>
    <w:p>
      <w:pPr>
        <w:pStyle w:val="ResumeBullet"/>
        <w:spacing w:before="0" w:after="25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r>
        <w:rPr>
          <w:rFonts w:ascii="Arial" w:hAnsi="Arial"/>
          <w:b w:val="0"/>
          <w:i w:val="0"/>
          <w:color w:val="111111"/>
          <w:sz w:val="18"/>
        </w:rPr>
        <w:t>Build auditable Python analysis and evaluation workflows with explicit aggregation rules, data-quality checks, reproducible outputs, and privacy boundaries.</w:t>
      </w:r>
    </w:p>
    <w:p>
      <w:pPr>
        <w:pStyle w:val="ResumeEntry"/>
        <w:tabs>
          <w:tab w:pos="10282" w:val="right"/>
        </w:tabs>
        <w:spacing w:before="28" w:after="10" w:lineRule="auto" w:line="240"/>
      </w:pPr>
      <w:r>
        <w:rPr>
          <w:rFonts w:ascii="Arial" w:hAnsi="Arial"/>
          <w:b/>
          <w:i w:val="0"/>
          <w:color w:val="0B2545"/>
          <w:sz w:val="19"/>
        </w:rPr>
        <w:t>HKU Centre of AI, Management and Organization — Research Assistant</w:t>
      </w:r>
      <w:r>
        <w:rPr>
          <w:rFonts w:ascii="Arial" w:hAnsi="Arial"/>
          <w:b/>
          <w:i w:val="0"/>
          <w:color w:val="4B5563"/>
          <w:sz w:val="18"/>
        </w:rPr>
        <w:tab/>
        <w:t>Oct 2025–Present</w:t>
      </w:r>
    </w:p>
    <w:p>
      <w:pPr>
        <w:pStyle w:val="ResumeBullet"/>
        <w:spacing w:before="0" w:after="25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r>
        <w:rPr>
          <w:rFonts w:ascii="Arial" w:hAnsi="Arial"/>
          <w:b w:val="0"/>
          <w:i w:val="0"/>
          <w:color w:val="111111"/>
          <w:sz w:val="18"/>
        </w:rPr>
        <w:t>Develop NLP models and reproducible empirical workflows for research on AI adoption and organizational behavior under Professors Jin Li and Jie Gong.</w:t>
      </w:r>
    </w:p>
    <w:p>
      <w:pPr>
        <w:pStyle w:val="ResumeEntry"/>
        <w:tabs>
          <w:tab w:pos="10282" w:val="right"/>
        </w:tabs>
        <w:spacing w:before="28" w:after="10" w:lineRule="auto" w:line="240"/>
      </w:pPr>
      <w:r>
        <w:rPr>
          <w:rFonts w:ascii="Arial" w:hAnsi="Arial"/>
          <w:b/>
          <w:i w:val="0"/>
          <w:color w:val="0B2545"/>
          <w:sz w:val="19"/>
        </w:rPr>
        <w:t>Independent Open-Source Contributor</w:t>
      </w:r>
      <w:r>
        <w:rPr>
          <w:rFonts w:ascii="Arial" w:hAnsi="Arial"/>
          <w:b/>
          <w:i w:val="0"/>
          <w:color w:val="4B5563"/>
          <w:sz w:val="18"/>
        </w:rPr>
        <w:tab/>
        <w:t>May 2026–Present</w:t>
      </w:r>
    </w:p>
    <w:p>
      <w:pPr>
        <w:pStyle w:val="ResumeBullet"/>
        <w:spacing w:before="0" w:after="25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r>
        <w:rPr>
          <w:rFonts w:ascii="Arial" w:hAnsi="Arial"/>
          <w:b w:val="0"/>
          <w:i w:val="0"/>
          <w:color w:val="111111"/>
          <w:sz w:val="18"/>
        </w:rPr>
        <w:t>Delivered 11 merged PRs across nine repositories, including OpenAI Agents, OpenAI Node, Pydantic AI, OpenCUA, LightRAG, RAG-Anything, Agno, and txtai.</w:t>
      </w:r>
    </w:p>
    <w:p>
      <w:pPr>
        <w:pStyle w:val="ResumeBullet"/>
        <w:spacing w:before="0" w:after="25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r>
        <w:rPr>
          <w:rFonts w:ascii="Arial" w:hAnsi="Arial"/>
          <w:b w:val="0"/>
          <w:i w:val="0"/>
          <w:color w:val="111111"/>
          <w:sz w:val="18"/>
        </w:rPr>
        <w:t>Fixed defects in tool-call identity, evaluator boundaries, multimodal data handling, retrieval checks, schema references, audio decoding, and deterministic transport tests.</w:t>
      </w:r>
    </w:p>
    <w:p>
      <w:pPr>
        <w:pStyle w:val="ResumeSection"/>
        <w:spacing w:before="110" w:after="44" w:lineRule="auto" w:line="240"/>
        <w:pBdr>
          <w:bottom w:val="single" w:sz="6" w:space="1" w:color="C9D4E2"/>
        </w:pBdr>
      </w:pPr>
      <w:r>
        <w:rPr>
          <w:rFonts w:ascii="Arial" w:hAnsi="Arial"/>
          <w:b/>
          <w:i w:val="0"/>
          <w:color w:val="1F4D78"/>
          <w:sz w:val="21"/>
        </w:rPr>
        <w:t>SELECTED RESEARCH</w:t>
      </w:r>
    </w:p>
    <w:p>
      <w:pPr>
        <w:pStyle w:val="ResumeBullet"/>
        <w:spacing w:before="0" w:after="27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hyperlink r:id="rId12">
        <w:r>
          <w:rPr>
            <w:rFonts w:ascii="Arial" w:hAnsi="Arial"/>
            <w:color w:val="0B2545"/>
            <w:sz w:val="18"/>
            <w:szCs w:val="18"/>
          </w:rPr>
          <w:t>StateBind: Evaluating Executable Agent State Across Context Windows and Handoffs</w:t>
        </w:r>
      </w:hyperlink>
      <w:r>
        <w:rPr>
          <w:rFonts w:ascii="Arial" w:hAnsi="Arial"/>
          <w:b w:val="0"/>
          <w:i w:val="0"/>
          <w:color w:val="111111"/>
          <w:sz w:val="18"/>
        </w:rPr>
        <w:t xml:space="preserve"> — Context Beyond the Window, COLM 2026 Workshop; sole author; accepted poster; non-archival</w:t>
      </w:r>
    </w:p>
    <w:p>
      <w:pPr>
        <w:pStyle w:val="ResumeBullet"/>
        <w:spacing w:before="0" w:after="27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hyperlink r:id="rId13">
        <w:r>
          <w:rPr>
            <w:rFonts w:ascii="Arial" w:hAnsi="Arial"/>
            <w:color w:val="0B2545"/>
            <w:sz w:val="18"/>
            <w:szCs w:val="18"/>
          </w:rPr>
          <w:t>Trace-Use Audits as Measurement: Interventional Evaluation of Post-Training Trace Reliance</w:t>
        </w:r>
      </w:hyperlink>
      <w:r>
        <w:rPr>
          <w:rFonts w:ascii="Arial" w:hAnsi="Arial"/>
          <w:b w:val="0"/>
          <w:i w:val="0"/>
          <w:color w:val="111111"/>
          <w:sz w:val="18"/>
        </w:rPr>
        <w:t xml:space="preserve"> — AIMS, COLM 2026 Workshop; sole author; accepted; non-archival</w:t>
      </w:r>
    </w:p>
    <w:p>
      <w:pPr>
        <w:pStyle w:val="ResumeBullet"/>
        <w:spacing w:before="0" w:after="25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r>
        <w:rPr>
          <w:rFonts w:ascii="Arial" w:hAnsi="Arial"/>
          <w:b w:val="0"/>
          <w:i w:val="0"/>
          <w:color w:val="111111"/>
          <w:sz w:val="18"/>
        </w:rPr>
        <w:t>Released runnable research artifacts with smoke checks, result cards, controls, and explicit claim boundaries for trace reliance and executable agent handoffs.</w:t>
      </w:r>
    </w:p>
    <w:p>
      <w:pPr>
        <w:pStyle w:val="ResumeSection"/>
        <w:spacing w:before="110" w:after="44" w:lineRule="auto" w:line="240"/>
        <w:pBdr>
          <w:bottom w:val="single" w:sz="6" w:space="1" w:color="C9D4E2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pStyle w:val="ResumeEntry"/>
        <w:tabs>
          <w:tab w:pos="10282" w:val="right"/>
        </w:tabs>
        <w:spacing w:before="28" w:after="10" w:lineRule="auto" w:line="240"/>
      </w:pPr>
      <w:r>
        <w:rPr>
          <w:rFonts w:ascii="Arial" w:hAnsi="Arial"/>
          <w:b/>
          <w:i w:val="0"/>
          <w:color w:val="0B2545"/>
          <w:sz w:val="19"/>
        </w:rPr>
        <w:t>The University of Hong Kong — Bachelor of Economics and Finance</w:t>
      </w:r>
      <w:r>
        <w:rPr>
          <w:rFonts w:ascii="Arial" w:hAnsi="Arial"/>
          <w:b/>
          <w:i w:val="0"/>
          <w:color w:val="4B5563"/>
          <w:sz w:val="18"/>
        </w:rPr>
        <w:tab/>
        <w:t>Expected Jun 2028</w:t>
      </w:r>
    </w:p>
    <w:p>
      <w:pPr>
        <w:pStyle w:val="ResumeBullet"/>
        <w:spacing w:before="0" w:after="25" w:lineRule="auto" w:line="250"/>
        <w:ind w:left="360" w:hanging="187"/>
      </w:pPr>
      <w:r>
        <w:rPr>
          <w:rFonts w:ascii="Arial" w:hAnsi="Arial"/>
          <w:b/>
          <w:i w:val="0"/>
          <w:color w:val="1F4D78"/>
          <w:sz w:val="18"/>
        </w:rPr>
        <w:t>•</w:t>
        <w:tab/>
      </w:r>
      <w:r>
        <w:rPr>
          <w:rFonts w:ascii="Arial" w:hAnsi="Arial"/>
          <w:b w:val="0"/>
          <w:i w:val="0"/>
          <w:color w:val="111111"/>
          <w:sz w:val="18"/>
        </w:rPr>
        <w:t>Second major in Mathematics; minor in Statistics. CGPA 3.84/4.30; Dean’s Honour List (2024–25).</w:t>
      </w:r>
    </w:p>
    <w:p>
      <w:pPr>
        <w:pStyle w:val="ResumeSection"/>
        <w:spacing w:before="110" w:after="44" w:lineRule="auto" w:line="240"/>
        <w:pBdr>
          <w:bottom w:val="single" w:sz="6" w:space="1" w:color="C9D4E2"/>
        </w:pBdr>
      </w:pPr>
      <w:r>
        <w:rPr>
          <w:rFonts w:ascii="Arial" w:hAnsi="Arial"/>
          <w:b/>
          <w:i w:val="0"/>
          <w:color w:val="1F4D78"/>
          <w:sz w:val="21"/>
        </w:rPr>
        <w:t>TECHNICAL SKILLS</w:t>
      </w:r>
    </w:p>
    <w:p>
      <w:pPr>
        <w:spacing w:before="0" w:after="0" w:lineRule="auto" w:line="250"/>
      </w:pPr>
      <w:r>
        <w:rPr>
          <w:rFonts w:ascii="Arial" w:hAnsi="Arial"/>
          <w:b/>
          <w:i w:val="0"/>
          <w:color w:val="0B2545"/>
          <w:sz w:val="18"/>
        </w:rPr>
        <w:t xml:space="preserve">Programming: </w:t>
      </w:r>
      <w:r>
        <w:rPr>
          <w:rFonts w:ascii="Arial" w:hAnsi="Arial"/>
          <w:b w:val="0"/>
          <w:i w:val="0"/>
          <w:color w:val="111111"/>
          <w:sz w:val="18"/>
        </w:rPr>
        <w:t xml:space="preserve">Python, SQL, Bash, TypeScript  |  </w:t>
      </w:r>
      <w:r>
        <w:rPr>
          <w:rFonts w:ascii="Arial" w:hAnsi="Arial"/>
          <w:b/>
          <w:i w:val="0"/>
          <w:color w:val="0B2545"/>
          <w:sz w:val="18"/>
        </w:rPr>
        <w:t xml:space="preserve">ML: </w:t>
      </w:r>
      <w:r>
        <w:rPr>
          <w:rFonts w:ascii="Arial" w:hAnsi="Arial"/>
          <w:b w:val="0"/>
          <w:i w:val="0"/>
          <w:color w:val="111111"/>
          <w:sz w:val="18"/>
        </w:rPr>
        <w:t xml:space="preserve">PyTorch, Transformers, TRL, PEFT, Hugging Face, NumPy, pandas, scikit-learn  |  </w:t>
      </w:r>
      <w:r>
        <w:rPr>
          <w:rFonts w:ascii="Arial" w:hAnsi="Arial"/>
          <w:b/>
          <w:i w:val="0"/>
          <w:color w:val="0B2545"/>
          <w:sz w:val="18"/>
        </w:rPr>
        <w:t xml:space="preserve">Engineering: </w:t>
      </w:r>
      <w:r>
        <w:rPr>
          <w:rFonts w:ascii="Arial" w:hAnsi="Arial"/>
          <w:b w:val="0"/>
          <w:i w:val="0"/>
          <w:color w:val="111111"/>
          <w:sz w:val="18"/>
        </w:rPr>
        <w:t>Git/GitHub, Docker, pytest, regression testing, benchmarking, reproducible data pipelines</w:t>
      </w:r>
    </w:p>
    <w:sectPr>
      <w:pgSz w:w="12240" w:h="15840"/>
      <w:pgMar w:top="749" w:right="936" w:bottom="749" w:left="936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6" w:lineRule="auto" w:line="252"/>
    </w:pPr>
    <w:rPr>
      <w:rFonts w:ascii="Arial" w:hAnsi="Arial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rPr>
      <w:rFonts w:ascii="Arial" w:hAnsi="Arial"/>
    </w:rPr>
  </w:style>
  <w:style w:type="paragraph" w:customStyle="1" w:styleId="ResumeEntry">
    <w:name w:val="Resume Entry"/>
    <w:basedOn w:val="Normal"/>
    <w:rPr>
      <w:rFonts w:ascii="Arial" w:hAnsi="Arial"/>
    </w:rPr>
  </w:style>
  <w:style w:type="paragraph" w:customStyle="1" w:styleId="ResumeBullet">
    <w:name w:val="Resume Bullet"/>
    <w:basedOn w:val="Normal"/>
    <w:rPr>
      <w:rFonts w:ascii="Arial" w:hAnsi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U-max-boop" TargetMode="External"/><Relationship Id="rId10" Type="http://schemas.openxmlformats.org/officeDocument/2006/relationships/hyperlink" Target="https://www.linkedin.com/in/xiaonan-fu-734a20339/" TargetMode="External"/><Relationship Id="rId11" Type="http://schemas.openxmlformats.org/officeDocument/2006/relationships/hyperlink" Target="https://orcid.org/0009-0000-6423-7814" TargetMode="External"/><Relationship Id="rId12" Type="http://schemas.openxmlformats.org/officeDocument/2006/relationships/hyperlink" Target="https://openreview.net/forum?id=WVZuCW4s1q" TargetMode="External"/><Relationship Id="rId13" Type="http://schemas.openxmlformats.org/officeDocument/2006/relationships/hyperlink" Target="https://openreview.net/forum?id=SKdjnqHJ8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 Xiaonan — LLM Research Engineering Resume</dc:title>
  <dc:subject>Public technical resume</dc:subject>
  <dc:creator/>
  <cp:keywords>LLM evaluation, agent reliability, post-training, research engineering</cp:keywords>
  <dc:description>Public version; contact via LinkedIn or GitHub.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