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FBF7">
      <w:pPr>
        <w:pStyle w:val="2"/>
        <w:bidi w:val="0"/>
      </w:pPr>
      <w:r>
        <w:t>并非所有“开源”AI模型都是开放的：这里有一个排名</w:t>
      </w:r>
    </w:p>
    <w:p w14:paraId="5C55B902">
      <w:pPr>
        <w:bidi w:val="0"/>
      </w:pPr>
      <w:r>
        <w:t>许多大型语言模型声称是开放的，但实际上限制了对代码和训练数据的访问</w:t>
      </w:r>
      <w:r>
        <w:rPr>
          <w:rFonts w:hint="eastAsia"/>
          <w:lang w:eastAsia="zh-CN"/>
        </w:rPr>
        <w:t>。</w:t>
      </w:r>
      <w:r>
        <w:t>真正的开源模型应允许研究人员复制和审视这些模型。</w:t>
      </w:r>
    </w:p>
    <w:p w14:paraId="4520C245">
      <w:pPr>
        <w:bidi w:val="0"/>
      </w:pPr>
      <w:r>
        <w:t>研究人员分析了众多流行聊天机器人模型，称Meta和Microsoft等科技巨头称其人工智能（AI）模型为“开源”，但却未披露底层技术的重要信息。</w:t>
      </w:r>
    </w:p>
    <w:p w14:paraId="3CD3E014">
      <w:pPr>
        <w:bidi w:val="0"/>
      </w:pPr>
      <w:r>
        <w:t>关于人工智能模型的开源定义尚未达成一致，但倡导者表示，“完全”开放能够促进科学发展，这对于让人工智能承担责任至关重要。随着欧盟《人工智能法案》的生效，什么算是开源，可能会变得更加重要。该立法将对被归类为开放型的车型实施较宽松的监管。</w:t>
      </w:r>
    </w:p>
    <w:p w14:paraId="07D37347">
      <w:pPr>
        <w:bidi w:val="0"/>
      </w:pPr>
      <w:r>
        <w:t>荷兰奈梅亨拉德博德大学语言科学家马克·丁格曼塞说，一些大型公司正享受着声称拥有开源模型的好处，同时“尽量少披露信息”。这种做法被称为开放式洗涤。</w:t>
      </w:r>
    </w:p>
    <w:p w14:paraId="2A91C6D5">
      <w:pPr>
        <w:bidi w:val="0"/>
      </w:pPr>
      <w:r>
        <w:t>“令我们惊讶的是，资源相对较少的小规模参与者却付出了额外的努力，”丁格曼斯说，他与他的同事、计算语言学家安德烈亚斯·利森菲尔德一起创建了一个排行榜，列出了最开放和最不开放的模型（见表）。他们于6月5日在2024年ACM公平、问责和透明度会议的会议记录中发表了调查结果。都柏林三一学院的认知科学家、Mozilla基金会（一家位于加利福尼亚州山景城的非营利组织）的人工智能责任顾问Abeba Birhane表示，这项研究消除了“当前围绕开源争论的大量炒作和废话”。定义开放性“开源”一词来自软件，意味着可以访问源代码，并且对程序的使用或分发没有限制。但考虑到大型人工智能模型的复杂性和涉及的海量数据，将它们开源远非易事，专家们仍在努力定义开源人工智能。丁格曼斯表示，揭示模型的所有方面并不总是公司所希望的，因为这可能会让他们面临商业或法律风险。其他人则认为，完全自由地发布模型有滥用的风险。但被贴上开源标签也能带来巨大的好处。开发人员已经可以通过表现得严谨和透明来获得公共关系的回报。很快就会产生法律影响。今年通过的欧盟人工智能法案将免除一定规模的开源通用模型的广泛透明度要求，并让它们承担较少且尚未定义的义务。“可以公平地说，开源一词在欧盟人工智能法案管辖的国家中将具有前所未有的法律影响力，”Dingemanse说。</w:t>
      </w:r>
    </w:p>
    <w:p w14:paraId="6EE51128">
      <w:pPr>
        <w:bidi w:val="0"/>
      </w:pPr>
      <w:r>
        <w:t>都柏林三一学院的认知科学家兼Mozilla基金会（一家位于加利福尼亚州山景城的非营利组织）的人工智能责任顾问Abeba Birhane表示，这项研究消除了“当前围绕开源争论的大量炒作和废话”。</w:t>
      </w:r>
    </w:p>
    <w:tbl>
      <w:tblPr>
        <w:tblStyle w:val="4"/>
        <w:tblpPr w:leftFromText="180" w:rightFromText="180" w:vertAnchor="text" w:horzAnchor="page" w:tblpX="1787" w:tblpY="617"/>
        <w:tblOverlap w:val="never"/>
        <w:tblW w:w="836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035"/>
        <w:gridCol w:w="1175"/>
        <w:gridCol w:w="1306"/>
        <w:gridCol w:w="1306"/>
        <w:gridCol w:w="1023"/>
        <w:gridCol w:w="1521"/>
      </w:tblGrid>
      <w:tr w14:paraId="637E79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1FBD6628">
            <w:pPr>
              <w:bidi w:val="0"/>
              <w:jc w:val="both"/>
            </w:pPr>
            <w:r>
              <w:rPr>
                <w:rFonts w:hint="default"/>
                <w:lang w:val="en-US" w:eastAsia="zh-CN"/>
              </w:rPr>
              <w:t>模型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602DE284">
            <w:pPr>
              <w:bidi w:val="0"/>
              <w:jc w:val="both"/>
              <w:rPr>
                <w:rFonts w:hint="default"/>
              </w:rPr>
            </w:pPr>
            <w:r>
              <w:rPr>
                <w:rFonts w:hint="default"/>
                <w:lang w:val="en-US" w:eastAsia="zh-CN"/>
              </w:rPr>
              <w:t>开放代码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58DEF975">
            <w:pPr>
              <w:bidi w:val="0"/>
              <w:jc w:val="both"/>
              <w:rPr>
                <w:rFonts w:hint="default"/>
              </w:rPr>
            </w:pPr>
            <w:r>
              <w:rPr>
                <w:rFonts w:hint="default"/>
                <w:lang w:val="en-US" w:eastAsia="zh-CN"/>
              </w:rPr>
              <w:t>LLM数据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1E7A5F64">
            <w:pPr>
              <w:bidi w:val="0"/>
              <w:jc w:val="both"/>
              <w:rPr>
                <w:rFonts w:hint="default"/>
              </w:rPr>
            </w:pPr>
            <w:r>
              <w:rPr>
                <w:rFonts w:hint="default"/>
                <w:lang w:val="en-US" w:eastAsia="zh-CN"/>
              </w:rPr>
              <w:t>LLM权重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77B954B">
            <w:pPr>
              <w:bidi w:val="0"/>
              <w:jc w:val="both"/>
              <w:rPr>
                <w:rFonts w:hint="default"/>
              </w:rPr>
            </w:pPr>
            <w:r>
              <w:rPr>
                <w:rFonts w:hint="default"/>
                <w:lang w:val="en-US" w:eastAsia="zh-CN"/>
              </w:rPr>
              <w:t>预印本</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EE1B549">
            <w:pPr>
              <w:bidi w:val="0"/>
              <w:jc w:val="both"/>
              <w:rPr>
                <w:rFonts w:hint="default"/>
              </w:rPr>
            </w:pPr>
            <w:r>
              <w:rPr>
                <w:rFonts w:hint="default"/>
                <w:lang w:val="en-US" w:eastAsia="zh-CN"/>
              </w:rPr>
              <w:t>应用/编程接口</w:t>
            </w:r>
          </w:p>
        </w:tc>
      </w:tr>
      <w:tr w14:paraId="734905D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AAB6BE8">
            <w:pPr>
              <w:bidi w:val="0"/>
              <w:ind w:left="0" w:leftChars="0" w:firstLine="0" w:firstLineChars="0"/>
              <w:jc w:val="both"/>
              <w:rPr>
                <w:rFonts w:hint="default"/>
              </w:rPr>
            </w:pPr>
            <w:r>
              <w:rPr>
                <w:rFonts w:hint="default"/>
                <w:lang w:val="en-US" w:eastAsia="zh-CN"/>
              </w:rPr>
              <w:t>BloomZ(BigScience)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033B77E3">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540DD4C9">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4ADC764F">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77FAF45E">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056459A">
            <w:pPr>
              <w:bidi w:val="0"/>
              <w:jc w:val="both"/>
              <w:rPr>
                <w:rFonts w:hint="default"/>
              </w:rPr>
            </w:pPr>
            <w:r>
              <w:rPr>
                <w:rFonts w:hint="default"/>
                <w:lang w:val="en-US" w:eastAsia="zh-CN"/>
              </w:rPr>
              <w:t>✔</w:t>
            </w:r>
          </w:p>
        </w:tc>
      </w:tr>
      <w:tr w14:paraId="261E18F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149C230E">
            <w:pPr>
              <w:bidi w:val="0"/>
              <w:ind w:left="0" w:leftChars="0" w:firstLine="0" w:firstLineChars="0"/>
              <w:jc w:val="both"/>
              <w:rPr>
                <w:rFonts w:hint="default"/>
              </w:rPr>
            </w:pPr>
            <w:r>
              <w:rPr>
                <w:rFonts w:hint="default"/>
                <w:lang w:val="en-US" w:eastAsia="zh-CN"/>
              </w:rPr>
              <w:t>OLMo(Allen Institute)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6774CF36">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1A4858AB">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4C30784A">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14BC1089">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1782BA5">
            <w:pPr>
              <w:bidi w:val="0"/>
              <w:jc w:val="both"/>
              <w:rPr>
                <w:rFonts w:hint="default"/>
              </w:rPr>
            </w:pPr>
            <w:r>
              <w:rPr>
                <w:rFonts w:hint="default"/>
                <w:lang w:val="en-US" w:eastAsia="zh-CN"/>
              </w:rPr>
              <w:t>✔</w:t>
            </w:r>
          </w:p>
        </w:tc>
      </w:tr>
      <w:tr w14:paraId="13DFEE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15D307F">
            <w:pPr>
              <w:bidi w:val="0"/>
              <w:ind w:left="0" w:leftChars="0" w:firstLine="0" w:firstLineChars="0"/>
              <w:jc w:val="both"/>
              <w:rPr>
                <w:rFonts w:hint="default"/>
              </w:rPr>
            </w:pPr>
            <w:r>
              <w:rPr>
                <w:rFonts w:hint="default"/>
                <w:lang w:val="en-US" w:eastAsia="zh-CN"/>
              </w:rPr>
              <w:t>Mistral 7B(Mistral AI)</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0A108B56">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1011A140">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70D46D03">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E006142">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765D0BED">
            <w:pPr>
              <w:bidi w:val="0"/>
              <w:jc w:val="both"/>
              <w:rPr>
                <w:rFonts w:hint="default"/>
              </w:rPr>
            </w:pPr>
            <w:r>
              <w:rPr>
                <w:rFonts w:hint="default"/>
                <w:lang w:val="en-US" w:eastAsia="zh-CN"/>
              </w:rPr>
              <w:t>✔</w:t>
            </w:r>
          </w:p>
        </w:tc>
      </w:tr>
      <w:tr w14:paraId="65AF814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7BD12EF6">
            <w:pPr>
              <w:bidi w:val="0"/>
              <w:ind w:left="0" w:leftChars="0" w:firstLine="0" w:firstLineChars="0"/>
              <w:jc w:val="both"/>
              <w:rPr>
                <w:rFonts w:hint="default"/>
              </w:rPr>
            </w:pPr>
            <w:r>
              <w:rPr>
                <w:rFonts w:hint="default"/>
                <w:lang w:val="en-US" w:eastAsia="zh-CN"/>
              </w:rPr>
              <w:t>Orca 2(Microsoft)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C28216A">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690DC8DA">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A7CBAC9">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1546A7EC">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4405BB9C">
            <w:pPr>
              <w:bidi w:val="0"/>
              <w:jc w:val="both"/>
              <w:rPr>
                <w:rFonts w:hint="default"/>
              </w:rPr>
            </w:pPr>
            <w:r>
              <w:rPr>
                <w:rFonts w:hint="default"/>
                <w:lang w:val="en-US" w:eastAsia="zh-CN"/>
              </w:rPr>
              <w:t>✔</w:t>
            </w:r>
          </w:p>
        </w:tc>
      </w:tr>
      <w:tr w14:paraId="29088B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511B5B0B">
            <w:pPr>
              <w:bidi w:val="0"/>
              <w:ind w:left="0" w:leftChars="0" w:firstLine="0" w:firstLineChars="0"/>
              <w:jc w:val="both"/>
              <w:rPr>
                <w:rFonts w:hint="default"/>
              </w:rPr>
            </w:pPr>
            <w:r>
              <w:rPr>
                <w:rFonts w:hint="default"/>
                <w:lang w:val="en-US" w:eastAsia="zh-CN"/>
              </w:rPr>
              <w:t>Gemma 7B(Google)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A5F27FC">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964B46D">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6952C4AC">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C9501C1">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5A73EDA0">
            <w:pPr>
              <w:bidi w:val="0"/>
              <w:jc w:val="both"/>
              <w:rPr>
                <w:rFonts w:hint="default"/>
              </w:rPr>
            </w:pPr>
            <w:r>
              <w:rPr>
                <w:rFonts w:hint="default"/>
                <w:lang w:val="en-US" w:eastAsia="zh-CN"/>
              </w:rPr>
              <w:t>X</w:t>
            </w:r>
          </w:p>
        </w:tc>
      </w:tr>
      <w:tr w14:paraId="09EFB0B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3949166A">
            <w:pPr>
              <w:bidi w:val="0"/>
              <w:ind w:left="0" w:leftChars="0" w:firstLine="0" w:firstLineChars="0"/>
              <w:jc w:val="both"/>
              <w:rPr>
                <w:rFonts w:hint="default"/>
              </w:rPr>
            </w:pPr>
            <w:r>
              <w:rPr>
                <w:rFonts w:hint="default"/>
                <w:lang w:val="en-US" w:eastAsia="zh-CN"/>
              </w:rPr>
              <w:t>Llama 3(Meta)</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5E46BB31">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1110E6F">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6D42DF2F">
            <w:pPr>
              <w:bidi w:val="0"/>
              <w:jc w:val="both"/>
              <w:rPr>
                <w:rFonts w:hint="default"/>
              </w:rPr>
            </w:pPr>
            <w:r>
              <w:rPr>
                <w:rFonts w:hint="default"/>
                <w:lang w:val="en-US" w:eastAsia="zh-CN"/>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DAAFF05">
            <w:pPr>
              <w:bidi w:val="0"/>
              <w:jc w:val="both"/>
              <w:rPr>
                <w:rFonts w:hint="default"/>
              </w:rPr>
            </w:pPr>
            <w:r>
              <w:rPr>
                <w:rFonts w:hint="default"/>
                <w:lang w:val="en-US" w:eastAsia="zh-CN"/>
              </w:rPr>
              <w:t>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0" w:type="dxa"/>
              <w:left w:w="30" w:type="dxa"/>
              <w:bottom w:w="20" w:type="dxa"/>
              <w:right w:w="30" w:type="dxa"/>
            </w:tcMar>
            <w:vAlign w:val="top"/>
          </w:tcPr>
          <w:p w14:paraId="2A86ED64">
            <w:pPr>
              <w:bidi w:val="0"/>
              <w:jc w:val="both"/>
              <w:rPr>
                <w:rFonts w:hint="default"/>
              </w:rPr>
            </w:pPr>
            <w:r>
              <w:rPr>
                <w:rFonts w:hint="default"/>
                <w:lang w:val="en-US" w:eastAsia="zh-CN"/>
              </w:rPr>
              <w:t>✔</w:t>
            </w:r>
          </w:p>
        </w:tc>
      </w:tr>
    </w:tbl>
    <w:p w14:paraId="0DF5FC5E">
      <w:pPr>
        <w:bidi w:val="0"/>
      </w:pPr>
      <w:r>
        <w:t>两位科学家评估了机器人模型的各个组成部分是开放（✔）、部分开放（-）还是封闭（X）。</w:t>
      </w:r>
    </w:p>
    <w:p w14:paraId="52E919CF">
      <w:pPr>
        <w:bidi w:val="0"/>
      </w:pPr>
    </w:p>
    <w:p w14:paraId="6898172F">
      <w:pPr>
        <w:bidi w:val="0"/>
        <w:rPr>
          <w:rFonts w:hint="eastAsia"/>
          <w:b/>
          <w:bCs/>
          <w:sz w:val="24"/>
          <w:szCs w:val="24"/>
          <w:lang w:val="en-US" w:eastAsia="zh-CN"/>
        </w:rPr>
      </w:pPr>
      <w:r>
        <w:rPr>
          <w:rFonts w:hint="eastAsia"/>
          <w:b/>
          <w:bCs/>
          <w:sz w:val="24"/>
          <w:szCs w:val="24"/>
          <w:lang w:val="en-US" w:eastAsia="zh-CN"/>
        </w:rPr>
        <w:t>定义开放性</w:t>
      </w:r>
    </w:p>
    <w:p w14:paraId="07B40EAB">
      <w:pPr>
        <w:bidi w:val="0"/>
        <w:rPr>
          <w:rFonts w:hint="default"/>
          <w:lang w:val="en-US" w:eastAsia="zh-CN"/>
        </w:rPr>
      </w:pPr>
      <w:r>
        <w:rPr>
          <w:rFonts w:hint="default"/>
          <w:lang w:val="en-US" w:eastAsia="zh-CN"/>
        </w:rPr>
        <w:t>“开源”一词源自软件，指的是对源代码的访问，且对程序的使用和分发没有限制。但鉴于大型AI模型的复杂性和涉及的海量数据，将其开源远非易事，专家们仍在努力定义开源AI。Dingemanse表示，披露模型的所有细节对公司来说并不总是理想，因为这可能使企业面临商业或法律风险。也有人认为，完全自由发布模型存在被滥用的风险。</w:t>
      </w:r>
    </w:p>
    <w:p w14:paraId="20709CA8">
      <w:pPr>
        <w:bidi w:val="0"/>
        <w:rPr>
          <w:rFonts w:hint="default"/>
          <w:lang w:val="en-US" w:eastAsia="zh-CN"/>
        </w:rPr>
      </w:pPr>
      <w:r>
        <w:rPr>
          <w:rFonts w:hint="default"/>
          <w:lang w:val="en-US" w:eastAsia="zh-CN"/>
        </w:rPr>
        <w:t>但被贴上开源标签也能带来巨大好处。开发者已经可以通过展现严谨和透明的形象来获得公关回报。很快，法律问题将会带来。今年通过的欧盟人工智能法案将豁免开源通用模型（在一定规模范围内）免受广泛的透明度要求，并承诺承担较少且尚未定义的义务。Dingemanse说：“可以公平地说，'开源'一词将在受欧盟人工智能法案管辖的国家中具有前所未有的法律分量。</w:t>
      </w:r>
      <w:r>
        <w:rPr>
          <w:rFonts w:hint="eastAsia"/>
          <w:lang w:val="en-US" w:eastAsia="zh-CN"/>
        </w:rPr>
        <w:t>”</w:t>
      </w:r>
    </w:p>
    <w:p w14:paraId="5F8EC04F">
      <w:pPr>
        <w:bidi w:val="0"/>
        <w:rPr>
          <w:rFonts w:hint="eastAsia"/>
          <w:lang w:eastAsia="zh-CN"/>
        </w:rPr>
      </w:pPr>
      <w:r>
        <w:t>在他们的研究中，丁格曼斯和利森菲尔德评估了40个大型语言模型——这些系统通过在大量数据中将词语和短语关联起来，学会生成文本。所有这些模型都声称自己是“开源”或“开放”的。这对搭档通过评估模型的14个参数，包括代码和训练数据的可用性、已发布的文档以及模型的访问难易度，制作了一个开放性排名表。对于每个参数，他们判断模型是开、半开还是闭</w:t>
      </w:r>
      <w:r>
        <w:rPr>
          <w:rFonts w:hint="eastAsia"/>
          <w:lang w:eastAsia="zh-CN"/>
        </w:rPr>
        <w:t>。</w:t>
      </w:r>
    </w:p>
    <w:p w14:paraId="59E671EF">
      <w:pPr>
        <w:bidi w:val="0"/>
      </w:pPr>
      <w:r>
        <w:t>OpenUK是一家总部位于伦敦的非营利性公司，专注于开放技术，其首席执行官阿曼达·布罗克(Amanda Brock)表示，这种分析开放性的滑动尺度方法是一种有用且实用的方法。</w:t>
      </w:r>
    </w:p>
    <w:p w14:paraId="5B5A9B8F">
      <w:pPr>
        <w:bidi w:val="0"/>
      </w:pPr>
      <w:r>
        <w:t>研究人员发现，许多声称开源或开源的模型——包括Meta的Llama和Google DeepMind的Gemma——实际上只是“开放权重”模型。这意味着外部研究人员可以访问并使用已训练好的模型，但无法对其进行检查或定制。他们也无法完全理解自己是如何被精准调校完成特定任务的;例如，使用人类反馈。“你不怎么透露......“然后你可以申领开放性积分，”丁格曼斯说。</w:t>
      </w:r>
    </w:p>
    <w:p w14:paraId="463BA51D">
      <w:pPr>
        <w:bidi w:val="0"/>
        <w:rPr>
          <w:rFonts w:hint="eastAsia"/>
          <w:lang w:eastAsia="zh-CN"/>
        </w:rPr>
      </w:pPr>
      <w:r>
        <w:t>作者特别令人担忧的是，模型训练的数据缺乏公开性。他们表示，大约一半的模型除了通用描述外，没有提供任何关于数据集的详细信息</w:t>
      </w:r>
      <w:r>
        <w:rPr>
          <w:rFonts w:hint="eastAsia"/>
          <w:lang w:eastAsia="zh-CN"/>
        </w:rPr>
        <w:t>。</w:t>
      </w:r>
    </w:p>
    <w:p w14:paraId="26423485">
      <w:pPr>
        <w:bidi w:val="0"/>
      </w:pPr>
      <w:r>
        <w:t>谷歌发言人表示，公司对描述模型的语言“非常精确”，选择将其Gemma LLM标注为开源而非开源。他们补充道：“现有的开源概念并不总能直接应用于人工智能系统。”一位发言人表示，Microsoft试图“尽可能准确地说明可用内容及其范围”。“我们选择公开模型、代码、工具和数据集等人工物，因为开发者和研究社区在人工智能技术的发展中扮演着重要角色。”Meta未回应《自然》杂志的置评请求。</w:t>
      </w:r>
    </w:p>
    <w:p w14:paraId="724FAB95">
      <w:pPr>
        <w:bidi w:val="0"/>
        <w:rPr>
          <w:rFonts w:hint="eastAsia"/>
          <w:lang w:eastAsia="zh-CN"/>
        </w:rPr>
      </w:pPr>
      <w:r>
        <w:t>分析发现，小型公司和研究团队制作的模型往往比大型科技公司更开放。作者强调了BLOOM，该项目由一个国际、主要学术合作组建，是真正开源人工智能的典范</w:t>
      </w:r>
      <w:r>
        <w:rPr>
          <w:rFonts w:hint="eastAsia"/>
          <w:lang w:eastAsia="zh-CN"/>
        </w:rPr>
        <w:t>。</w:t>
      </w:r>
    </w:p>
    <w:p w14:paraId="65BE2EE6">
      <w:pPr>
        <w:bidi w:val="0"/>
        <w:rPr>
          <w:rFonts w:hint="eastAsia"/>
          <w:lang w:eastAsia="zh-CN"/>
        </w:rPr>
      </w:pPr>
    </w:p>
    <w:p w14:paraId="491DEEA7">
      <w:pPr>
        <w:bidi w:val="0"/>
      </w:pPr>
      <w:r>
        <w:rPr>
          <w:rFonts w:hint="eastAsia"/>
          <w:b/>
          <w:bCs/>
          <w:sz w:val="24"/>
          <w:szCs w:val="24"/>
          <w:lang w:val="en-US" w:eastAsia="zh-CN"/>
        </w:rPr>
        <w:t>同行评审“过时了”</w:t>
      </w:r>
    </w:p>
    <w:p w14:paraId="61536F1D">
      <w:pPr>
        <w:bidi w:val="0"/>
        <w:rPr>
          <w:rFonts w:hint="eastAsia"/>
          <w:lang w:eastAsia="zh-CN"/>
        </w:rPr>
      </w:pPr>
      <w:r>
        <w:t>两人发现，详细介绍这些模型的科学论文极为罕见。同行评审似乎“几乎完全失宠”，取而代之的是精选示例的博客文章，或细节不足的企业预印本。公司“可能会在网站上发布一份漂亮、华丽的论文，看起来都很技术性。但如果你仔细研究，根本没有任何具体说明该系统中包含了哪些数据，“丁格曼斯说</w:t>
      </w:r>
      <w:r>
        <w:rPr>
          <w:rFonts w:hint="eastAsia"/>
          <w:lang w:eastAsia="zh-CN"/>
        </w:rPr>
        <w:t>。</w:t>
      </w:r>
    </w:p>
    <w:p w14:paraId="573C2732">
      <w:pPr>
        <w:bidi w:val="0"/>
        <w:rPr>
          <w:rFonts w:hint="eastAsia"/>
          <w:lang w:eastAsia="zh-CN"/>
        </w:rPr>
      </w:pPr>
      <w:r>
        <w:t>目前尚不清楚这些模型中有多少符合欧盟对开源的定义。根据该法案，这指的是那些以“自由开放”许可证发布的模型，例如允许用户修改模型，但对训练数据的访问没有任何说明。该报称，进一步细化这一定义可能会形成“一个单一的压力点，将成为企业</w:t>
      </w:r>
      <w:bookmarkStart w:id="0" w:name="_GoBack"/>
      <w:bookmarkEnd w:id="0"/>
      <w:r>
        <w:t>游说团体和大公司的目标”。</w:t>
      </w:r>
    </w:p>
    <w:p w14:paraId="4B06DF8C">
      <w:pPr>
        <w:bidi w:val="0"/>
        <w:rPr>
          <w:rFonts w:hint="eastAsia"/>
          <w:lang w:eastAsia="zh-CN"/>
        </w:rPr>
      </w:pPr>
      <w:r>
        <w:t>丁格曼斯说，开放性对科学很重要，因为它对可重复性至关重要。“如果你不能复制它，那很难称之为科学，”他说。研究人员唯一的创新方式是通过调整模型，而为此他们需要足够的信息来构建自己的版本。不仅如此，模型还必须接受审视。“如果我们不能从内部了解香肠是如何制作的，我们也不知道是否该对它感到惊讶，”例如，如果模型在测试的多个实例上训练，通过某项考试可能就不算成就。他补充说，没有数据责任，没人知道是否使用了不当或受版权保护的数据</w:t>
      </w:r>
      <w:r>
        <w:rPr>
          <w:rFonts w:hint="eastAsia"/>
          <w:lang w:eastAsia="zh-CN"/>
        </w:rPr>
        <w:t>。</w:t>
      </w:r>
    </w:p>
    <w:p w14:paraId="448A615E">
      <w:pPr>
        <w:bidi w:val="0"/>
        <w:rPr>
          <w:rFonts w:hint="eastAsia"/>
          <w:lang w:eastAsia="zh-CN"/>
        </w:rPr>
      </w:pPr>
      <w:r>
        <w:t>利森菲尔德表示，两人希望帮助科学家同行在寻找用于教学和研究的模型时避免“陷入与我们相同的陷阱”</w:t>
      </w:r>
      <w:r>
        <w:rPr>
          <w:rFonts w:hint="eastAsia"/>
          <w:lang w:eastAsia="zh-CN"/>
        </w:rPr>
        <w:t>。</w:t>
      </w:r>
    </w:p>
    <w:p w14:paraId="11C77FCE">
      <w:pPr>
        <w:bidi w:val="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40"/>
      </w:pPr>
      <w:r>
        <w:separator/>
      </w:r>
    </w:p>
  </w:endnote>
  <w:endnote w:type="continuationSeparator" w:id="1">
    <w:p>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ＭＳ Ｐゴシック">
    <w:panose1 w:val="020B0600070205080204"/>
    <w:charset w:val="80"/>
    <w:family w:val="auto"/>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40"/>
      </w:pPr>
      <w:r>
        <w:separator/>
      </w:r>
    </w:p>
  </w:footnote>
  <w:footnote w:type="continuationSeparator" w:id="1">
    <w:p>
      <w:pPr>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6D719D"/>
    <w:rsid w:val="0C9F117E"/>
    <w:rsid w:val="1C142E4D"/>
    <w:rsid w:val="2B360792"/>
    <w:rsid w:val="34BC6903"/>
    <w:rsid w:val="4AF9234E"/>
    <w:rsid w:val="6CB3246E"/>
    <w:rsid w:val="71821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02" w:firstLineChars="200"/>
    </w:pPr>
    <w:rPr>
      <w:rFonts w:ascii="Times New Roman" w:hAnsi="Times New Roman" w:eastAsia="FangSong" w:cs="Arial"/>
      <w:sz w:val="22"/>
      <w:szCs w:val="22"/>
    </w:rPr>
  </w:style>
  <w:style w:type="paragraph" w:styleId="2">
    <w:name w:val="heading 1"/>
    <w:basedOn w:val="1"/>
    <w:next w:val="1"/>
    <w:qFormat/>
    <w:uiPriority w:val="0"/>
    <w:pPr>
      <w:spacing w:before="0" w:beforeAutospacing="1" w:after="0" w:afterAutospacing="1"/>
      <w:jc w:val="left"/>
      <w:outlineLvl w:val="0"/>
    </w:pPr>
    <w:rPr>
      <w:rFonts w:hint="eastAsia" w:ascii="SimSun" w:hAnsi="SimSun" w:eastAsia="SimSun" w:cs="SimSun"/>
      <w:b/>
      <w:bCs/>
      <w:kern w:val="44"/>
      <w:sz w:val="30"/>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outlineLvl w:val="1"/>
    </w:pPr>
    <w:rPr>
      <w:rFonts w:hint="eastAsia" w:ascii="SimSun" w:hAnsi="SimSun" w:cs="SimSun"/>
      <w:b/>
      <w:bCs/>
      <w:sz w:val="28"/>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2025-11-30T05:08:00Z</dcterms:created>
  <dc:creator>gonghan</dc:creator>
  <cp:lastModifiedBy>saburua heart</cp:lastModifiedBy>
  <dcterms:modified xsi:type="dcterms:W3CDTF">2025-12-18T12:14:29Z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F92B2094FBAD4A0DA0D3B7957B084F84_12</vt:lpwstr>
  </property>
  <property fmtid="{D5CDD505-2E9C-101B-9397-08002B2CF9AE}" pid="4" name="KSOTemplateDocerSaveRecord">
    <vt:lpwstr>eyJoZGlkIjoiY2EyNTU5Njg4ZGQzYWUzYTMwMjIzMmQzZjYzZmQwMWUiLCJ1c2VySWQiOiIyOTkyMDMyNDIifQ==</vt:lpwstr>
  </property>
</Properties>
</file>